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930FB" w14:textId="4D67F2EC" w:rsidR="00930CDA" w:rsidRDefault="00EC3468" w:rsidP="008E244C">
      <w:pPr>
        <w:rPr>
          <w:noProof/>
          <w:lang w:eastAsia="en-AU"/>
        </w:rPr>
      </w:pPr>
      <w:bookmarkStart w:id="0" w:name="_GoBack"/>
      <w:bookmarkEnd w:id="0"/>
      <w:r>
        <w:rPr>
          <w:noProof/>
          <w:lang w:eastAsia="en-AU"/>
        </w:rPr>
        <w:drawing>
          <wp:anchor distT="0" distB="0" distL="114300" distR="114300" simplePos="0" relativeHeight="251658240" behindDoc="1" locked="0" layoutInCell="1" allowOverlap="1" wp14:anchorId="1987648F" wp14:editId="0F4775B2">
            <wp:simplePos x="0" y="0"/>
            <wp:positionH relativeFrom="column">
              <wp:posOffset>-791972</wp:posOffset>
            </wp:positionH>
            <wp:positionV relativeFrom="paragraph">
              <wp:posOffset>-882142</wp:posOffset>
            </wp:positionV>
            <wp:extent cx="7530010" cy="10643616"/>
            <wp:effectExtent l="0" t="0" r="127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7"/>
                    <a:stretch>
                      <a:fillRect/>
                    </a:stretch>
                  </pic:blipFill>
                  <pic:spPr>
                    <a:xfrm>
                      <a:off x="0" y="0"/>
                      <a:ext cx="7547013" cy="10667650"/>
                    </a:xfrm>
                    <a:prstGeom prst="rect">
                      <a:avLst/>
                    </a:prstGeom>
                  </pic:spPr>
                </pic:pic>
              </a:graphicData>
            </a:graphic>
            <wp14:sizeRelH relativeFrom="page">
              <wp14:pctWidth>0</wp14:pctWidth>
            </wp14:sizeRelH>
            <wp14:sizeRelV relativeFrom="page">
              <wp14:pctHeight>0</wp14:pctHeight>
            </wp14:sizeRelV>
          </wp:anchor>
        </w:drawing>
      </w:r>
      <w:r w:rsidR="00337D19">
        <w:rPr>
          <w:noProof/>
          <w:lang w:eastAsia="en-AU"/>
        </w:rPr>
        <w:drawing>
          <wp:inline distT="0" distB="0" distL="0" distR="0" wp14:anchorId="360793E7" wp14:editId="0BCA9D8D">
            <wp:extent cx="2383200" cy="727200"/>
            <wp:effectExtent l="0" t="0" r="0" b="0"/>
            <wp:docPr id="2" name="Graphic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4238F4CF" w14:textId="12E8716E" w:rsidR="00930CDA" w:rsidRDefault="008F71EF" w:rsidP="007855CC">
      <w:pPr>
        <w:pStyle w:val="Title"/>
        <w:spacing w:line="240" w:lineRule="auto"/>
        <w:ind w:left="1276"/>
        <w:rPr>
          <w:noProof/>
          <w:lang w:eastAsia="en-AU"/>
        </w:rPr>
      </w:pPr>
      <w:r>
        <w:rPr>
          <w:noProof/>
          <w:lang w:eastAsia="en-AU"/>
        </w:rPr>
        <w:t xml:space="preserve">Impact Analysis </w:t>
      </w:r>
    </w:p>
    <w:p w14:paraId="1E148B0F" w14:textId="42D1F016" w:rsidR="007855CC" w:rsidRDefault="0047606F" w:rsidP="007855CC">
      <w:pPr>
        <w:pStyle w:val="Subtitle"/>
        <w:spacing w:before="240"/>
        <w:ind w:left="1276"/>
        <w:rPr>
          <w:noProof/>
          <w:lang w:eastAsia="en-AU"/>
        </w:rPr>
      </w:pPr>
      <w:r>
        <w:rPr>
          <w:noProof/>
          <w:lang w:eastAsia="en-AU"/>
        </w:rPr>
        <w:t>New volun</w:t>
      </w:r>
      <w:r w:rsidR="00D660DA">
        <w:rPr>
          <w:noProof/>
          <w:lang w:eastAsia="en-AU"/>
        </w:rPr>
        <w:t>tary</w:t>
      </w:r>
      <w:r>
        <w:rPr>
          <w:noProof/>
          <w:lang w:eastAsia="en-AU"/>
        </w:rPr>
        <w:t xml:space="preserve"> pre-empl</w:t>
      </w:r>
      <w:r w:rsidR="00D660DA">
        <w:rPr>
          <w:noProof/>
          <w:lang w:eastAsia="en-AU"/>
        </w:rPr>
        <w:t>o</w:t>
      </w:r>
      <w:r>
        <w:rPr>
          <w:noProof/>
          <w:lang w:eastAsia="en-AU"/>
        </w:rPr>
        <w:t>yment service for parents</w:t>
      </w:r>
      <w:r w:rsidR="00D660DA">
        <w:rPr>
          <w:noProof/>
          <w:lang w:eastAsia="en-AU"/>
        </w:rPr>
        <w:t xml:space="preserve"> of young children</w:t>
      </w:r>
    </w:p>
    <w:p w14:paraId="52C36355" w14:textId="77777777" w:rsidR="0047606F" w:rsidRDefault="0047606F" w:rsidP="0047606F">
      <w:pPr>
        <w:rPr>
          <w:lang w:eastAsia="en-AU"/>
        </w:rPr>
      </w:pPr>
    </w:p>
    <w:p w14:paraId="595FB032" w14:textId="77777777" w:rsidR="0047606F" w:rsidRPr="0047606F" w:rsidRDefault="0047606F" w:rsidP="0047606F">
      <w:pPr>
        <w:rPr>
          <w:lang w:eastAsia="en-AU"/>
        </w:rPr>
      </w:pPr>
    </w:p>
    <w:p w14:paraId="15277A78" w14:textId="77777777" w:rsidR="00930CDA" w:rsidRPr="0095636C" w:rsidRDefault="00930CDA" w:rsidP="0095636C">
      <w:r>
        <w:rPr>
          <w:noProof/>
          <w:lang w:eastAsia="en-AU"/>
        </w:rPr>
        <w:br w:type="page"/>
      </w:r>
    </w:p>
    <w:p w14:paraId="2BC3E663" w14:textId="77777777" w:rsidR="00764B85" w:rsidRDefault="00764B85" w:rsidP="00764B85">
      <w:pPr>
        <w:pStyle w:val="Title"/>
      </w:pPr>
      <w:r>
        <w:lastRenderedPageBreak/>
        <w:t>Title</w:t>
      </w:r>
    </w:p>
    <w:p w14:paraId="080CFB2B" w14:textId="2D33FA9D" w:rsidR="00764B85" w:rsidRDefault="00764B85" w:rsidP="00764B85">
      <w:pPr>
        <w:tabs>
          <w:tab w:val="left" w:pos="5856"/>
        </w:tabs>
        <w:spacing w:before="8040"/>
        <w:contextualSpacing/>
      </w:pPr>
      <w:r>
        <w:rPr>
          <w:noProof/>
          <w:lang w:eastAsia="en-AU"/>
        </w:rPr>
        <w:drawing>
          <wp:inline distT="0" distB="0" distL="0" distR="0" wp14:anchorId="26A6169E" wp14:editId="4CBE6C49">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750C5392" w14:textId="77777777" w:rsidR="00764B85" w:rsidRDefault="00764B85" w:rsidP="00764B85">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74EEF5A8" w14:textId="77777777" w:rsidR="00764B85" w:rsidRDefault="00764B85" w:rsidP="00764B85">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342BE41B" w14:textId="708CB9B0" w:rsidR="00DB3D65" w:rsidRDefault="00764B85" w:rsidP="00DB3D65">
      <w:r w:rsidRPr="0034644F">
        <w:t>The document must be attributed as the New voluntary pre-employment service for parents of young children – Impact Analysis.</w:t>
      </w:r>
      <w:r>
        <w:br w:type="page"/>
      </w:r>
    </w:p>
    <w:p w14:paraId="12DAB30F" w14:textId="77777777" w:rsidR="00DB3D65" w:rsidRDefault="00DB3D65" w:rsidP="00DB3D65">
      <w:pPr>
        <w:sectPr w:rsidR="00DB3D65" w:rsidSect="003C5B20">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40" w:bottom="1560" w:left="1276" w:header="708" w:footer="708" w:gutter="0"/>
          <w:cols w:space="708"/>
          <w:titlePg/>
          <w:docGrid w:linePitch="360"/>
        </w:sectPr>
      </w:pPr>
    </w:p>
    <w:p w14:paraId="26921407" w14:textId="5AAA422A" w:rsidR="002B1CE5" w:rsidRDefault="002B1CE5" w:rsidP="002B1CE5">
      <w:pPr>
        <w:pStyle w:val="Title"/>
      </w:pPr>
    </w:p>
    <w:bookmarkStart w:id="1" w:name="_Toc30065222" w:displacedByCustomXml="next"/>
    <w:sdt>
      <w:sdtPr>
        <w:rPr>
          <w:rFonts w:eastAsiaTheme="minorEastAsia"/>
          <w:b/>
          <w:bCs/>
          <w:color w:val="000000" w:themeColor="text1"/>
        </w:rPr>
        <w:id w:val="-139263470"/>
        <w:docPartObj>
          <w:docPartGallery w:val="Table of Contents"/>
          <w:docPartUnique/>
        </w:docPartObj>
      </w:sdtPr>
      <w:sdtEndPr>
        <w:rPr>
          <w:rFonts w:eastAsiaTheme="minorHAnsi"/>
          <w:b w:val="0"/>
          <w:bCs w:val="0"/>
          <w:color w:val="auto"/>
        </w:rPr>
      </w:sdtEndPr>
      <w:sdtContent>
        <w:p w14:paraId="01D5BB99" w14:textId="77777777" w:rsidR="007855CC" w:rsidRPr="003C539C" w:rsidRDefault="007855CC" w:rsidP="009F66A5">
          <w:r w:rsidRPr="009F66A5">
            <w:rPr>
              <w:b/>
              <w:bCs/>
            </w:rPr>
            <w:t>Contents</w:t>
          </w:r>
        </w:p>
        <w:p w14:paraId="1338195B" w14:textId="2B7EA5D2" w:rsidR="00775AF6" w:rsidRDefault="0095636C">
          <w:pPr>
            <w:pStyle w:val="TOC1"/>
            <w:tabs>
              <w:tab w:val="left" w:pos="440"/>
            </w:tabs>
            <w:rPr>
              <w:rFonts w:eastAsiaTheme="minorEastAsia"/>
              <w:b w:val="0"/>
              <w:noProof/>
              <w:kern w:val="2"/>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51123093" w:history="1">
            <w:r w:rsidR="00775AF6" w:rsidRPr="00BB7F41">
              <w:rPr>
                <w:rStyle w:val="Hyperlink"/>
                <w:noProof/>
              </w:rPr>
              <w:t>1.</w:t>
            </w:r>
            <w:r w:rsidR="00775AF6">
              <w:rPr>
                <w:rFonts w:eastAsiaTheme="minorEastAsia"/>
                <w:b w:val="0"/>
                <w:noProof/>
                <w:kern w:val="2"/>
                <w:lang w:eastAsia="en-AU"/>
                <w14:ligatures w14:val="standardContextual"/>
              </w:rPr>
              <w:tab/>
            </w:r>
            <w:r w:rsidR="00775AF6" w:rsidRPr="00BB7F41">
              <w:rPr>
                <w:rStyle w:val="Hyperlink"/>
                <w:noProof/>
              </w:rPr>
              <w:t>Introduction</w:t>
            </w:r>
            <w:r w:rsidR="00775AF6">
              <w:rPr>
                <w:noProof/>
                <w:webHidden/>
              </w:rPr>
              <w:tab/>
            </w:r>
            <w:r w:rsidR="00775AF6">
              <w:rPr>
                <w:noProof/>
                <w:webHidden/>
              </w:rPr>
              <w:fldChar w:fldCharType="begin"/>
            </w:r>
            <w:r w:rsidR="00775AF6">
              <w:rPr>
                <w:noProof/>
                <w:webHidden/>
              </w:rPr>
              <w:instrText xml:space="preserve"> PAGEREF _Toc151123093 \h </w:instrText>
            </w:r>
            <w:r w:rsidR="00775AF6">
              <w:rPr>
                <w:noProof/>
                <w:webHidden/>
              </w:rPr>
            </w:r>
            <w:r w:rsidR="00775AF6">
              <w:rPr>
                <w:noProof/>
                <w:webHidden/>
              </w:rPr>
              <w:fldChar w:fldCharType="separate"/>
            </w:r>
            <w:r w:rsidR="00282315">
              <w:rPr>
                <w:noProof/>
                <w:webHidden/>
              </w:rPr>
              <w:t>5</w:t>
            </w:r>
            <w:r w:rsidR="00775AF6">
              <w:rPr>
                <w:noProof/>
                <w:webHidden/>
              </w:rPr>
              <w:fldChar w:fldCharType="end"/>
            </w:r>
          </w:hyperlink>
        </w:p>
        <w:p w14:paraId="6A3177D2" w14:textId="44891330" w:rsidR="00775AF6" w:rsidRDefault="004C63E5">
          <w:pPr>
            <w:pStyle w:val="TOC1"/>
            <w:tabs>
              <w:tab w:val="left" w:pos="440"/>
            </w:tabs>
            <w:rPr>
              <w:rFonts w:eastAsiaTheme="minorEastAsia"/>
              <w:b w:val="0"/>
              <w:noProof/>
              <w:kern w:val="2"/>
              <w:lang w:eastAsia="en-AU"/>
              <w14:ligatures w14:val="standardContextual"/>
            </w:rPr>
          </w:pPr>
          <w:hyperlink w:anchor="_Toc151123094" w:history="1">
            <w:r w:rsidR="00775AF6" w:rsidRPr="00BB7F41">
              <w:rPr>
                <w:rStyle w:val="Hyperlink"/>
                <w:noProof/>
              </w:rPr>
              <w:t>2.</w:t>
            </w:r>
            <w:r w:rsidR="00775AF6">
              <w:rPr>
                <w:rFonts w:eastAsiaTheme="minorEastAsia"/>
                <w:b w:val="0"/>
                <w:noProof/>
                <w:kern w:val="2"/>
                <w:lang w:eastAsia="en-AU"/>
                <w14:ligatures w14:val="standardContextual"/>
              </w:rPr>
              <w:tab/>
            </w:r>
            <w:r w:rsidR="00775AF6" w:rsidRPr="00BB7F41">
              <w:rPr>
                <w:rStyle w:val="Hyperlink"/>
                <w:noProof/>
              </w:rPr>
              <w:t>Background</w:t>
            </w:r>
            <w:r w:rsidR="00775AF6">
              <w:rPr>
                <w:noProof/>
                <w:webHidden/>
              </w:rPr>
              <w:tab/>
            </w:r>
            <w:r w:rsidR="00775AF6">
              <w:rPr>
                <w:noProof/>
                <w:webHidden/>
              </w:rPr>
              <w:fldChar w:fldCharType="begin"/>
            </w:r>
            <w:r w:rsidR="00775AF6">
              <w:rPr>
                <w:noProof/>
                <w:webHidden/>
              </w:rPr>
              <w:instrText xml:space="preserve"> PAGEREF _Toc151123094 \h </w:instrText>
            </w:r>
            <w:r w:rsidR="00775AF6">
              <w:rPr>
                <w:noProof/>
                <w:webHidden/>
              </w:rPr>
            </w:r>
            <w:r w:rsidR="00775AF6">
              <w:rPr>
                <w:noProof/>
                <w:webHidden/>
              </w:rPr>
              <w:fldChar w:fldCharType="separate"/>
            </w:r>
            <w:r w:rsidR="00282315">
              <w:rPr>
                <w:noProof/>
                <w:webHidden/>
              </w:rPr>
              <w:t>5</w:t>
            </w:r>
            <w:r w:rsidR="00775AF6">
              <w:rPr>
                <w:noProof/>
                <w:webHidden/>
              </w:rPr>
              <w:fldChar w:fldCharType="end"/>
            </w:r>
          </w:hyperlink>
        </w:p>
        <w:p w14:paraId="06CEA33C" w14:textId="1CE47CBC"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095" w:history="1">
            <w:r w:rsidR="00775AF6" w:rsidRPr="00BB7F41">
              <w:rPr>
                <w:rStyle w:val="Hyperlink"/>
                <w:noProof/>
                <w:lang w:val="en-US"/>
              </w:rPr>
              <w:t>2.1</w:t>
            </w:r>
            <w:r w:rsidR="00775AF6">
              <w:rPr>
                <w:rFonts w:eastAsiaTheme="minorEastAsia"/>
                <w:noProof/>
                <w:kern w:val="2"/>
                <w:lang w:eastAsia="en-AU"/>
                <w14:ligatures w14:val="standardContextual"/>
              </w:rPr>
              <w:tab/>
            </w:r>
            <w:r w:rsidR="00775AF6" w:rsidRPr="00BB7F41">
              <w:rPr>
                <w:rStyle w:val="Hyperlink"/>
                <w:noProof/>
                <w:lang w:val="en-US"/>
              </w:rPr>
              <w:t>ParentsNext</w:t>
            </w:r>
            <w:r w:rsidR="00775AF6">
              <w:rPr>
                <w:noProof/>
                <w:webHidden/>
              </w:rPr>
              <w:tab/>
            </w:r>
            <w:r w:rsidR="00775AF6">
              <w:rPr>
                <w:noProof/>
                <w:webHidden/>
              </w:rPr>
              <w:fldChar w:fldCharType="begin"/>
            </w:r>
            <w:r w:rsidR="00775AF6">
              <w:rPr>
                <w:noProof/>
                <w:webHidden/>
              </w:rPr>
              <w:instrText xml:space="preserve"> PAGEREF _Toc151123095 \h </w:instrText>
            </w:r>
            <w:r w:rsidR="00775AF6">
              <w:rPr>
                <w:noProof/>
                <w:webHidden/>
              </w:rPr>
            </w:r>
            <w:r w:rsidR="00775AF6">
              <w:rPr>
                <w:noProof/>
                <w:webHidden/>
              </w:rPr>
              <w:fldChar w:fldCharType="separate"/>
            </w:r>
            <w:r w:rsidR="00282315">
              <w:rPr>
                <w:noProof/>
                <w:webHidden/>
              </w:rPr>
              <w:t>5</w:t>
            </w:r>
            <w:r w:rsidR="00775AF6">
              <w:rPr>
                <w:noProof/>
                <w:webHidden/>
              </w:rPr>
              <w:fldChar w:fldCharType="end"/>
            </w:r>
          </w:hyperlink>
        </w:p>
        <w:p w14:paraId="4058F682" w14:textId="6F36C3C5"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096" w:history="1">
            <w:r w:rsidR="00775AF6" w:rsidRPr="00BB7F41">
              <w:rPr>
                <w:rStyle w:val="Hyperlink"/>
                <w:noProof/>
                <w:lang w:val="en-US"/>
              </w:rPr>
              <w:t>2.2</w:t>
            </w:r>
            <w:r w:rsidR="00775AF6">
              <w:rPr>
                <w:rFonts w:eastAsiaTheme="minorEastAsia"/>
                <w:noProof/>
                <w:kern w:val="2"/>
                <w:lang w:eastAsia="en-AU"/>
                <w14:ligatures w14:val="standardContextual"/>
              </w:rPr>
              <w:tab/>
            </w:r>
            <w:r w:rsidR="00775AF6" w:rsidRPr="00BB7F41">
              <w:rPr>
                <w:rStyle w:val="Hyperlink"/>
                <w:noProof/>
                <w:lang w:val="en-US"/>
              </w:rPr>
              <w:t>Review of ParentsNext</w:t>
            </w:r>
            <w:r w:rsidR="00775AF6">
              <w:rPr>
                <w:noProof/>
                <w:webHidden/>
              </w:rPr>
              <w:tab/>
            </w:r>
            <w:r w:rsidR="00775AF6">
              <w:rPr>
                <w:noProof/>
                <w:webHidden/>
              </w:rPr>
              <w:fldChar w:fldCharType="begin"/>
            </w:r>
            <w:r w:rsidR="00775AF6">
              <w:rPr>
                <w:noProof/>
                <w:webHidden/>
              </w:rPr>
              <w:instrText xml:space="preserve"> PAGEREF _Toc151123096 \h </w:instrText>
            </w:r>
            <w:r w:rsidR="00775AF6">
              <w:rPr>
                <w:noProof/>
                <w:webHidden/>
              </w:rPr>
            </w:r>
            <w:r w:rsidR="00775AF6">
              <w:rPr>
                <w:noProof/>
                <w:webHidden/>
              </w:rPr>
              <w:fldChar w:fldCharType="separate"/>
            </w:r>
            <w:r w:rsidR="00282315">
              <w:rPr>
                <w:noProof/>
                <w:webHidden/>
              </w:rPr>
              <w:t>6</w:t>
            </w:r>
            <w:r w:rsidR="00775AF6">
              <w:rPr>
                <w:noProof/>
                <w:webHidden/>
              </w:rPr>
              <w:fldChar w:fldCharType="end"/>
            </w:r>
          </w:hyperlink>
        </w:p>
        <w:p w14:paraId="2FF5BE88" w14:textId="02A7AD7A"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097" w:history="1">
            <w:r w:rsidR="00775AF6" w:rsidRPr="00BB7F41">
              <w:rPr>
                <w:rStyle w:val="Hyperlink"/>
                <w:noProof/>
              </w:rPr>
              <w:t>2.3</w:t>
            </w:r>
            <w:r w:rsidR="00775AF6">
              <w:rPr>
                <w:rFonts w:eastAsiaTheme="minorEastAsia"/>
                <w:noProof/>
                <w:kern w:val="2"/>
                <w:lang w:eastAsia="en-AU"/>
                <w14:ligatures w14:val="standardContextual"/>
              </w:rPr>
              <w:tab/>
            </w:r>
            <w:r w:rsidR="00775AF6" w:rsidRPr="00BB7F41">
              <w:rPr>
                <w:rStyle w:val="Hyperlink"/>
                <w:noProof/>
              </w:rPr>
              <w:t>Consultation</w:t>
            </w:r>
            <w:r w:rsidR="00775AF6">
              <w:rPr>
                <w:noProof/>
                <w:webHidden/>
              </w:rPr>
              <w:tab/>
            </w:r>
            <w:r w:rsidR="00775AF6">
              <w:rPr>
                <w:noProof/>
                <w:webHidden/>
              </w:rPr>
              <w:fldChar w:fldCharType="begin"/>
            </w:r>
            <w:r w:rsidR="00775AF6">
              <w:rPr>
                <w:noProof/>
                <w:webHidden/>
              </w:rPr>
              <w:instrText xml:space="preserve"> PAGEREF _Toc151123097 \h </w:instrText>
            </w:r>
            <w:r w:rsidR="00775AF6">
              <w:rPr>
                <w:noProof/>
                <w:webHidden/>
              </w:rPr>
            </w:r>
            <w:r w:rsidR="00775AF6">
              <w:rPr>
                <w:noProof/>
                <w:webHidden/>
              </w:rPr>
              <w:fldChar w:fldCharType="separate"/>
            </w:r>
            <w:r w:rsidR="00282315">
              <w:rPr>
                <w:noProof/>
                <w:webHidden/>
              </w:rPr>
              <w:t>7</w:t>
            </w:r>
            <w:r w:rsidR="00775AF6">
              <w:rPr>
                <w:noProof/>
                <w:webHidden/>
              </w:rPr>
              <w:fldChar w:fldCharType="end"/>
            </w:r>
          </w:hyperlink>
        </w:p>
        <w:p w14:paraId="019B3111" w14:textId="03253B3E" w:rsidR="00775AF6" w:rsidRDefault="004C63E5">
          <w:pPr>
            <w:pStyle w:val="TOC1"/>
            <w:tabs>
              <w:tab w:val="left" w:pos="440"/>
            </w:tabs>
            <w:rPr>
              <w:rFonts w:eastAsiaTheme="minorEastAsia"/>
              <w:b w:val="0"/>
              <w:noProof/>
              <w:kern w:val="2"/>
              <w:lang w:eastAsia="en-AU"/>
              <w14:ligatures w14:val="standardContextual"/>
            </w:rPr>
          </w:pPr>
          <w:hyperlink w:anchor="_Toc151123098" w:history="1">
            <w:r w:rsidR="00775AF6" w:rsidRPr="00BB7F41">
              <w:rPr>
                <w:rStyle w:val="Hyperlink"/>
                <w:noProof/>
              </w:rPr>
              <w:t>3.</w:t>
            </w:r>
            <w:r w:rsidR="00775AF6">
              <w:rPr>
                <w:rFonts w:eastAsiaTheme="minorEastAsia"/>
                <w:b w:val="0"/>
                <w:noProof/>
                <w:kern w:val="2"/>
                <w:lang w:eastAsia="en-AU"/>
                <w14:ligatures w14:val="standardContextual"/>
              </w:rPr>
              <w:tab/>
            </w:r>
            <w:r w:rsidR="00775AF6" w:rsidRPr="00BB7F41">
              <w:rPr>
                <w:rStyle w:val="Hyperlink"/>
                <w:noProof/>
              </w:rPr>
              <w:t>What is the problem?</w:t>
            </w:r>
            <w:r w:rsidR="00775AF6">
              <w:rPr>
                <w:noProof/>
                <w:webHidden/>
              </w:rPr>
              <w:tab/>
            </w:r>
            <w:r w:rsidR="00775AF6">
              <w:rPr>
                <w:noProof/>
                <w:webHidden/>
              </w:rPr>
              <w:fldChar w:fldCharType="begin"/>
            </w:r>
            <w:r w:rsidR="00775AF6">
              <w:rPr>
                <w:noProof/>
                <w:webHidden/>
              </w:rPr>
              <w:instrText xml:space="preserve"> PAGEREF _Toc151123098 \h </w:instrText>
            </w:r>
            <w:r w:rsidR="00775AF6">
              <w:rPr>
                <w:noProof/>
                <w:webHidden/>
              </w:rPr>
            </w:r>
            <w:r w:rsidR="00775AF6">
              <w:rPr>
                <w:noProof/>
                <w:webHidden/>
              </w:rPr>
              <w:fldChar w:fldCharType="separate"/>
            </w:r>
            <w:r w:rsidR="00282315">
              <w:rPr>
                <w:noProof/>
                <w:webHidden/>
              </w:rPr>
              <w:t>7</w:t>
            </w:r>
            <w:r w:rsidR="00775AF6">
              <w:rPr>
                <w:noProof/>
                <w:webHidden/>
              </w:rPr>
              <w:fldChar w:fldCharType="end"/>
            </w:r>
          </w:hyperlink>
        </w:p>
        <w:p w14:paraId="39B5FB7E" w14:textId="307F9F8E"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099" w:history="1">
            <w:r w:rsidR="00775AF6" w:rsidRPr="00BB7F41">
              <w:rPr>
                <w:rStyle w:val="Hyperlink"/>
                <w:noProof/>
              </w:rPr>
              <w:t>3.1</w:t>
            </w:r>
            <w:r w:rsidR="00775AF6">
              <w:rPr>
                <w:rFonts w:eastAsiaTheme="minorEastAsia"/>
                <w:noProof/>
                <w:kern w:val="2"/>
                <w:lang w:eastAsia="en-AU"/>
                <w14:ligatures w14:val="standardContextual"/>
              </w:rPr>
              <w:tab/>
            </w:r>
            <w:r w:rsidR="00775AF6" w:rsidRPr="00BB7F41">
              <w:rPr>
                <w:rStyle w:val="Hyperlink"/>
                <w:noProof/>
              </w:rPr>
              <w:t>Barriers to participation</w:t>
            </w:r>
            <w:r w:rsidR="00775AF6">
              <w:rPr>
                <w:noProof/>
                <w:webHidden/>
              </w:rPr>
              <w:tab/>
            </w:r>
            <w:r w:rsidR="00775AF6">
              <w:rPr>
                <w:noProof/>
                <w:webHidden/>
              </w:rPr>
              <w:fldChar w:fldCharType="begin"/>
            </w:r>
            <w:r w:rsidR="00775AF6">
              <w:rPr>
                <w:noProof/>
                <w:webHidden/>
              </w:rPr>
              <w:instrText xml:space="preserve"> PAGEREF _Toc151123099 \h </w:instrText>
            </w:r>
            <w:r w:rsidR="00775AF6">
              <w:rPr>
                <w:noProof/>
                <w:webHidden/>
              </w:rPr>
            </w:r>
            <w:r w:rsidR="00775AF6">
              <w:rPr>
                <w:noProof/>
                <w:webHidden/>
              </w:rPr>
              <w:fldChar w:fldCharType="separate"/>
            </w:r>
            <w:r w:rsidR="00282315">
              <w:rPr>
                <w:noProof/>
                <w:webHidden/>
              </w:rPr>
              <w:t>8</w:t>
            </w:r>
            <w:r w:rsidR="00775AF6">
              <w:rPr>
                <w:noProof/>
                <w:webHidden/>
              </w:rPr>
              <w:fldChar w:fldCharType="end"/>
            </w:r>
          </w:hyperlink>
        </w:p>
        <w:p w14:paraId="157DF1F6" w14:textId="7142C655"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00" w:history="1">
            <w:r w:rsidR="00775AF6" w:rsidRPr="00BB7F41">
              <w:rPr>
                <w:rStyle w:val="Hyperlink"/>
                <w:noProof/>
              </w:rPr>
              <w:t>3.2</w:t>
            </w:r>
            <w:r w:rsidR="00775AF6">
              <w:rPr>
                <w:rFonts w:eastAsiaTheme="minorEastAsia"/>
                <w:noProof/>
                <w:kern w:val="2"/>
                <w:lang w:eastAsia="en-AU"/>
                <w14:ligatures w14:val="standardContextual"/>
              </w:rPr>
              <w:tab/>
            </w:r>
            <w:r w:rsidR="00775AF6" w:rsidRPr="00BB7F41">
              <w:rPr>
                <w:rStyle w:val="Hyperlink"/>
                <w:noProof/>
              </w:rPr>
              <w:t>Economic security</w:t>
            </w:r>
            <w:r w:rsidR="00775AF6">
              <w:rPr>
                <w:noProof/>
                <w:webHidden/>
              </w:rPr>
              <w:tab/>
            </w:r>
            <w:r w:rsidR="00775AF6">
              <w:rPr>
                <w:noProof/>
                <w:webHidden/>
              </w:rPr>
              <w:fldChar w:fldCharType="begin"/>
            </w:r>
            <w:r w:rsidR="00775AF6">
              <w:rPr>
                <w:noProof/>
                <w:webHidden/>
              </w:rPr>
              <w:instrText xml:space="preserve"> PAGEREF _Toc151123100 \h </w:instrText>
            </w:r>
            <w:r w:rsidR="00775AF6">
              <w:rPr>
                <w:noProof/>
                <w:webHidden/>
              </w:rPr>
            </w:r>
            <w:r w:rsidR="00775AF6">
              <w:rPr>
                <w:noProof/>
                <w:webHidden/>
              </w:rPr>
              <w:fldChar w:fldCharType="separate"/>
            </w:r>
            <w:r w:rsidR="00282315">
              <w:rPr>
                <w:noProof/>
                <w:webHidden/>
              </w:rPr>
              <w:t>9</w:t>
            </w:r>
            <w:r w:rsidR="00775AF6">
              <w:rPr>
                <w:noProof/>
                <w:webHidden/>
              </w:rPr>
              <w:fldChar w:fldCharType="end"/>
            </w:r>
          </w:hyperlink>
        </w:p>
        <w:p w14:paraId="1BB81980" w14:textId="37B18635"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01" w:history="1">
            <w:r w:rsidR="00775AF6" w:rsidRPr="00BB7F41">
              <w:rPr>
                <w:rStyle w:val="Hyperlink"/>
                <w:noProof/>
              </w:rPr>
              <w:t>3.3</w:t>
            </w:r>
            <w:r w:rsidR="00775AF6">
              <w:rPr>
                <w:rFonts w:eastAsiaTheme="minorEastAsia"/>
                <w:noProof/>
                <w:kern w:val="2"/>
                <w:lang w:eastAsia="en-AU"/>
                <w14:ligatures w14:val="standardContextual"/>
              </w:rPr>
              <w:tab/>
            </w:r>
            <w:r w:rsidR="00775AF6" w:rsidRPr="00BB7F41">
              <w:rPr>
                <w:rStyle w:val="Hyperlink"/>
                <w:noProof/>
              </w:rPr>
              <w:t>Cycle of disadvantage</w:t>
            </w:r>
            <w:r w:rsidR="00775AF6">
              <w:rPr>
                <w:noProof/>
                <w:webHidden/>
              </w:rPr>
              <w:tab/>
            </w:r>
            <w:r w:rsidR="00775AF6">
              <w:rPr>
                <w:noProof/>
                <w:webHidden/>
              </w:rPr>
              <w:fldChar w:fldCharType="begin"/>
            </w:r>
            <w:r w:rsidR="00775AF6">
              <w:rPr>
                <w:noProof/>
                <w:webHidden/>
              </w:rPr>
              <w:instrText xml:space="preserve"> PAGEREF _Toc151123101 \h </w:instrText>
            </w:r>
            <w:r w:rsidR="00775AF6">
              <w:rPr>
                <w:noProof/>
                <w:webHidden/>
              </w:rPr>
            </w:r>
            <w:r w:rsidR="00775AF6">
              <w:rPr>
                <w:noProof/>
                <w:webHidden/>
              </w:rPr>
              <w:fldChar w:fldCharType="separate"/>
            </w:r>
            <w:r w:rsidR="00282315">
              <w:rPr>
                <w:noProof/>
                <w:webHidden/>
              </w:rPr>
              <w:t>10</w:t>
            </w:r>
            <w:r w:rsidR="00775AF6">
              <w:rPr>
                <w:noProof/>
                <w:webHidden/>
              </w:rPr>
              <w:fldChar w:fldCharType="end"/>
            </w:r>
          </w:hyperlink>
        </w:p>
        <w:p w14:paraId="00B700A5" w14:textId="4D387212"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02" w:history="1">
            <w:r w:rsidR="00775AF6" w:rsidRPr="00BB7F41">
              <w:rPr>
                <w:rStyle w:val="Hyperlink"/>
                <w:noProof/>
              </w:rPr>
              <w:t>3.4</w:t>
            </w:r>
            <w:r w:rsidR="00775AF6">
              <w:rPr>
                <w:rFonts w:eastAsiaTheme="minorEastAsia"/>
                <w:noProof/>
                <w:kern w:val="2"/>
                <w:lang w:eastAsia="en-AU"/>
                <w14:ligatures w14:val="standardContextual"/>
              </w:rPr>
              <w:tab/>
            </w:r>
            <w:r w:rsidR="00775AF6" w:rsidRPr="00BB7F41">
              <w:rPr>
                <w:rStyle w:val="Hyperlink"/>
                <w:noProof/>
              </w:rPr>
              <w:t>Past measures</w:t>
            </w:r>
            <w:r w:rsidR="00775AF6">
              <w:rPr>
                <w:noProof/>
                <w:webHidden/>
              </w:rPr>
              <w:tab/>
            </w:r>
            <w:r w:rsidR="00775AF6">
              <w:rPr>
                <w:noProof/>
                <w:webHidden/>
              </w:rPr>
              <w:fldChar w:fldCharType="begin"/>
            </w:r>
            <w:r w:rsidR="00775AF6">
              <w:rPr>
                <w:noProof/>
                <w:webHidden/>
              </w:rPr>
              <w:instrText xml:space="preserve"> PAGEREF _Toc151123102 \h </w:instrText>
            </w:r>
            <w:r w:rsidR="00775AF6">
              <w:rPr>
                <w:noProof/>
                <w:webHidden/>
              </w:rPr>
            </w:r>
            <w:r w:rsidR="00775AF6">
              <w:rPr>
                <w:noProof/>
                <w:webHidden/>
              </w:rPr>
              <w:fldChar w:fldCharType="separate"/>
            </w:r>
            <w:r w:rsidR="00282315">
              <w:rPr>
                <w:noProof/>
                <w:webHidden/>
              </w:rPr>
              <w:t>11</w:t>
            </w:r>
            <w:r w:rsidR="00775AF6">
              <w:rPr>
                <w:noProof/>
                <w:webHidden/>
              </w:rPr>
              <w:fldChar w:fldCharType="end"/>
            </w:r>
          </w:hyperlink>
        </w:p>
        <w:p w14:paraId="07A075D0" w14:textId="19949DF5" w:rsidR="00775AF6" w:rsidRDefault="004C63E5">
          <w:pPr>
            <w:pStyle w:val="TOC1"/>
            <w:tabs>
              <w:tab w:val="left" w:pos="440"/>
            </w:tabs>
            <w:rPr>
              <w:rFonts w:eastAsiaTheme="minorEastAsia"/>
              <w:b w:val="0"/>
              <w:noProof/>
              <w:kern w:val="2"/>
              <w:lang w:eastAsia="en-AU"/>
              <w14:ligatures w14:val="standardContextual"/>
            </w:rPr>
          </w:pPr>
          <w:hyperlink w:anchor="_Toc151123103" w:history="1">
            <w:r w:rsidR="00775AF6" w:rsidRPr="00BB7F41">
              <w:rPr>
                <w:rStyle w:val="Hyperlink"/>
                <w:noProof/>
              </w:rPr>
              <w:t>4.</w:t>
            </w:r>
            <w:r w:rsidR="00775AF6">
              <w:rPr>
                <w:rFonts w:eastAsiaTheme="minorEastAsia"/>
                <w:b w:val="0"/>
                <w:noProof/>
                <w:kern w:val="2"/>
                <w:lang w:eastAsia="en-AU"/>
                <w14:ligatures w14:val="standardContextual"/>
              </w:rPr>
              <w:tab/>
            </w:r>
            <w:r w:rsidR="00775AF6" w:rsidRPr="00BB7F41">
              <w:rPr>
                <w:rStyle w:val="Hyperlink"/>
                <w:noProof/>
              </w:rPr>
              <w:t>Why is government action needed?</w:t>
            </w:r>
            <w:r w:rsidR="00775AF6">
              <w:rPr>
                <w:noProof/>
                <w:webHidden/>
              </w:rPr>
              <w:tab/>
            </w:r>
            <w:r w:rsidR="00775AF6">
              <w:rPr>
                <w:noProof/>
                <w:webHidden/>
              </w:rPr>
              <w:fldChar w:fldCharType="begin"/>
            </w:r>
            <w:r w:rsidR="00775AF6">
              <w:rPr>
                <w:noProof/>
                <w:webHidden/>
              </w:rPr>
              <w:instrText xml:space="preserve"> PAGEREF _Toc151123103 \h </w:instrText>
            </w:r>
            <w:r w:rsidR="00775AF6">
              <w:rPr>
                <w:noProof/>
                <w:webHidden/>
              </w:rPr>
            </w:r>
            <w:r w:rsidR="00775AF6">
              <w:rPr>
                <w:noProof/>
                <w:webHidden/>
              </w:rPr>
              <w:fldChar w:fldCharType="separate"/>
            </w:r>
            <w:r w:rsidR="00282315">
              <w:rPr>
                <w:noProof/>
                <w:webHidden/>
              </w:rPr>
              <w:t>12</w:t>
            </w:r>
            <w:r w:rsidR="00775AF6">
              <w:rPr>
                <w:noProof/>
                <w:webHidden/>
              </w:rPr>
              <w:fldChar w:fldCharType="end"/>
            </w:r>
          </w:hyperlink>
        </w:p>
        <w:p w14:paraId="31D46510" w14:textId="436C9B96" w:rsidR="00775AF6" w:rsidRDefault="004C63E5">
          <w:pPr>
            <w:pStyle w:val="TOC1"/>
            <w:tabs>
              <w:tab w:val="left" w:pos="440"/>
            </w:tabs>
            <w:rPr>
              <w:rFonts w:eastAsiaTheme="minorEastAsia"/>
              <w:b w:val="0"/>
              <w:noProof/>
              <w:kern w:val="2"/>
              <w:lang w:eastAsia="en-AU"/>
              <w14:ligatures w14:val="standardContextual"/>
            </w:rPr>
          </w:pPr>
          <w:hyperlink w:anchor="_Toc151123104" w:history="1">
            <w:r w:rsidR="00775AF6" w:rsidRPr="00BB7F41">
              <w:rPr>
                <w:rStyle w:val="Hyperlink"/>
                <w:noProof/>
              </w:rPr>
              <w:t>5.</w:t>
            </w:r>
            <w:r w:rsidR="00775AF6">
              <w:rPr>
                <w:rFonts w:eastAsiaTheme="minorEastAsia"/>
                <w:b w:val="0"/>
                <w:noProof/>
                <w:kern w:val="2"/>
                <w:lang w:eastAsia="en-AU"/>
                <w14:ligatures w14:val="standardContextual"/>
              </w:rPr>
              <w:tab/>
            </w:r>
            <w:r w:rsidR="00775AF6" w:rsidRPr="00BB7F41">
              <w:rPr>
                <w:rStyle w:val="Hyperlink"/>
                <w:noProof/>
              </w:rPr>
              <w:t>What policy options are you considering?</w:t>
            </w:r>
            <w:r w:rsidR="00775AF6">
              <w:rPr>
                <w:noProof/>
                <w:webHidden/>
              </w:rPr>
              <w:tab/>
            </w:r>
            <w:r w:rsidR="00775AF6">
              <w:rPr>
                <w:noProof/>
                <w:webHidden/>
              </w:rPr>
              <w:fldChar w:fldCharType="begin"/>
            </w:r>
            <w:r w:rsidR="00775AF6">
              <w:rPr>
                <w:noProof/>
                <w:webHidden/>
              </w:rPr>
              <w:instrText xml:space="preserve"> PAGEREF _Toc151123104 \h </w:instrText>
            </w:r>
            <w:r w:rsidR="00775AF6">
              <w:rPr>
                <w:noProof/>
                <w:webHidden/>
              </w:rPr>
            </w:r>
            <w:r w:rsidR="00775AF6">
              <w:rPr>
                <w:noProof/>
                <w:webHidden/>
              </w:rPr>
              <w:fldChar w:fldCharType="separate"/>
            </w:r>
            <w:r w:rsidR="00282315">
              <w:rPr>
                <w:noProof/>
                <w:webHidden/>
              </w:rPr>
              <w:t>14</w:t>
            </w:r>
            <w:r w:rsidR="00775AF6">
              <w:rPr>
                <w:noProof/>
                <w:webHidden/>
              </w:rPr>
              <w:fldChar w:fldCharType="end"/>
            </w:r>
          </w:hyperlink>
        </w:p>
        <w:p w14:paraId="3C35D424" w14:textId="7A57F752"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05" w:history="1">
            <w:r w:rsidR="00775AF6" w:rsidRPr="00BB7F41">
              <w:rPr>
                <w:rStyle w:val="Hyperlink"/>
                <w:noProof/>
              </w:rPr>
              <w:t>5.1</w:t>
            </w:r>
            <w:r w:rsidR="00775AF6">
              <w:rPr>
                <w:rFonts w:eastAsiaTheme="minorEastAsia"/>
                <w:noProof/>
                <w:kern w:val="2"/>
                <w:lang w:eastAsia="en-AU"/>
                <w14:ligatures w14:val="standardContextual"/>
              </w:rPr>
              <w:tab/>
            </w:r>
            <w:r w:rsidR="00775AF6" w:rsidRPr="00BB7F41">
              <w:rPr>
                <w:rStyle w:val="Hyperlink"/>
                <w:noProof/>
              </w:rPr>
              <w:t>Option 1 – no pre-employment service for parents</w:t>
            </w:r>
            <w:r w:rsidR="00775AF6">
              <w:rPr>
                <w:noProof/>
                <w:webHidden/>
              </w:rPr>
              <w:tab/>
            </w:r>
            <w:r w:rsidR="00775AF6">
              <w:rPr>
                <w:noProof/>
                <w:webHidden/>
              </w:rPr>
              <w:fldChar w:fldCharType="begin"/>
            </w:r>
            <w:r w:rsidR="00775AF6">
              <w:rPr>
                <w:noProof/>
                <w:webHidden/>
              </w:rPr>
              <w:instrText xml:space="preserve"> PAGEREF _Toc151123105 \h </w:instrText>
            </w:r>
            <w:r w:rsidR="00775AF6">
              <w:rPr>
                <w:noProof/>
                <w:webHidden/>
              </w:rPr>
            </w:r>
            <w:r w:rsidR="00775AF6">
              <w:rPr>
                <w:noProof/>
                <w:webHidden/>
              </w:rPr>
              <w:fldChar w:fldCharType="separate"/>
            </w:r>
            <w:r w:rsidR="00282315">
              <w:rPr>
                <w:noProof/>
                <w:webHidden/>
              </w:rPr>
              <w:t>14</w:t>
            </w:r>
            <w:r w:rsidR="00775AF6">
              <w:rPr>
                <w:noProof/>
                <w:webHidden/>
              </w:rPr>
              <w:fldChar w:fldCharType="end"/>
            </w:r>
          </w:hyperlink>
        </w:p>
        <w:p w14:paraId="7818498C" w14:textId="7EA14AA3"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06" w:history="1">
            <w:r w:rsidR="00775AF6" w:rsidRPr="00BB7F41">
              <w:rPr>
                <w:rStyle w:val="Hyperlink"/>
                <w:noProof/>
              </w:rPr>
              <w:t>5.2</w:t>
            </w:r>
            <w:r w:rsidR="00775AF6">
              <w:rPr>
                <w:rFonts w:eastAsiaTheme="minorEastAsia"/>
                <w:noProof/>
                <w:kern w:val="2"/>
                <w:lang w:eastAsia="en-AU"/>
                <w14:ligatures w14:val="standardContextual"/>
              </w:rPr>
              <w:tab/>
            </w:r>
            <w:r w:rsidR="00775AF6" w:rsidRPr="00BB7F41">
              <w:rPr>
                <w:rStyle w:val="Hyperlink"/>
                <w:noProof/>
              </w:rPr>
              <w:t>Option 2 – new voluntary pre-employment service for vulnerable parents</w:t>
            </w:r>
            <w:r w:rsidR="00775AF6">
              <w:rPr>
                <w:noProof/>
                <w:webHidden/>
              </w:rPr>
              <w:tab/>
            </w:r>
            <w:r w:rsidR="00775AF6">
              <w:rPr>
                <w:noProof/>
                <w:webHidden/>
              </w:rPr>
              <w:fldChar w:fldCharType="begin"/>
            </w:r>
            <w:r w:rsidR="00775AF6">
              <w:rPr>
                <w:noProof/>
                <w:webHidden/>
              </w:rPr>
              <w:instrText xml:space="preserve"> PAGEREF _Toc151123106 \h </w:instrText>
            </w:r>
            <w:r w:rsidR="00775AF6">
              <w:rPr>
                <w:noProof/>
                <w:webHidden/>
              </w:rPr>
            </w:r>
            <w:r w:rsidR="00775AF6">
              <w:rPr>
                <w:noProof/>
                <w:webHidden/>
              </w:rPr>
              <w:fldChar w:fldCharType="separate"/>
            </w:r>
            <w:r w:rsidR="00282315">
              <w:rPr>
                <w:noProof/>
                <w:webHidden/>
              </w:rPr>
              <w:t>14</w:t>
            </w:r>
            <w:r w:rsidR="00775AF6">
              <w:rPr>
                <w:noProof/>
                <w:webHidden/>
              </w:rPr>
              <w:fldChar w:fldCharType="end"/>
            </w:r>
          </w:hyperlink>
        </w:p>
        <w:p w14:paraId="56CA678F" w14:textId="3A87C072" w:rsidR="00775AF6" w:rsidRDefault="004C63E5">
          <w:pPr>
            <w:pStyle w:val="TOC3"/>
            <w:tabs>
              <w:tab w:val="right" w:leader="dot" w:pos="9060"/>
            </w:tabs>
            <w:rPr>
              <w:rFonts w:eastAsiaTheme="minorEastAsia"/>
              <w:noProof/>
              <w:kern w:val="2"/>
              <w:lang w:eastAsia="en-AU"/>
              <w14:ligatures w14:val="standardContextual"/>
            </w:rPr>
          </w:pPr>
          <w:hyperlink w:anchor="_Toc151123107" w:history="1">
            <w:r w:rsidR="00775AF6" w:rsidRPr="00BB7F41">
              <w:rPr>
                <w:rStyle w:val="Hyperlink"/>
                <w:noProof/>
              </w:rPr>
              <w:t>Features of this option</w:t>
            </w:r>
            <w:r w:rsidR="00775AF6">
              <w:rPr>
                <w:noProof/>
                <w:webHidden/>
              </w:rPr>
              <w:tab/>
            </w:r>
            <w:r w:rsidR="00775AF6">
              <w:rPr>
                <w:noProof/>
                <w:webHidden/>
              </w:rPr>
              <w:fldChar w:fldCharType="begin"/>
            </w:r>
            <w:r w:rsidR="00775AF6">
              <w:rPr>
                <w:noProof/>
                <w:webHidden/>
              </w:rPr>
              <w:instrText xml:space="preserve"> PAGEREF _Toc151123107 \h </w:instrText>
            </w:r>
            <w:r w:rsidR="00775AF6">
              <w:rPr>
                <w:noProof/>
                <w:webHidden/>
              </w:rPr>
            </w:r>
            <w:r w:rsidR="00775AF6">
              <w:rPr>
                <w:noProof/>
                <w:webHidden/>
              </w:rPr>
              <w:fldChar w:fldCharType="separate"/>
            </w:r>
            <w:r w:rsidR="00282315">
              <w:rPr>
                <w:noProof/>
                <w:webHidden/>
              </w:rPr>
              <w:t>15</w:t>
            </w:r>
            <w:r w:rsidR="00775AF6">
              <w:rPr>
                <w:noProof/>
                <w:webHidden/>
              </w:rPr>
              <w:fldChar w:fldCharType="end"/>
            </w:r>
          </w:hyperlink>
        </w:p>
        <w:p w14:paraId="2DF3C1C6" w14:textId="535BC712" w:rsidR="00775AF6" w:rsidRDefault="004C63E5">
          <w:pPr>
            <w:pStyle w:val="TOC3"/>
            <w:tabs>
              <w:tab w:val="right" w:leader="dot" w:pos="9060"/>
            </w:tabs>
            <w:rPr>
              <w:rFonts w:eastAsiaTheme="minorEastAsia"/>
              <w:noProof/>
              <w:kern w:val="2"/>
              <w:lang w:eastAsia="en-AU"/>
              <w14:ligatures w14:val="standardContextual"/>
            </w:rPr>
          </w:pPr>
          <w:hyperlink w:anchor="_Toc151123108" w:history="1">
            <w:r w:rsidR="00775AF6" w:rsidRPr="00BB7F41">
              <w:rPr>
                <w:rStyle w:val="Hyperlink"/>
                <w:noProof/>
              </w:rPr>
              <w:t>Eligibility and engagement</w:t>
            </w:r>
            <w:r w:rsidR="00775AF6">
              <w:rPr>
                <w:noProof/>
                <w:webHidden/>
              </w:rPr>
              <w:tab/>
            </w:r>
            <w:r w:rsidR="00775AF6">
              <w:rPr>
                <w:noProof/>
                <w:webHidden/>
              </w:rPr>
              <w:fldChar w:fldCharType="begin"/>
            </w:r>
            <w:r w:rsidR="00775AF6">
              <w:rPr>
                <w:noProof/>
                <w:webHidden/>
              </w:rPr>
              <w:instrText xml:space="preserve"> PAGEREF _Toc151123108 \h </w:instrText>
            </w:r>
            <w:r w:rsidR="00775AF6">
              <w:rPr>
                <w:noProof/>
                <w:webHidden/>
              </w:rPr>
            </w:r>
            <w:r w:rsidR="00775AF6">
              <w:rPr>
                <w:noProof/>
                <w:webHidden/>
              </w:rPr>
              <w:fldChar w:fldCharType="separate"/>
            </w:r>
            <w:r w:rsidR="00282315">
              <w:rPr>
                <w:noProof/>
                <w:webHidden/>
              </w:rPr>
              <w:t>16</w:t>
            </w:r>
            <w:r w:rsidR="00775AF6">
              <w:rPr>
                <w:noProof/>
                <w:webHidden/>
              </w:rPr>
              <w:fldChar w:fldCharType="end"/>
            </w:r>
          </w:hyperlink>
        </w:p>
        <w:p w14:paraId="7B5DA730" w14:textId="6C4CD85D" w:rsidR="00775AF6" w:rsidRDefault="004C63E5">
          <w:pPr>
            <w:pStyle w:val="TOC3"/>
            <w:tabs>
              <w:tab w:val="right" w:leader="dot" w:pos="9060"/>
            </w:tabs>
            <w:rPr>
              <w:rFonts w:eastAsiaTheme="minorEastAsia"/>
              <w:noProof/>
              <w:kern w:val="2"/>
              <w:lang w:eastAsia="en-AU"/>
              <w14:ligatures w14:val="standardContextual"/>
            </w:rPr>
          </w:pPr>
          <w:hyperlink w:anchor="_Toc151123109" w:history="1">
            <w:r w:rsidR="00775AF6" w:rsidRPr="00BB7F41">
              <w:rPr>
                <w:rStyle w:val="Hyperlink"/>
                <w:noProof/>
              </w:rPr>
              <w:t>Servicing arrangements</w:t>
            </w:r>
            <w:r w:rsidR="00775AF6">
              <w:rPr>
                <w:noProof/>
                <w:webHidden/>
              </w:rPr>
              <w:tab/>
            </w:r>
            <w:r w:rsidR="00775AF6">
              <w:rPr>
                <w:noProof/>
                <w:webHidden/>
              </w:rPr>
              <w:fldChar w:fldCharType="begin"/>
            </w:r>
            <w:r w:rsidR="00775AF6">
              <w:rPr>
                <w:noProof/>
                <w:webHidden/>
              </w:rPr>
              <w:instrText xml:space="preserve"> PAGEREF _Toc151123109 \h </w:instrText>
            </w:r>
            <w:r w:rsidR="00775AF6">
              <w:rPr>
                <w:noProof/>
                <w:webHidden/>
              </w:rPr>
            </w:r>
            <w:r w:rsidR="00775AF6">
              <w:rPr>
                <w:noProof/>
                <w:webHidden/>
              </w:rPr>
              <w:fldChar w:fldCharType="separate"/>
            </w:r>
            <w:r w:rsidR="00282315">
              <w:rPr>
                <w:noProof/>
                <w:webHidden/>
              </w:rPr>
              <w:t>17</w:t>
            </w:r>
            <w:r w:rsidR="00775AF6">
              <w:rPr>
                <w:noProof/>
                <w:webHidden/>
              </w:rPr>
              <w:fldChar w:fldCharType="end"/>
            </w:r>
          </w:hyperlink>
        </w:p>
        <w:p w14:paraId="52E3C99B" w14:textId="5F6E5BB8"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10" w:history="1">
            <w:r w:rsidR="00775AF6" w:rsidRPr="00BB7F41">
              <w:rPr>
                <w:rStyle w:val="Hyperlink"/>
                <w:noProof/>
              </w:rPr>
              <w:t>5.3</w:t>
            </w:r>
            <w:r w:rsidR="00775AF6">
              <w:rPr>
                <w:rFonts w:eastAsiaTheme="minorEastAsia"/>
                <w:noProof/>
                <w:kern w:val="2"/>
                <w:lang w:eastAsia="en-AU"/>
                <w14:ligatures w14:val="standardContextual"/>
              </w:rPr>
              <w:tab/>
            </w:r>
            <w:r w:rsidR="00775AF6" w:rsidRPr="00BB7F41">
              <w:rPr>
                <w:rStyle w:val="Hyperlink"/>
                <w:noProof/>
              </w:rPr>
              <w:t>Option 3 – new voluntary pre-employment service for Parenting Payment recipients</w:t>
            </w:r>
            <w:r w:rsidR="00775AF6">
              <w:rPr>
                <w:noProof/>
                <w:webHidden/>
              </w:rPr>
              <w:tab/>
            </w:r>
            <w:r w:rsidR="00775AF6">
              <w:rPr>
                <w:noProof/>
                <w:webHidden/>
              </w:rPr>
              <w:fldChar w:fldCharType="begin"/>
            </w:r>
            <w:r w:rsidR="00775AF6">
              <w:rPr>
                <w:noProof/>
                <w:webHidden/>
              </w:rPr>
              <w:instrText xml:space="preserve"> PAGEREF _Toc151123110 \h </w:instrText>
            </w:r>
            <w:r w:rsidR="00775AF6">
              <w:rPr>
                <w:noProof/>
                <w:webHidden/>
              </w:rPr>
            </w:r>
            <w:r w:rsidR="00775AF6">
              <w:rPr>
                <w:noProof/>
                <w:webHidden/>
              </w:rPr>
              <w:fldChar w:fldCharType="separate"/>
            </w:r>
            <w:r w:rsidR="00282315">
              <w:rPr>
                <w:noProof/>
                <w:webHidden/>
              </w:rPr>
              <w:t>19</w:t>
            </w:r>
            <w:r w:rsidR="00775AF6">
              <w:rPr>
                <w:noProof/>
                <w:webHidden/>
              </w:rPr>
              <w:fldChar w:fldCharType="end"/>
            </w:r>
          </w:hyperlink>
        </w:p>
        <w:p w14:paraId="07BA322D" w14:textId="468D04E8" w:rsidR="00775AF6" w:rsidRDefault="004C63E5">
          <w:pPr>
            <w:pStyle w:val="TOC1"/>
            <w:tabs>
              <w:tab w:val="left" w:pos="440"/>
            </w:tabs>
            <w:rPr>
              <w:rFonts w:eastAsiaTheme="minorEastAsia"/>
              <w:b w:val="0"/>
              <w:noProof/>
              <w:kern w:val="2"/>
              <w:lang w:eastAsia="en-AU"/>
              <w14:ligatures w14:val="standardContextual"/>
            </w:rPr>
          </w:pPr>
          <w:hyperlink w:anchor="_Toc151123111" w:history="1">
            <w:r w:rsidR="00775AF6" w:rsidRPr="00BB7F41">
              <w:rPr>
                <w:rStyle w:val="Hyperlink"/>
                <w:noProof/>
              </w:rPr>
              <w:t>6.</w:t>
            </w:r>
            <w:r w:rsidR="00775AF6">
              <w:rPr>
                <w:rFonts w:eastAsiaTheme="minorEastAsia"/>
                <w:b w:val="0"/>
                <w:noProof/>
                <w:kern w:val="2"/>
                <w:lang w:eastAsia="en-AU"/>
                <w14:ligatures w14:val="standardContextual"/>
              </w:rPr>
              <w:tab/>
            </w:r>
            <w:r w:rsidR="00775AF6" w:rsidRPr="00BB7F41">
              <w:rPr>
                <w:rStyle w:val="Hyperlink"/>
                <w:noProof/>
              </w:rPr>
              <w:t>What is the likely net benefit of each option?</w:t>
            </w:r>
            <w:r w:rsidR="00775AF6">
              <w:rPr>
                <w:noProof/>
                <w:webHidden/>
              </w:rPr>
              <w:tab/>
            </w:r>
            <w:r w:rsidR="00775AF6">
              <w:rPr>
                <w:noProof/>
                <w:webHidden/>
              </w:rPr>
              <w:fldChar w:fldCharType="begin"/>
            </w:r>
            <w:r w:rsidR="00775AF6">
              <w:rPr>
                <w:noProof/>
                <w:webHidden/>
              </w:rPr>
              <w:instrText xml:space="preserve"> PAGEREF _Toc151123111 \h </w:instrText>
            </w:r>
            <w:r w:rsidR="00775AF6">
              <w:rPr>
                <w:noProof/>
                <w:webHidden/>
              </w:rPr>
            </w:r>
            <w:r w:rsidR="00775AF6">
              <w:rPr>
                <w:noProof/>
                <w:webHidden/>
              </w:rPr>
              <w:fldChar w:fldCharType="separate"/>
            </w:r>
            <w:r w:rsidR="00282315">
              <w:rPr>
                <w:noProof/>
                <w:webHidden/>
              </w:rPr>
              <w:t>19</w:t>
            </w:r>
            <w:r w:rsidR="00775AF6">
              <w:rPr>
                <w:noProof/>
                <w:webHidden/>
              </w:rPr>
              <w:fldChar w:fldCharType="end"/>
            </w:r>
          </w:hyperlink>
        </w:p>
        <w:p w14:paraId="0D23AD49" w14:textId="0B020F7A"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12" w:history="1">
            <w:r w:rsidR="00775AF6" w:rsidRPr="00BB7F41">
              <w:rPr>
                <w:rStyle w:val="Hyperlink"/>
                <w:noProof/>
                <w:lang w:val="en-US"/>
              </w:rPr>
              <w:t>6.1</w:t>
            </w:r>
            <w:r w:rsidR="00775AF6">
              <w:rPr>
                <w:rFonts w:eastAsiaTheme="minorEastAsia"/>
                <w:noProof/>
                <w:kern w:val="2"/>
                <w:lang w:eastAsia="en-AU"/>
                <w14:ligatures w14:val="standardContextual"/>
              </w:rPr>
              <w:tab/>
            </w:r>
            <w:r w:rsidR="00775AF6" w:rsidRPr="00BB7F41">
              <w:rPr>
                <w:rStyle w:val="Hyperlink"/>
                <w:noProof/>
                <w:lang w:val="en-US"/>
              </w:rPr>
              <w:t xml:space="preserve">Option 1 – no </w:t>
            </w:r>
            <w:r w:rsidR="00775AF6" w:rsidRPr="00BB7F41">
              <w:rPr>
                <w:rStyle w:val="Hyperlink"/>
                <w:noProof/>
              </w:rPr>
              <w:t>pre-employment service for parents</w:t>
            </w:r>
            <w:r w:rsidR="00775AF6">
              <w:rPr>
                <w:noProof/>
                <w:webHidden/>
              </w:rPr>
              <w:tab/>
            </w:r>
            <w:r w:rsidR="00775AF6">
              <w:rPr>
                <w:noProof/>
                <w:webHidden/>
              </w:rPr>
              <w:fldChar w:fldCharType="begin"/>
            </w:r>
            <w:r w:rsidR="00775AF6">
              <w:rPr>
                <w:noProof/>
                <w:webHidden/>
              </w:rPr>
              <w:instrText xml:space="preserve"> PAGEREF _Toc151123112 \h </w:instrText>
            </w:r>
            <w:r w:rsidR="00775AF6">
              <w:rPr>
                <w:noProof/>
                <w:webHidden/>
              </w:rPr>
            </w:r>
            <w:r w:rsidR="00775AF6">
              <w:rPr>
                <w:noProof/>
                <w:webHidden/>
              </w:rPr>
              <w:fldChar w:fldCharType="separate"/>
            </w:r>
            <w:r w:rsidR="00282315">
              <w:rPr>
                <w:noProof/>
                <w:webHidden/>
              </w:rPr>
              <w:t>20</w:t>
            </w:r>
            <w:r w:rsidR="00775AF6">
              <w:rPr>
                <w:noProof/>
                <w:webHidden/>
              </w:rPr>
              <w:fldChar w:fldCharType="end"/>
            </w:r>
          </w:hyperlink>
        </w:p>
        <w:p w14:paraId="2CBB8131" w14:textId="6C2B1994" w:rsidR="00775AF6" w:rsidRDefault="004C63E5">
          <w:pPr>
            <w:pStyle w:val="TOC3"/>
            <w:tabs>
              <w:tab w:val="right" w:leader="dot" w:pos="9060"/>
            </w:tabs>
            <w:rPr>
              <w:rFonts w:eastAsiaTheme="minorEastAsia"/>
              <w:noProof/>
              <w:kern w:val="2"/>
              <w:lang w:eastAsia="en-AU"/>
              <w14:ligatures w14:val="standardContextual"/>
            </w:rPr>
          </w:pPr>
          <w:hyperlink w:anchor="_Toc151123113" w:history="1">
            <w:r w:rsidR="00775AF6" w:rsidRPr="00BB7F41">
              <w:rPr>
                <w:rStyle w:val="Hyperlink"/>
                <w:noProof/>
                <w:lang w:val="en-US"/>
              </w:rPr>
              <w:t>Who would this option impact?</w:t>
            </w:r>
            <w:r w:rsidR="00775AF6">
              <w:rPr>
                <w:noProof/>
                <w:webHidden/>
              </w:rPr>
              <w:tab/>
            </w:r>
            <w:r w:rsidR="00775AF6">
              <w:rPr>
                <w:noProof/>
                <w:webHidden/>
              </w:rPr>
              <w:fldChar w:fldCharType="begin"/>
            </w:r>
            <w:r w:rsidR="00775AF6">
              <w:rPr>
                <w:noProof/>
                <w:webHidden/>
              </w:rPr>
              <w:instrText xml:space="preserve"> PAGEREF _Toc151123113 \h </w:instrText>
            </w:r>
            <w:r w:rsidR="00775AF6">
              <w:rPr>
                <w:noProof/>
                <w:webHidden/>
              </w:rPr>
            </w:r>
            <w:r w:rsidR="00775AF6">
              <w:rPr>
                <w:noProof/>
                <w:webHidden/>
              </w:rPr>
              <w:fldChar w:fldCharType="separate"/>
            </w:r>
            <w:r w:rsidR="00282315">
              <w:rPr>
                <w:noProof/>
                <w:webHidden/>
              </w:rPr>
              <w:t>20</w:t>
            </w:r>
            <w:r w:rsidR="00775AF6">
              <w:rPr>
                <w:noProof/>
                <w:webHidden/>
              </w:rPr>
              <w:fldChar w:fldCharType="end"/>
            </w:r>
          </w:hyperlink>
        </w:p>
        <w:p w14:paraId="30580D11" w14:textId="1194C83A" w:rsidR="00775AF6" w:rsidRDefault="004C63E5">
          <w:pPr>
            <w:pStyle w:val="TOC3"/>
            <w:tabs>
              <w:tab w:val="right" w:leader="dot" w:pos="9060"/>
            </w:tabs>
            <w:rPr>
              <w:rFonts w:eastAsiaTheme="minorEastAsia"/>
              <w:noProof/>
              <w:kern w:val="2"/>
              <w:lang w:eastAsia="en-AU"/>
              <w14:ligatures w14:val="standardContextual"/>
            </w:rPr>
          </w:pPr>
          <w:hyperlink w:anchor="_Toc151123114" w:history="1">
            <w:r w:rsidR="00775AF6" w:rsidRPr="00BB7F41">
              <w:rPr>
                <w:rStyle w:val="Hyperlink"/>
                <w:noProof/>
                <w:lang w:val="en-US"/>
              </w:rPr>
              <w:t>Overall impact</w:t>
            </w:r>
            <w:r w:rsidR="00775AF6">
              <w:rPr>
                <w:noProof/>
                <w:webHidden/>
              </w:rPr>
              <w:tab/>
            </w:r>
            <w:r w:rsidR="00775AF6">
              <w:rPr>
                <w:noProof/>
                <w:webHidden/>
              </w:rPr>
              <w:fldChar w:fldCharType="begin"/>
            </w:r>
            <w:r w:rsidR="00775AF6">
              <w:rPr>
                <w:noProof/>
                <w:webHidden/>
              </w:rPr>
              <w:instrText xml:space="preserve"> PAGEREF _Toc151123114 \h </w:instrText>
            </w:r>
            <w:r w:rsidR="00775AF6">
              <w:rPr>
                <w:noProof/>
                <w:webHidden/>
              </w:rPr>
            </w:r>
            <w:r w:rsidR="00775AF6">
              <w:rPr>
                <w:noProof/>
                <w:webHidden/>
              </w:rPr>
              <w:fldChar w:fldCharType="separate"/>
            </w:r>
            <w:r w:rsidR="00282315">
              <w:rPr>
                <w:noProof/>
                <w:webHidden/>
              </w:rPr>
              <w:t>20</w:t>
            </w:r>
            <w:r w:rsidR="00775AF6">
              <w:rPr>
                <w:noProof/>
                <w:webHidden/>
              </w:rPr>
              <w:fldChar w:fldCharType="end"/>
            </w:r>
          </w:hyperlink>
        </w:p>
        <w:p w14:paraId="3CFA1DF7" w14:textId="7D043F58" w:rsidR="00775AF6" w:rsidRDefault="004C63E5">
          <w:pPr>
            <w:pStyle w:val="TOC3"/>
            <w:tabs>
              <w:tab w:val="right" w:leader="dot" w:pos="9060"/>
            </w:tabs>
            <w:rPr>
              <w:rFonts w:eastAsiaTheme="minorEastAsia"/>
              <w:noProof/>
              <w:kern w:val="2"/>
              <w:lang w:eastAsia="en-AU"/>
              <w14:ligatures w14:val="standardContextual"/>
            </w:rPr>
          </w:pPr>
          <w:hyperlink w:anchor="_Toc151123115" w:history="1">
            <w:r w:rsidR="00775AF6" w:rsidRPr="00BB7F41">
              <w:rPr>
                <w:rStyle w:val="Hyperlink"/>
                <w:noProof/>
                <w:lang w:val="en-US"/>
              </w:rPr>
              <w:t>Regulatory costs</w:t>
            </w:r>
            <w:r w:rsidR="00775AF6">
              <w:rPr>
                <w:noProof/>
                <w:webHidden/>
              </w:rPr>
              <w:tab/>
            </w:r>
            <w:r w:rsidR="00775AF6">
              <w:rPr>
                <w:noProof/>
                <w:webHidden/>
              </w:rPr>
              <w:fldChar w:fldCharType="begin"/>
            </w:r>
            <w:r w:rsidR="00775AF6">
              <w:rPr>
                <w:noProof/>
                <w:webHidden/>
              </w:rPr>
              <w:instrText xml:space="preserve"> PAGEREF _Toc151123115 \h </w:instrText>
            </w:r>
            <w:r w:rsidR="00775AF6">
              <w:rPr>
                <w:noProof/>
                <w:webHidden/>
              </w:rPr>
            </w:r>
            <w:r w:rsidR="00775AF6">
              <w:rPr>
                <w:noProof/>
                <w:webHidden/>
              </w:rPr>
              <w:fldChar w:fldCharType="separate"/>
            </w:r>
            <w:r w:rsidR="00282315">
              <w:rPr>
                <w:noProof/>
                <w:webHidden/>
              </w:rPr>
              <w:t>24</w:t>
            </w:r>
            <w:r w:rsidR="00775AF6">
              <w:rPr>
                <w:noProof/>
                <w:webHidden/>
              </w:rPr>
              <w:fldChar w:fldCharType="end"/>
            </w:r>
          </w:hyperlink>
        </w:p>
        <w:p w14:paraId="625C6FEF" w14:textId="24A318BC"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16" w:history="1">
            <w:r w:rsidR="00775AF6" w:rsidRPr="00BB7F41">
              <w:rPr>
                <w:rStyle w:val="Hyperlink"/>
                <w:noProof/>
                <w:lang w:val="en-US"/>
              </w:rPr>
              <w:t>6.2</w:t>
            </w:r>
            <w:r w:rsidR="00775AF6">
              <w:rPr>
                <w:rFonts w:eastAsiaTheme="minorEastAsia"/>
                <w:noProof/>
                <w:kern w:val="2"/>
                <w:lang w:eastAsia="en-AU"/>
                <w14:ligatures w14:val="standardContextual"/>
              </w:rPr>
              <w:tab/>
            </w:r>
            <w:r w:rsidR="00775AF6" w:rsidRPr="00BB7F41">
              <w:rPr>
                <w:rStyle w:val="Hyperlink"/>
                <w:noProof/>
                <w:lang w:val="en-US"/>
              </w:rPr>
              <w:t>Option 2 – new voluntary pre-employment service for vulnerable parents</w:t>
            </w:r>
            <w:r w:rsidR="00775AF6">
              <w:rPr>
                <w:noProof/>
                <w:webHidden/>
              </w:rPr>
              <w:tab/>
            </w:r>
            <w:r w:rsidR="00775AF6">
              <w:rPr>
                <w:noProof/>
                <w:webHidden/>
              </w:rPr>
              <w:fldChar w:fldCharType="begin"/>
            </w:r>
            <w:r w:rsidR="00775AF6">
              <w:rPr>
                <w:noProof/>
                <w:webHidden/>
              </w:rPr>
              <w:instrText xml:space="preserve"> PAGEREF _Toc151123116 \h </w:instrText>
            </w:r>
            <w:r w:rsidR="00775AF6">
              <w:rPr>
                <w:noProof/>
                <w:webHidden/>
              </w:rPr>
            </w:r>
            <w:r w:rsidR="00775AF6">
              <w:rPr>
                <w:noProof/>
                <w:webHidden/>
              </w:rPr>
              <w:fldChar w:fldCharType="separate"/>
            </w:r>
            <w:r w:rsidR="00282315">
              <w:rPr>
                <w:noProof/>
                <w:webHidden/>
              </w:rPr>
              <w:t>24</w:t>
            </w:r>
            <w:r w:rsidR="00775AF6">
              <w:rPr>
                <w:noProof/>
                <w:webHidden/>
              </w:rPr>
              <w:fldChar w:fldCharType="end"/>
            </w:r>
          </w:hyperlink>
        </w:p>
        <w:p w14:paraId="0F3F108C" w14:textId="1F8CF0F9" w:rsidR="00775AF6" w:rsidRDefault="004C63E5">
          <w:pPr>
            <w:pStyle w:val="TOC3"/>
            <w:tabs>
              <w:tab w:val="right" w:leader="dot" w:pos="9060"/>
            </w:tabs>
            <w:rPr>
              <w:rFonts w:eastAsiaTheme="minorEastAsia"/>
              <w:noProof/>
              <w:kern w:val="2"/>
              <w:lang w:eastAsia="en-AU"/>
              <w14:ligatures w14:val="standardContextual"/>
            </w:rPr>
          </w:pPr>
          <w:hyperlink w:anchor="_Toc151123117" w:history="1">
            <w:r w:rsidR="00775AF6" w:rsidRPr="00BB7F41">
              <w:rPr>
                <w:rStyle w:val="Hyperlink"/>
                <w:noProof/>
                <w:lang w:val="en-US"/>
              </w:rPr>
              <w:t>Who would this option impact?</w:t>
            </w:r>
            <w:r w:rsidR="00775AF6">
              <w:rPr>
                <w:noProof/>
                <w:webHidden/>
              </w:rPr>
              <w:tab/>
            </w:r>
            <w:r w:rsidR="00775AF6">
              <w:rPr>
                <w:noProof/>
                <w:webHidden/>
              </w:rPr>
              <w:fldChar w:fldCharType="begin"/>
            </w:r>
            <w:r w:rsidR="00775AF6">
              <w:rPr>
                <w:noProof/>
                <w:webHidden/>
              </w:rPr>
              <w:instrText xml:space="preserve"> PAGEREF _Toc151123117 \h </w:instrText>
            </w:r>
            <w:r w:rsidR="00775AF6">
              <w:rPr>
                <w:noProof/>
                <w:webHidden/>
              </w:rPr>
            </w:r>
            <w:r w:rsidR="00775AF6">
              <w:rPr>
                <w:noProof/>
                <w:webHidden/>
              </w:rPr>
              <w:fldChar w:fldCharType="separate"/>
            </w:r>
            <w:r w:rsidR="00282315">
              <w:rPr>
                <w:noProof/>
                <w:webHidden/>
              </w:rPr>
              <w:t>25</w:t>
            </w:r>
            <w:r w:rsidR="00775AF6">
              <w:rPr>
                <w:noProof/>
                <w:webHidden/>
              </w:rPr>
              <w:fldChar w:fldCharType="end"/>
            </w:r>
          </w:hyperlink>
        </w:p>
        <w:p w14:paraId="016A93D8" w14:textId="4F635E6E" w:rsidR="00775AF6" w:rsidRDefault="004C63E5">
          <w:pPr>
            <w:pStyle w:val="TOC3"/>
            <w:tabs>
              <w:tab w:val="right" w:leader="dot" w:pos="9060"/>
            </w:tabs>
            <w:rPr>
              <w:rFonts w:eastAsiaTheme="minorEastAsia"/>
              <w:noProof/>
              <w:kern w:val="2"/>
              <w:lang w:eastAsia="en-AU"/>
              <w14:ligatures w14:val="standardContextual"/>
            </w:rPr>
          </w:pPr>
          <w:hyperlink w:anchor="_Toc151123118" w:history="1">
            <w:r w:rsidR="00775AF6" w:rsidRPr="00BB7F41">
              <w:rPr>
                <w:rStyle w:val="Hyperlink"/>
                <w:noProof/>
                <w:lang w:val="en-US"/>
              </w:rPr>
              <w:t>Overall impact</w:t>
            </w:r>
            <w:r w:rsidR="00775AF6">
              <w:rPr>
                <w:noProof/>
                <w:webHidden/>
              </w:rPr>
              <w:tab/>
            </w:r>
            <w:r w:rsidR="00775AF6">
              <w:rPr>
                <w:noProof/>
                <w:webHidden/>
              </w:rPr>
              <w:fldChar w:fldCharType="begin"/>
            </w:r>
            <w:r w:rsidR="00775AF6">
              <w:rPr>
                <w:noProof/>
                <w:webHidden/>
              </w:rPr>
              <w:instrText xml:space="preserve"> PAGEREF _Toc151123118 \h </w:instrText>
            </w:r>
            <w:r w:rsidR="00775AF6">
              <w:rPr>
                <w:noProof/>
                <w:webHidden/>
              </w:rPr>
            </w:r>
            <w:r w:rsidR="00775AF6">
              <w:rPr>
                <w:noProof/>
                <w:webHidden/>
              </w:rPr>
              <w:fldChar w:fldCharType="separate"/>
            </w:r>
            <w:r w:rsidR="00282315">
              <w:rPr>
                <w:noProof/>
                <w:webHidden/>
              </w:rPr>
              <w:t>26</w:t>
            </w:r>
            <w:r w:rsidR="00775AF6">
              <w:rPr>
                <w:noProof/>
                <w:webHidden/>
              </w:rPr>
              <w:fldChar w:fldCharType="end"/>
            </w:r>
          </w:hyperlink>
        </w:p>
        <w:p w14:paraId="70B675CB" w14:textId="241E2AA9" w:rsidR="00775AF6" w:rsidRDefault="004C63E5">
          <w:pPr>
            <w:pStyle w:val="TOC3"/>
            <w:tabs>
              <w:tab w:val="right" w:leader="dot" w:pos="9060"/>
            </w:tabs>
            <w:rPr>
              <w:rFonts w:eastAsiaTheme="minorEastAsia"/>
              <w:noProof/>
              <w:kern w:val="2"/>
              <w:lang w:eastAsia="en-AU"/>
              <w14:ligatures w14:val="standardContextual"/>
            </w:rPr>
          </w:pPr>
          <w:hyperlink w:anchor="_Toc151123119" w:history="1">
            <w:r w:rsidR="00775AF6" w:rsidRPr="00BB7F41">
              <w:rPr>
                <w:rStyle w:val="Hyperlink"/>
                <w:noProof/>
                <w:lang w:val="en-US"/>
              </w:rPr>
              <w:t>Regulatory costs</w:t>
            </w:r>
            <w:r w:rsidR="00775AF6">
              <w:rPr>
                <w:noProof/>
                <w:webHidden/>
              </w:rPr>
              <w:tab/>
            </w:r>
            <w:r w:rsidR="00775AF6">
              <w:rPr>
                <w:noProof/>
                <w:webHidden/>
              </w:rPr>
              <w:fldChar w:fldCharType="begin"/>
            </w:r>
            <w:r w:rsidR="00775AF6">
              <w:rPr>
                <w:noProof/>
                <w:webHidden/>
              </w:rPr>
              <w:instrText xml:space="preserve"> PAGEREF _Toc151123119 \h </w:instrText>
            </w:r>
            <w:r w:rsidR="00775AF6">
              <w:rPr>
                <w:noProof/>
                <w:webHidden/>
              </w:rPr>
            </w:r>
            <w:r w:rsidR="00775AF6">
              <w:rPr>
                <w:noProof/>
                <w:webHidden/>
              </w:rPr>
              <w:fldChar w:fldCharType="separate"/>
            </w:r>
            <w:r w:rsidR="00282315">
              <w:rPr>
                <w:noProof/>
                <w:webHidden/>
              </w:rPr>
              <w:t>30</w:t>
            </w:r>
            <w:r w:rsidR="00775AF6">
              <w:rPr>
                <w:noProof/>
                <w:webHidden/>
              </w:rPr>
              <w:fldChar w:fldCharType="end"/>
            </w:r>
          </w:hyperlink>
        </w:p>
        <w:p w14:paraId="22D1F305" w14:textId="1913E551"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20" w:history="1">
            <w:r w:rsidR="00775AF6" w:rsidRPr="00BB7F41">
              <w:rPr>
                <w:rStyle w:val="Hyperlink"/>
                <w:noProof/>
                <w:lang w:val="en-US"/>
              </w:rPr>
              <w:t>6.3</w:t>
            </w:r>
            <w:r w:rsidR="00775AF6">
              <w:rPr>
                <w:rFonts w:eastAsiaTheme="minorEastAsia"/>
                <w:noProof/>
                <w:kern w:val="2"/>
                <w:lang w:eastAsia="en-AU"/>
                <w14:ligatures w14:val="standardContextual"/>
              </w:rPr>
              <w:tab/>
            </w:r>
            <w:r w:rsidR="00775AF6" w:rsidRPr="00BB7F41">
              <w:rPr>
                <w:rStyle w:val="Hyperlink"/>
                <w:noProof/>
                <w:lang w:val="en-US"/>
              </w:rPr>
              <w:t>Option 3 – new voluntary pre-employment service for Parenting Payment recipients</w:t>
            </w:r>
            <w:r w:rsidR="00775AF6">
              <w:rPr>
                <w:noProof/>
                <w:webHidden/>
              </w:rPr>
              <w:tab/>
            </w:r>
            <w:r w:rsidR="00775AF6">
              <w:rPr>
                <w:noProof/>
                <w:webHidden/>
              </w:rPr>
              <w:fldChar w:fldCharType="begin"/>
            </w:r>
            <w:r w:rsidR="00775AF6">
              <w:rPr>
                <w:noProof/>
                <w:webHidden/>
              </w:rPr>
              <w:instrText xml:space="preserve"> PAGEREF _Toc151123120 \h </w:instrText>
            </w:r>
            <w:r w:rsidR="00775AF6">
              <w:rPr>
                <w:noProof/>
                <w:webHidden/>
              </w:rPr>
            </w:r>
            <w:r w:rsidR="00775AF6">
              <w:rPr>
                <w:noProof/>
                <w:webHidden/>
              </w:rPr>
              <w:fldChar w:fldCharType="separate"/>
            </w:r>
            <w:r w:rsidR="00282315">
              <w:rPr>
                <w:noProof/>
                <w:webHidden/>
              </w:rPr>
              <w:t>31</w:t>
            </w:r>
            <w:r w:rsidR="00775AF6">
              <w:rPr>
                <w:noProof/>
                <w:webHidden/>
              </w:rPr>
              <w:fldChar w:fldCharType="end"/>
            </w:r>
          </w:hyperlink>
        </w:p>
        <w:p w14:paraId="6B64D903" w14:textId="60AE634F" w:rsidR="00775AF6" w:rsidRDefault="004C63E5">
          <w:pPr>
            <w:pStyle w:val="TOC3"/>
            <w:tabs>
              <w:tab w:val="right" w:leader="dot" w:pos="9060"/>
            </w:tabs>
            <w:rPr>
              <w:rFonts w:eastAsiaTheme="minorEastAsia"/>
              <w:noProof/>
              <w:kern w:val="2"/>
              <w:lang w:eastAsia="en-AU"/>
              <w14:ligatures w14:val="standardContextual"/>
            </w:rPr>
          </w:pPr>
          <w:hyperlink w:anchor="_Toc151123121" w:history="1">
            <w:r w:rsidR="00775AF6" w:rsidRPr="00BB7F41">
              <w:rPr>
                <w:rStyle w:val="Hyperlink"/>
                <w:noProof/>
                <w:lang w:val="en-US"/>
              </w:rPr>
              <w:t>Who would this option impact?</w:t>
            </w:r>
            <w:r w:rsidR="00775AF6">
              <w:rPr>
                <w:noProof/>
                <w:webHidden/>
              </w:rPr>
              <w:tab/>
            </w:r>
            <w:r w:rsidR="00775AF6">
              <w:rPr>
                <w:noProof/>
                <w:webHidden/>
              </w:rPr>
              <w:fldChar w:fldCharType="begin"/>
            </w:r>
            <w:r w:rsidR="00775AF6">
              <w:rPr>
                <w:noProof/>
                <w:webHidden/>
              </w:rPr>
              <w:instrText xml:space="preserve"> PAGEREF _Toc151123121 \h </w:instrText>
            </w:r>
            <w:r w:rsidR="00775AF6">
              <w:rPr>
                <w:noProof/>
                <w:webHidden/>
              </w:rPr>
            </w:r>
            <w:r w:rsidR="00775AF6">
              <w:rPr>
                <w:noProof/>
                <w:webHidden/>
              </w:rPr>
              <w:fldChar w:fldCharType="separate"/>
            </w:r>
            <w:r w:rsidR="00282315">
              <w:rPr>
                <w:noProof/>
                <w:webHidden/>
              </w:rPr>
              <w:t>32</w:t>
            </w:r>
            <w:r w:rsidR="00775AF6">
              <w:rPr>
                <w:noProof/>
                <w:webHidden/>
              </w:rPr>
              <w:fldChar w:fldCharType="end"/>
            </w:r>
          </w:hyperlink>
        </w:p>
        <w:p w14:paraId="16E62BE6" w14:textId="25FC3F9D" w:rsidR="00775AF6" w:rsidRDefault="004C63E5">
          <w:pPr>
            <w:pStyle w:val="TOC3"/>
            <w:tabs>
              <w:tab w:val="right" w:leader="dot" w:pos="9060"/>
            </w:tabs>
            <w:rPr>
              <w:rFonts w:eastAsiaTheme="minorEastAsia"/>
              <w:noProof/>
              <w:kern w:val="2"/>
              <w:lang w:eastAsia="en-AU"/>
              <w14:ligatures w14:val="standardContextual"/>
            </w:rPr>
          </w:pPr>
          <w:hyperlink w:anchor="_Toc151123122" w:history="1">
            <w:r w:rsidR="00775AF6" w:rsidRPr="00BB7F41">
              <w:rPr>
                <w:rStyle w:val="Hyperlink"/>
                <w:noProof/>
                <w:lang w:val="en-US"/>
              </w:rPr>
              <w:t>Overall impact</w:t>
            </w:r>
            <w:r w:rsidR="00775AF6">
              <w:rPr>
                <w:noProof/>
                <w:webHidden/>
              </w:rPr>
              <w:tab/>
            </w:r>
            <w:r w:rsidR="00775AF6">
              <w:rPr>
                <w:noProof/>
                <w:webHidden/>
              </w:rPr>
              <w:fldChar w:fldCharType="begin"/>
            </w:r>
            <w:r w:rsidR="00775AF6">
              <w:rPr>
                <w:noProof/>
                <w:webHidden/>
              </w:rPr>
              <w:instrText xml:space="preserve"> PAGEREF _Toc151123122 \h </w:instrText>
            </w:r>
            <w:r w:rsidR="00775AF6">
              <w:rPr>
                <w:noProof/>
                <w:webHidden/>
              </w:rPr>
            </w:r>
            <w:r w:rsidR="00775AF6">
              <w:rPr>
                <w:noProof/>
                <w:webHidden/>
              </w:rPr>
              <w:fldChar w:fldCharType="separate"/>
            </w:r>
            <w:r w:rsidR="00282315">
              <w:rPr>
                <w:noProof/>
                <w:webHidden/>
              </w:rPr>
              <w:t>33</w:t>
            </w:r>
            <w:r w:rsidR="00775AF6">
              <w:rPr>
                <w:noProof/>
                <w:webHidden/>
              </w:rPr>
              <w:fldChar w:fldCharType="end"/>
            </w:r>
          </w:hyperlink>
        </w:p>
        <w:p w14:paraId="172EC7EF" w14:textId="6716F504" w:rsidR="00775AF6" w:rsidRDefault="004C63E5">
          <w:pPr>
            <w:pStyle w:val="TOC3"/>
            <w:tabs>
              <w:tab w:val="right" w:leader="dot" w:pos="9060"/>
            </w:tabs>
            <w:rPr>
              <w:rFonts w:eastAsiaTheme="minorEastAsia"/>
              <w:noProof/>
              <w:kern w:val="2"/>
              <w:lang w:eastAsia="en-AU"/>
              <w14:ligatures w14:val="standardContextual"/>
            </w:rPr>
          </w:pPr>
          <w:hyperlink w:anchor="_Toc151123123" w:history="1">
            <w:r w:rsidR="00775AF6" w:rsidRPr="00BB7F41">
              <w:rPr>
                <w:rStyle w:val="Hyperlink"/>
                <w:noProof/>
                <w:lang w:val="en-US"/>
              </w:rPr>
              <w:t>Regulatory costs</w:t>
            </w:r>
            <w:r w:rsidR="00775AF6">
              <w:rPr>
                <w:noProof/>
                <w:webHidden/>
              </w:rPr>
              <w:tab/>
            </w:r>
            <w:r w:rsidR="00775AF6">
              <w:rPr>
                <w:noProof/>
                <w:webHidden/>
              </w:rPr>
              <w:fldChar w:fldCharType="begin"/>
            </w:r>
            <w:r w:rsidR="00775AF6">
              <w:rPr>
                <w:noProof/>
                <w:webHidden/>
              </w:rPr>
              <w:instrText xml:space="preserve"> PAGEREF _Toc151123123 \h </w:instrText>
            </w:r>
            <w:r w:rsidR="00775AF6">
              <w:rPr>
                <w:noProof/>
                <w:webHidden/>
              </w:rPr>
            </w:r>
            <w:r w:rsidR="00775AF6">
              <w:rPr>
                <w:noProof/>
                <w:webHidden/>
              </w:rPr>
              <w:fldChar w:fldCharType="separate"/>
            </w:r>
            <w:r w:rsidR="00282315">
              <w:rPr>
                <w:noProof/>
                <w:webHidden/>
              </w:rPr>
              <w:t>36</w:t>
            </w:r>
            <w:r w:rsidR="00775AF6">
              <w:rPr>
                <w:noProof/>
                <w:webHidden/>
              </w:rPr>
              <w:fldChar w:fldCharType="end"/>
            </w:r>
          </w:hyperlink>
        </w:p>
        <w:p w14:paraId="78B8EA32" w14:textId="228BB284" w:rsidR="00775AF6" w:rsidRDefault="004C63E5">
          <w:pPr>
            <w:pStyle w:val="TOC1"/>
            <w:tabs>
              <w:tab w:val="left" w:pos="440"/>
            </w:tabs>
            <w:rPr>
              <w:rFonts w:eastAsiaTheme="minorEastAsia"/>
              <w:b w:val="0"/>
              <w:noProof/>
              <w:kern w:val="2"/>
              <w:lang w:eastAsia="en-AU"/>
              <w14:ligatures w14:val="standardContextual"/>
            </w:rPr>
          </w:pPr>
          <w:hyperlink w:anchor="_Toc151123124" w:history="1">
            <w:r w:rsidR="00775AF6" w:rsidRPr="00BB7F41">
              <w:rPr>
                <w:rStyle w:val="Hyperlink"/>
                <w:noProof/>
              </w:rPr>
              <w:t>7.</w:t>
            </w:r>
            <w:r w:rsidR="00775AF6">
              <w:rPr>
                <w:rFonts w:eastAsiaTheme="minorEastAsia"/>
                <w:b w:val="0"/>
                <w:noProof/>
                <w:kern w:val="2"/>
                <w:lang w:eastAsia="en-AU"/>
                <w14:ligatures w14:val="standardContextual"/>
              </w:rPr>
              <w:tab/>
            </w:r>
            <w:r w:rsidR="00775AF6" w:rsidRPr="00BB7F41">
              <w:rPr>
                <w:rStyle w:val="Hyperlink"/>
                <w:noProof/>
              </w:rPr>
              <w:t>Consultation</w:t>
            </w:r>
            <w:r w:rsidR="00775AF6">
              <w:rPr>
                <w:noProof/>
                <w:webHidden/>
              </w:rPr>
              <w:tab/>
            </w:r>
            <w:r w:rsidR="00775AF6">
              <w:rPr>
                <w:noProof/>
                <w:webHidden/>
              </w:rPr>
              <w:fldChar w:fldCharType="begin"/>
            </w:r>
            <w:r w:rsidR="00775AF6">
              <w:rPr>
                <w:noProof/>
                <w:webHidden/>
              </w:rPr>
              <w:instrText xml:space="preserve"> PAGEREF _Toc151123124 \h </w:instrText>
            </w:r>
            <w:r w:rsidR="00775AF6">
              <w:rPr>
                <w:noProof/>
                <w:webHidden/>
              </w:rPr>
            </w:r>
            <w:r w:rsidR="00775AF6">
              <w:rPr>
                <w:noProof/>
                <w:webHidden/>
              </w:rPr>
              <w:fldChar w:fldCharType="separate"/>
            </w:r>
            <w:r w:rsidR="00282315">
              <w:rPr>
                <w:noProof/>
                <w:webHidden/>
              </w:rPr>
              <w:t>37</w:t>
            </w:r>
            <w:r w:rsidR="00775AF6">
              <w:rPr>
                <w:noProof/>
                <w:webHidden/>
              </w:rPr>
              <w:fldChar w:fldCharType="end"/>
            </w:r>
          </w:hyperlink>
        </w:p>
        <w:p w14:paraId="68FD8037" w14:textId="5B191E0B"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25" w:history="1">
            <w:r w:rsidR="00775AF6" w:rsidRPr="00BB7F41">
              <w:rPr>
                <w:rStyle w:val="Hyperlink"/>
                <w:noProof/>
                <w:lang w:val="en-US"/>
              </w:rPr>
              <w:t>7.1</w:t>
            </w:r>
            <w:r w:rsidR="00775AF6">
              <w:rPr>
                <w:rFonts w:eastAsiaTheme="minorEastAsia"/>
                <w:noProof/>
                <w:kern w:val="2"/>
                <w:lang w:eastAsia="en-AU"/>
                <w14:ligatures w14:val="standardContextual"/>
              </w:rPr>
              <w:tab/>
            </w:r>
            <w:r w:rsidR="00775AF6" w:rsidRPr="00BB7F41">
              <w:rPr>
                <w:rStyle w:val="Hyperlink"/>
                <w:noProof/>
                <w:lang w:val="en-US"/>
              </w:rPr>
              <w:t>Purpose and objectives of the consultations</w:t>
            </w:r>
            <w:r w:rsidR="00775AF6">
              <w:rPr>
                <w:noProof/>
                <w:webHidden/>
              </w:rPr>
              <w:tab/>
            </w:r>
            <w:r w:rsidR="00775AF6">
              <w:rPr>
                <w:noProof/>
                <w:webHidden/>
              </w:rPr>
              <w:fldChar w:fldCharType="begin"/>
            </w:r>
            <w:r w:rsidR="00775AF6">
              <w:rPr>
                <w:noProof/>
                <w:webHidden/>
              </w:rPr>
              <w:instrText xml:space="preserve"> PAGEREF _Toc151123125 \h </w:instrText>
            </w:r>
            <w:r w:rsidR="00775AF6">
              <w:rPr>
                <w:noProof/>
                <w:webHidden/>
              </w:rPr>
            </w:r>
            <w:r w:rsidR="00775AF6">
              <w:rPr>
                <w:noProof/>
                <w:webHidden/>
              </w:rPr>
              <w:fldChar w:fldCharType="separate"/>
            </w:r>
            <w:r w:rsidR="00282315">
              <w:rPr>
                <w:noProof/>
                <w:webHidden/>
              </w:rPr>
              <w:t>37</w:t>
            </w:r>
            <w:r w:rsidR="00775AF6">
              <w:rPr>
                <w:noProof/>
                <w:webHidden/>
              </w:rPr>
              <w:fldChar w:fldCharType="end"/>
            </w:r>
          </w:hyperlink>
        </w:p>
        <w:p w14:paraId="602CA827" w14:textId="09B0D9D9"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26" w:history="1">
            <w:r w:rsidR="00775AF6" w:rsidRPr="00BB7F41">
              <w:rPr>
                <w:rStyle w:val="Hyperlink"/>
                <w:noProof/>
              </w:rPr>
              <w:t>7.2</w:t>
            </w:r>
            <w:r w:rsidR="00775AF6">
              <w:rPr>
                <w:rFonts w:eastAsiaTheme="minorEastAsia"/>
                <w:noProof/>
                <w:kern w:val="2"/>
                <w:lang w:eastAsia="en-AU"/>
                <w14:ligatures w14:val="standardContextual"/>
              </w:rPr>
              <w:tab/>
            </w:r>
            <w:r w:rsidR="00775AF6" w:rsidRPr="00BB7F41">
              <w:rPr>
                <w:rStyle w:val="Hyperlink"/>
                <w:noProof/>
              </w:rPr>
              <w:t>The Consultation Approach</w:t>
            </w:r>
            <w:r w:rsidR="00775AF6">
              <w:rPr>
                <w:noProof/>
                <w:webHidden/>
              </w:rPr>
              <w:tab/>
            </w:r>
            <w:r w:rsidR="00775AF6">
              <w:rPr>
                <w:noProof/>
                <w:webHidden/>
              </w:rPr>
              <w:fldChar w:fldCharType="begin"/>
            </w:r>
            <w:r w:rsidR="00775AF6">
              <w:rPr>
                <w:noProof/>
                <w:webHidden/>
              </w:rPr>
              <w:instrText xml:space="preserve"> PAGEREF _Toc151123126 \h </w:instrText>
            </w:r>
            <w:r w:rsidR="00775AF6">
              <w:rPr>
                <w:noProof/>
                <w:webHidden/>
              </w:rPr>
            </w:r>
            <w:r w:rsidR="00775AF6">
              <w:rPr>
                <w:noProof/>
                <w:webHidden/>
              </w:rPr>
              <w:fldChar w:fldCharType="separate"/>
            </w:r>
            <w:r w:rsidR="00282315">
              <w:rPr>
                <w:noProof/>
                <w:webHidden/>
              </w:rPr>
              <w:t>38</w:t>
            </w:r>
            <w:r w:rsidR="00775AF6">
              <w:rPr>
                <w:noProof/>
                <w:webHidden/>
              </w:rPr>
              <w:fldChar w:fldCharType="end"/>
            </w:r>
          </w:hyperlink>
        </w:p>
        <w:p w14:paraId="2C3BC8C5" w14:textId="46C54043" w:rsidR="00775AF6" w:rsidRDefault="004C63E5">
          <w:pPr>
            <w:pStyle w:val="TOC3"/>
            <w:tabs>
              <w:tab w:val="right" w:leader="dot" w:pos="9060"/>
            </w:tabs>
            <w:rPr>
              <w:rFonts w:eastAsiaTheme="minorEastAsia"/>
              <w:noProof/>
              <w:kern w:val="2"/>
              <w:lang w:eastAsia="en-AU"/>
              <w14:ligatures w14:val="standardContextual"/>
            </w:rPr>
          </w:pPr>
          <w:hyperlink w:anchor="_Toc151123127" w:history="1">
            <w:r w:rsidR="00775AF6" w:rsidRPr="00BB7F41">
              <w:rPr>
                <w:rStyle w:val="Hyperlink"/>
                <w:noProof/>
              </w:rPr>
              <w:t>The Pre-design Phase</w:t>
            </w:r>
            <w:r w:rsidR="00775AF6">
              <w:rPr>
                <w:noProof/>
                <w:webHidden/>
              </w:rPr>
              <w:tab/>
            </w:r>
            <w:r w:rsidR="00775AF6">
              <w:rPr>
                <w:noProof/>
                <w:webHidden/>
              </w:rPr>
              <w:fldChar w:fldCharType="begin"/>
            </w:r>
            <w:r w:rsidR="00775AF6">
              <w:rPr>
                <w:noProof/>
                <w:webHidden/>
              </w:rPr>
              <w:instrText xml:space="preserve"> PAGEREF _Toc151123127 \h </w:instrText>
            </w:r>
            <w:r w:rsidR="00775AF6">
              <w:rPr>
                <w:noProof/>
                <w:webHidden/>
              </w:rPr>
            </w:r>
            <w:r w:rsidR="00775AF6">
              <w:rPr>
                <w:noProof/>
                <w:webHidden/>
              </w:rPr>
              <w:fldChar w:fldCharType="separate"/>
            </w:r>
            <w:r w:rsidR="00282315">
              <w:rPr>
                <w:noProof/>
                <w:webHidden/>
              </w:rPr>
              <w:t>38</w:t>
            </w:r>
            <w:r w:rsidR="00775AF6">
              <w:rPr>
                <w:noProof/>
                <w:webHidden/>
              </w:rPr>
              <w:fldChar w:fldCharType="end"/>
            </w:r>
          </w:hyperlink>
        </w:p>
        <w:p w14:paraId="0C91F6ED" w14:textId="4C2A6A0D" w:rsidR="00775AF6" w:rsidRDefault="004C63E5">
          <w:pPr>
            <w:pStyle w:val="TOC3"/>
            <w:tabs>
              <w:tab w:val="right" w:leader="dot" w:pos="9060"/>
            </w:tabs>
            <w:rPr>
              <w:rFonts w:eastAsiaTheme="minorEastAsia"/>
              <w:noProof/>
              <w:kern w:val="2"/>
              <w:lang w:eastAsia="en-AU"/>
              <w14:ligatures w14:val="standardContextual"/>
            </w:rPr>
          </w:pPr>
          <w:hyperlink w:anchor="_Toc151123128" w:history="1">
            <w:r w:rsidR="00775AF6" w:rsidRPr="00BB7F41">
              <w:rPr>
                <w:rStyle w:val="Hyperlink"/>
                <w:noProof/>
              </w:rPr>
              <w:t>The Design Phase</w:t>
            </w:r>
            <w:r w:rsidR="00775AF6">
              <w:rPr>
                <w:noProof/>
                <w:webHidden/>
              </w:rPr>
              <w:tab/>
            </w:r>
            <w:r w:rsidR="00775AF6">
              <w:rPr>
                <w:noProof/>
                <w:webHidden/>
              </w:rPr>
              <w:fldChar w:fldCharType="begin"/>
            </w:r>
            <w:r w:rsidR="00775AF6">
              <w:rPr>
                <w:noProof/>
                <w:webHidden/>
              </w:rPr>
              <w:instrText xml:space="preserve"> PAGEREF _Toc151123128 \h </w:instrText>
            </w:r>
            <w:r w:rsidR="00775AF6">
              <w:rPr>
                <w:noProof/>
                <w:webHidden/>
              </w:rPr>
            </w:r>
            <w:r w:rsidR="00775AF6">
              <w:rPr>
                <w:noProof/>
                <w:webHidden/>
              </w:rPr>
              <w:fldChar w:fldCharType="separate"/>
            </w:r>
            <w:r w:rsidR="00282315">
              <w:rPr>
                <w:noProof/>
                <w:webHidden/>
              </w:rPr>
              <w:t>38</w:t>
            </w:r>
            <w:r w:rsidR="00775AF6">
              <w:rPr>
                <w:noProof/>
                <w:webHidden/>
              </w:rPr>
              <w:fldChar w:fldCharType="end"/>
            </w:r>
          </w:hyperlink>
        </w:p>
        <w:p w14:paraId="56BA8EE7" w14:textId="561D3330" w:rsidR="00775AF6" w:rsidRDefault="004C63E5">
          <w:pPr>
            <w:pStyle w:val="TOC3"/>
            <w:tabs>
              <w:tab w:val="right" w:leader="dot" w:pos="9060"/>
            </w:tabs>
            <w:rPr>
              <w:rFonts w:eastAsiaTheme="minorEastAsia"/>
              <w:noProof/>
              <w:kern w:val="2"/>
              <w:lang w:eastAsia="en-AU"/>
              <w14:ligatures w14:val="standardContextual"/>
            </w:rPr>
          </w:pPr>
          <w:hyperlink w:anchor="_Toc151123129" w:history="1">
            <w:r w:rsidR="00775AF6" w:rsidRPr="00BB7F41">
              <w:rPr>
                <w:rStyle w:val="Hyperlink"/>
                <w:noProof/>
              </w:rPr>
              <w:t>Check in and Design Options Phases</w:t>
            </w:r>
            <w:r w:rsidR="00775AF6">
              <w:rPr>
                <w:noProof/>
                <w:webHidden/>
              </w:rPr>
              <w:tab/>
            </w:r>
            <w:r w:rsidR="00775AF6">
              <w:rPr>
                <w:noProof/>
                <w:webHidden/>
              </w:rPr>
              <w:fldChar w:fldCharType="begin"/>
            </w:r>
            <w:r w:rsidR="00775AF6">
              <w:rPr>
                <w:noProof/>
                <w:webHidden/>
              </w:rPr>
              <w:instrText xml:space="preserve"> PAGEREF _Toc151123129 \h </w:instrText>
            </w:r>
            <w:r w:rsidR="00775AF6">
              <w:rPr>
                <w:noProof/>
                <w:webHidden/>
              </w:rPr>
            </w:r>
            <w:r w:rsidR="00775AF6">
              <w:rPr>
                <w:noProof/>
                <w:webHidden/>
              </w:rPr>
              <w:fldChar w:fldCharType="separate"/>
            </w:r>
            <w:r w:rsidR="00282315">
              <w:rPr>
                <w:noProof/>
                <w:webHidden/>
              </w:rPr>
              <w:t>39</w:t>
            </w:r>
            <w:r w:rsidR="00775AF6">
              <w:rPr>
                <w:noProof/>
                <w:webHidden/>
              </w:rPr>
              <w:fldChar w:fldCharType="end"/>
            </w:r>
          </w:hyperlink>
        </w:p>
        <w:p w14:paraId="4E092595" w14:textId="27839234"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30" w:history="1">
            <w:r w:rsidR="00775AF6" w:rsidRPr="00BB7F41">
              <w:rPr>
                <w:rStyle w:val="Hyperlink"/>
                <w:noProof/>
                <w:lang w:val="en-US"/>
              </w:rPr>
              <w:t>7.3</w:t>
            </w:r>
            <w:r w:rsidR="00775AF6">
              <w:rPr>
                <w:rFonts w:eastAsiaTheme="minorEastAsia"/>
                <w:noProof/>
                <w:kern w:val="2"/>
                <w:lang w:eastAsia="en-AU"/>
                <w14:ligatures w14:val="standardContextual"/>
              </w:rPr>
              <w:tab/>
            </w:r>
            <w:r w:rsidR="00775AF6" w:rsidRPr="00BB7F41">
              <w:rPr>
                <w:rStyle w:val="Hyperlink"/>
                <w:noProof/>
                <w:lang w:val="en-US"/>
              </w:rPr>
              <w:t>How was feedback incorporated</w:t>
            </w:r>
            <w:r w:rsidR="00775AF6">
              <w:rPr>
                <w:noProof/>
                <w:webHidden/>
              </w:rPr>
              <w:tab/>
            </w:r>
            <w:r w:rsidR="00775AF6">
              <w:rPr>
                <w:noProof/>
                <w:webHidden/>
              </w:rPr>
              <w:fldChar w:fldCharType="begin"/>
            </w:r>
            <w:r w:rsidR="00775AF6">
              <w:rPr>
                <w:noProof/>
                <w:webHidden/>
              </w:rPr>
              <w:instrText xml:space="preserve"> PAGEREF _Toc151123130 \h </w:instrText>
            </w:r>
            <w:r w:rsidR="00775AF6">
              <w:rPr>
                <w:noProof/>
                <w:webHidden/>
              </w:rPr>
            </w:r>
            <w:r w:rsidR="00775AF6">
              <w:rPr>
                <w:noProof/>
                <w:webHidden/>
              </w:rPr>
              <w:fldChar w:fldCharType="separate"/>
            </w:r>
            <w:r w:rsidR="00282315">
              <w:rPr>
                <w:noProof/>
                <w:webHidden/>
              </w:rPr>
              <w:t>40</w:t>
            </w:r>
            <w:r w:rsidR="00775AF6">
              <w:rPr>
                <w:noProof/>
                <w:webHidden/>
              </w:rPr>
              <w:fldChar w:fldCharType="end"/>
            </w:r>
          </w:hyperlink>
        </w:p>
        <w:p w14:paraId="4FF3B406" w14:textId="159735F5"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31" w:history="1">
            <w:r w:rsidR="00775AF6" w:rsidRPr="00BB7F41">
              <w:rPr>
                <w:rStyle w:val="Hyperlink"/>
                <w:noProof/>
              </w:rPr>
              <w:t>7.4</w:t>
            </w:r>
            <w:r w:rsidR="00775AF6">
              <w:rPr>
                <w:rFonts w:eastAsiaTheme="minorEastAsia"/>
                <w:noProof/>
                <w:kern w:val="2"/>
                <w:lang w:eastAsia="en-AU"/>
                <w14:ligatures w14:val="standardContextual"/>
              </w:rPr>
              <w:tab/>
            </w:r>
            <w:r w:rsidR="00775AF6" w:rsidRPr="00BB7F41">
              <w:rPr>
                <w:rStyle w:val="Hyperlink"/>
                <w:noProof/>
              </w:rPr>
              <w:t>Future consultation</w:t>
            </w:r>
            <w:r w:rsidR="00775AF6">
              <w:rPr>
                <w:noProof/>
                <w:webHidden/>
              </w:rPr>
              <w:tab/>
            </w:r>
            <w:r w:rsidR="00775AF6">
              <w:rPr>
                <w:noProof/>
                <w:webHidden/>
              </w:rPr>
              <w:fldChar w:fldCharType="begin"/>
            </w:r>
            <w:r w:rsidR="00775AF6">
              <w:rPr>
                <w:noProof/>
                <w:webHidden/>
              </w:rPr>
              <w:instrText xml:space="preserve"> PAGEREF _Toc151123131 \h </w:instrText>
            </w:r>
            <w:r w:rsidR="00775AF6">
              <w:rPr>
                <w:noProof/>
                <w:webHidden/>
              </w:rPr>
            </w:r>
            <w:r w:rsidR="00775AF6">
              <w:rPr>
                <w:noProof/>
                <w:webHidden/>
              </w:rPr>
              <w:fldChar w:fldCharType="separate"/>
            </w:r>
            <w:r w:rsidR="00282315">
              <w:rPr>
                <w:noProof/>
                <w:webHidden/>
              </w:rPr>
              <w:t>42</w:t>
            </w:r>
            <w:r w:rsidR="00775AF6">
              <w:rPr>
                <w:noProof/>
                <w:webHidden/>
              </w:rPr>
              <w:fldChar w:fldCharType="end"/>
            </w:r>
          </w:hyperlink>
        </w:p>
        <w:p w14:paraId="534E1D6D" w14:textId="7593BDBA" w:rsidR="00775AF6" w:rsidRDefault="004C63E5">
          <w:pPr>
            <w:pStyle w:val="TOC1"/>
            <w:tabs>
              <w:tab w:val="left" w:pos="440"/>
            </w:tabs>
            <w:rPr>
              <w:rFonts w:eastAsiaTheme="minorEastAsia"/>
              <w:b w:val="0"/>
              <w:noProof/>
              <w:kern w:val="2"/>
              <w:lang w:eastAsia="en-AU"/>
              <w14:ligatures w14:val="standardContextual"/>
            </w:rPr>
          </w:pPr>
          <w:hyperlink w:anchor="_Toc151123132" w:history="1">
            <w:r w:rsidR="00775AF6" w:rsidRPr="00BB7F41">
              <w:rPr>
                <w:rStyle w:val="Hyperlink"/>
                <w:noProof/>
              </w:rPr>
              <w:t>8.</w:t>
            </w:r>
            <w:r w:rsidR="00775AF6">
              <w:rPr>
                <w:rFonts w:eastAsiaTheme="minorEastAsia"/>
                <w:b w:val="0"/>
                <w:noProof/>
                <w:kern w:val="2"/>
                <w:lang w:eastAsia="en-AU"/>
                <w14:ligatures w14:val="standardContextual"/>
              </w:rPr>
              <w:tab/>
            </w:r>
            <w:r w:rsidR="00775AF6" w:rsidRPr="00BB7F41">
              <w:rPr>
                <w:rStyle w:val="Hyperlink"/>
                <w:noProof/>
              </w:rPr>
              <w:t>Preferred option</w:t>
            </w:r>
            <w:r w:rsidR="00775AF6">
              <w:rPr>
                <w:noProof/>
                <w:webHidden/>
              </w:rPr>
              <w:tab/>
            </w:r>
            <w:r w:rsidR="00775AF6">
              <w:rPr>
                <w:noProof/>
                <w:webHidden/>
              </w:rPr>
              <w:fldChar w:fldCharType="begin"/>
            </w:r>
            <w:r w:rsidR="00775AF6">
              <w:rPr>
                <w:noProof/>
                <w:webHidden/>
              </w:rPr>
              <w:instrText xml:space="preserve"> PAGEREF _Toc151123132 \h </w:instrText>
            </w:r>
            <w:r w:rsidR="00775AF6">
              <w:rPr>
                <w:noProof/>
                <w:webHidden/>
              </w:rPr>
            </w:r>
            <w:r w:rsidR="00775AF6">
              <w:rPr>
                <w:noProof/>
                <w:webHidden/>
              </w:rPr>
              <w:fldChar w:fldCharType="separate"/>
            </w:r>
            <w:r w:rsidR="00282315">
              <w:rPr>
                <w:noProof/>
                <w:webHidden/>
              </w:rPr>
              <w:t>43</w:t>
            </w:r>
            <w:r w:rsidR="00775AF6">
              <w:rPr>
                <w:noProof/>
                <w:webHidden/>
              </w:rPr>
              <w:fldChar w:fldCharType="end"/>
            </w:r>
          </w:hyperlink>
        </w:p>
        <w:p w14:paraId="76CBB0DE" w14:textId="70FC21CB"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33" w:history="1">
            <w:r w:rsidR="00775AF6" w:rsidRPr="00BB7F41">
              <w:rPr>
                <w:rStyle w:val="Hyperlink"/>
                <w:noProof/>
              </w:rPr>
              <w:t>8.1</w:t>
            </w:r>
            <w:r w:rsidR="00775AF6">
              <w:rPr>
                <w:rFonts w:eastAsiaTheme="minorEastAsia"/>
                <w:noProof/>
                <w:kern w:val="2"/>
                <w:lang w:eastAsia="en-AU"/>
                <w14:ligatures w14:val="standardContextual"/>
              </w:rPr>
              <w:tab/>
            </w:r>
            <w:r w:rsidR="00775AF6" w:rsidRPr="00BB7F41">
              <w:rPr>
                <w:rStyle w:val="Hyperlink"/>
                <w:noProof/>
              </w:rPr>
              <w:t>Conclusion</w:t>
            </w:r>
            <w:r w:rsidR="00775AF6">
              <w:rPr>
                <w:noProof/>
                <w:webHidden/>
              </w:rPr>
              <w:tab/>
            </w:r>
            <w:r w:rsidR="00775AF6">
              <w:rPr>
                <w:noProof/>
                <w:webHidden/>
              </w:rPr>
              <w:fldChar w:fldCharType="begin"/>
            </w:r>
            <w:r w:rsidR="00775AF6">
              <w:rPr>
                <w:noProof/>
                <w:webHidden/>
              </w:rPr>
              <w:instrText xml:space="preserve"> PAGEREF _Toc151123133 \h </w:instrText>
            </w:r>
            <w:r w:rsidR="00775AF6">
              <w:rPr>
                <w:noProof/>
                <w:webHidden/>
              </w:rPr>
            </w:r>
            <w:r w:rsidR="00775AF6">
              <w:rPr>
                <w:noProof/>
                <w:webHidden/>
              </w:rPr>
              <w:fldChar w:fldCharType="separate"/>
            </w:r>
            <w:r w:rsidR="00282315">
              <w:rPr>
                <w:noProof/>
                <w:webHidden/>
              </w:rPr>
              <w:t>43</w:t>
            </w:r>
            <w:r w:rsidR="00775AF6">
              <w:rPr>
                <w:noProof/>
                <w:webHidden/>
              </w:rPr>
              <w:fldChar w:fldCharType="end"/>
            </w:r>
          </w:hyperlink>
        </w:p>
        <w:p w14:paraId="7F4D1F6B" w14:textId="64DE6770" w:rsidR="00775AF6" w:rsidRDefault="004C63E5">
          <w:pPr>
            <w:pStyle w:val="TOC2"/>
            <w:tabs>
              <w:tab w:val="left" w:pos="880"/>
              <w:tab w:val="right" w:leader="dot" w:pos="9060"/>
            </w:tabs>
            <w:rPr>
              <w:rFonts w:eastAsiaTheme="minorEastAsia"/>
              <w:noProof/>
              <w:kern w:val="2"/>
              <w:lang w:eastAsia="en-AU"/>
              <w14:ligatures w14:val="standardContextual"/>
            </w:rPr>
          </w:pPr>
          <w:hyperlink w:anchor="_Toc151123134" w:history="1">
            <w:r w:rsidR="00775AF6" w:rsidRPr="00BB7F41">
              <w:rPr>
                <w:rStyle w:val="Hyperlink"/>
                <w:noProof/>
              </w:rPr>
              <w:t>8.2</w:t>
            </w:r>
            <w:r w:rsidR="00775AF6">
              <w:rPr>
                <w:rFonts w:eastAsiaTheme="minorEastAsia"/>
                <w:noProof/>
                <w:kern w:val="2"/>
                <w:lang w:eastAsia="en-AU"/>
                <w14:ligatures w14:val="standardContextual"/>
              </w:rPr>
              <w:tab/>
            </w:r>
            <w:r w:rsidR="00775AF6" w:rsidRPr="00BB7F41">
              <w:rPr>
                <w:rStyle w:val="Hyperlink"/>
                <w:noProof/>
              </w:rPr>
              <w:t>Implementation</w:t>
            </w:r>
            <w:r w:rsidR="00775AF6">
              <w:rPr>
                <w:noProof/>
                <w:webHidden/>
              </w:rPr>
              <w:tab/>
            </w:r>
            <w:r w:rsidR="00775AF6">
              <w:rPr>
                <w:noProof/>
                <w:webHidden/>
              </w:rPr>
              <w:fldChar w:fldCharType="begin"/>
            </w:r>
            <w:r w:rsidR="00775AF6">
              <w:rPr>
                <w:noProof/>
                <w:webHidden/>
              </w:rPr>
              <w:instrText xml:space="preserve"> PAGEREF _Toc151123134 \h </w:instrText>
            </w:r>
            <w:r w:rsidR="00775AF6">
              <w:rPr>
                <w:noProof/>
                <w:webHidden/>
              </w:rPr>
            </w:r>
            <w:r w:rsidR="00775AF6">
              <w:rPr>
                <w:noProof/>
                <w:webHidden/>
              </w:rPr>
              <w:fldChar w:fldCharType="separate"/>
            </w:r>
            <w:r w:rsidR="00282315">
              <w:rPr>
                <w:noProof/>
                <w:webHidden/>
              </w:rPr>
              <w:t>45</w:t>
            </w:r>
            <w:r w:rsidR="00775AF6">
              <w:rPr>
                <w:noProof/>
                <w:webHidden/>
              </w:rPr>
              <w:fldChar w:fldCharType="end"/>
            </w:r>
          </w:hyperlink>
        </w:p>
        <w:p w14:paraId="4CBB45EE" w14:textId="1DB6AAE0" w:rsidR="00775AF6" w:rsidRDefault="004C63E5">
          <w:pPr>
            <w:pStyle w:val="TOC1"/>
            <w:tabs>
              <w:tab w:val="left" w:pos="440"/>
            </w:tabs>
            <w:rPr>
              <w:rFonts w:eastAsiaTheme="minorEastAsia"/>
              <w:b w:val="0"/>
              <w:noProof/>
              <w:kern w:val="2"/>
              <w:lang w:eastAsia="en-AU"/>
              <w14:ligatures w14:val="standardContextual"/>
            </w:rPr>
          </w:pPr>
          <w:hyperlink w:anchor="_Toc151123135" w:history="1">
            <w:r w:rsidR="00775AF6" w:rsidRPr="00BB7F41">
              <w:rPr>
                <w:rStyle w:val="Hyperlink"/>
                <w:noProof/>
              </w:rPr>
              <w:t>9.</w:t>
            </w:r>
            <w:r w:rsidR="00775AF6">
              <w:rPr>
                <w:rFonts w:eastAsiaTheme="minorEastAsia"/>
                <w:b w:val="0"/>
                <w:noProof/>
                <w:kern w:val="2"/>
                <w:lang w:eastAsia="en-AU"/>
                <w14:ligatures w14:val="standardContextual"/>
              </w:rPr>
              <w:tab/>
            </w:r>
            <w:r w:rsidR="00775AF6" w:rsidRPr="00BB7F41">
              <w:rPr>
                <w:rStyle w:val="Hyperlink"/>
                <w:noProof/>
              </w:rPr>
              <w:t>Evaluation and monitoring</w:t>
            </w:r>
            <w:r w:rsidR="00775AF6">
              <w:rPr>
                <w:noProof/>
                <w:webHidden/>
              </w:rPr>
              <w:tab/>
            </w:r>
            <w:r w:rsidR="00775AF6">
              <w:rPr>
                <w:noProof/>
                <w:webHidden/>
              </w:rPr>
              <w:fldChar w:fldCharType="begin"/>
            </w:r>
            <w:r w:rsidR="00775AF6">
              <w:rPr>
                <w:noProof/>
                <w:webHidden/>
              </w:rPr>
              <w:instrText xml:space="preserve"> PAGEREF _Toc151123135 \h </w:instrText>
            </w:r>
            <w:r w:rsidR="00775AF6">
              <w:rPr>
                <w:noProof/>
                <w:webHidden/>
              </w:rPr>
            </w:r>
            <w:r w:rsidR="00775AF6">
              <w:rPr>
                <w:noProof/>
                <w:webHidden/>
              </w:rPr>
              <w:fldChar w:fldCharType="separate"/>
            </w:r>
            <w:r w:rsidR="00282315">
              <w:rPr>
                <w:noProof/>
                <w:webHidden/>
              </w:rPr>
              <w:t>47</w:t>
            </w:r>
            <w:r w:rsidR="00775AF6">
              <w:rPr>
                <w:noProof/>
                <w:webHidden/>
              </w:rPr>
              <w:fldChar w:fldCharType="end"/>
            </w:r>
          </w:hyperlink>
        </w:p>
        <w:p w14:paraId="47769141" w14:textId="5FA5837E" w:rsidR="00775AF6" w:rsidRDefault="004C63E5">
          <w:pPr>
            <w:pStyle w:val="TOC1"/>
            <w:rPr>
              <w:rFonts w:eastAsiaTheme="minorEastAsia"/>
              <w:b w:val="0"/>
              <w:noProof/>
              <w:kern w:val="2"/>
              <w:lang w:eastAsia="en-AU"/>
              <w14:ligatures w14:val="standardContextual"/>
            </w:rPr>
          </w:pPr>
          <w:hyperlink w:anchor="_Toc151123136" w:history="1">
            <w:r w:rsidR="00775AF6" w:rsidRPr="00BB7F41">
              <w:rPr>
                <w:rStyle w:val="Hyperlink"/>
                <w:noProof/>
              </w:rPr>
              <w:t>Appendix A – Regulatory burden estimates – costing assumptions</w:t>
            </w:r>
            <w:r w:rsidR="00775AF6">
              <w:rPr>
                <w:noProof/>
                <w:webHidden/>
              </w:rPr>
              <w:tab/>
            </w:r>
            <w:r w:rsidR="00775AF6">
              <w:rPr>
                <w:noProof/>
                <w:webHidden/>
              </w:rPr>
              <w:fldChar w:fldCharType="begin"/>
            </w:r>
            <w:r w:rsidR="00775AF6">
              <w:rPr>
                <w:noProof/>
                <w:webHidden/>
              </w:rPr>
              <w:instrText xml:space="preserve"> PAGEREF _Toc151123136 \h </w:instrText>
            </w:r>
            <w:r w:rsidR="00775AF6">
              <w:rPr>
                <w:noProof/>
                <w:webHidden/>
              </w:rPr>
            </w:r>
            <w:r w:rsidR="00775AF6">
              <w:rPr>
                <w:noProof/>
                <w:webHidden/>
              </w:rPr>
              <w:fldChar w:fldCharType="separate"/>
            </w:r>
            <w:r w:rsidR="00282315">
              <w:rPr>
                <w:noProof/>
                <w:webHidden/>
              </w:rPr>
              <w:t>49</w:t>
            </w:r>
            <w:r w:rsidR="00775AF6">
              <w:rPr>
                <w:noProof/>
                <w:webHidden/>
              </w:rPr>
              <w:fldChar w:fldCharType="end"/>
            </w:r>
          </w:hyperlink>
        </w:p>
        <w:p w14:paraId="2AAF43A1" w14:textId="3811896B" w:rsidR="00775AF6" w:rsidRDefault="004C63E5">
          <w:pPr>
            <w:pStyle w:val="TOC3"/>
            <w:tabs>
              <w:tab w:val="right" w:leader="dot" w:pos="9060"/>
            </w:tabs>
            <w:rPr>
              <w:rFonts w:eastAsiaTheme="minorEastAsia"/>
              <w:noProof/>
              <w:kern w:val="2"/>
              <w:lang w:eastAsia="en-AU"/>
              <w14:ligatures w14:val="standardContextual"/>
            </w:rPr>
          </w:pPr>
          <w:hyperlink w:anchor="_Toc151123137" w:history="1">
            <w:r w:rsidR="00775AF6" w:rsidRPr="00BB7F41">
              <w:rPr>
                <w:rStyle w:val="Hyperlink"/>
                <w:noProof/>
              </w:rPr>
              <w:t>Methodology</w:t>
            </w:r>
            <w:r w:rsidR="00775AF6">
              <w:rPr>
                <w:noProof/>
                <w:webHidden/>
              </w:rPr>
              <w:tab/>
            </w:r>
            <w:r w:rsidR="00775AF6">
              <w:rPr>
                <w:noProof/>
                <w:webHidden/>
              </w:rPr>
              <w:fldChar w:fldCharType="begin"/>
            </w:r>
            <w:r w:rsidR="00775AF6">
              <w:rPr>
                <w:noProof/>
                <w:webHidden/>
              </w:rPr>
              <w:instrText xml:space="preserve"> PAGEREF _Toc151123137 \h </w:instrText>
            </w:r>
            <w:r w:rsidR="00775AF6">
              <w:rPr>
                <w:noProof/>
                <w:webHidden/>
              </w:rPr>
            </w:r>
            <w:r w:rsidR="00775AF6">
              <w:rPr>
                <w:noProof/>
                <w:webHidden/>
              </w:rPr>
              <w:fldChar w:fldCharType="separate"/>
            </w:r>
            <w:r w:rsidR="00282315">
              <w:rPr>
                <w:noProof/>
                <w:webHidden/>
              </w:rPr>
              <w:t>49</w:t>
            </w:r>
            <w:r w:rsidR="00775AF6">
              <w:rPr>
                <w:noProof/>
                <w:webHidden/>
              </w:rPr>
              <w:fldChar w:fldCharType="end"/>
            </w:r>
          </w:hyperlink>
        </w:p>
        <w:p w14:paraId="20C2493D" w14:textId="69AC2A5C" w:rsidR="00775AF6" w:rsidRDefault="004C63E5">
          <w:pPr>
            <w:pStyle w:val="TOC3"/>
            <w:tabs>
              <w:tab w:val="right" w:leader="dot" w:pos="9060"/>
            </w:tabs>
            <w:rPr>
              <w:rFonts w:eastAsiaTheme="minorEastAsia"/>
              <w:noProof/>
              <w:kern w:val="2"/>
              <w:lang w:eastAsia="en-AU"/>
              <w14:ligatures w14:val="standardContextual"/>
            </w:rPr>
          </w:pPr>
          <w:hyperlink w:anchor="_Toc151123138" w:history="1">
            <w:r w:rsidR="00775AF6" w:rsidRPr="00BB7F41">
              <w:rPr>
                <w:rStyle w:val="Hyperlink"/>
                <w:noProof/>
              </w:rPr>
              <w:t>Activities</w:t>
            </w:r>
            <w:r w:rsidR="00775AF6">
              <w:rPr>
                <w:noProof/>
                <w:webHidden/>
              </w:rPr>
              <w:tab/>
            </w:r>
            <w:r w:rsidR="00775AF6">
              <w:rPr>
                <w:noProof/>
                <w:webHidden/>
              </w:rPr>
              <w:fldChar w:fldCharType="begin"/>
            </w:r>
            <w:r w:rsidR="00775AF6">
              <w:rPr>
                <w:noProof/>
                <w:webHidden/>
              </w:rPr>
              <w:instrText xml:space="preserve"> PAGEREF _Toc151123138 \h </w:instrText>
            </w:r>
            <w:r w:rsidR="00775AF6">
              <w:rPr>
                <w:noProof/>
                <w:webHidden/>
              </w:rPr>
            </w:r>
            <w:r w:rsidR="00775AF6">
              <w:rPr>
                <w:noProof/>
                <w:webHidden/>
              </w:rPr>
              <w:fldChar w:fldCharType="separate"/>
            </w:r>
            <w:r w:rsidR="00282315">
              <w:rPr>
                <w:noProof/>
                <w:webHidden/>
              </w:rPr>
              <w:t>50</w:t>
            </w:r>
            <w:r w:rsidR="00775AF6">
              <w:rPr>
                <w:noProof/>
                <w:webHidden/>
              </w:rPr>
              <w:fldChar w:fldCharType="end"/>
            </w:r>
          </w:hyperlink>
        </w:p>
        <w:p w14:paraId="58806327" w14:textId="5615D41B" w:rsidR="00775AF6" w:rsidRDefault="004C63E5">
          <w:pPr>
            <w:pStyle w:val="TOC3"/>
            <w:tabs>
              <w:tab w:val="right" w:leader="dot" w:pos="9060"/>
            </w:tabs>
            <w:rPr>
              <w:rFonts w:eastAsiaTheme="minorEastAsia"/>
              <w:noProof/>
              <w:kern w:val="2"/>
              <w:lang w:eastAsia="en-AU"/>
              <w14:ligatures w14:val="standardContextual"/>
            </w:rPr>
          </w:pPr>
          <w:hyperlink w:anchor="_Toc151123139" w:history="1">
            <w:r w:rsidR="00775AF6" w:rsidRPr="00BB7F41">
              <w:rPr>
                <w:rStyle w:val="Hyperlink"/>
                <w:noProof/>
              </w:rPr>
              <w:t>Caseload and transactions</w:t>
            </w:r>
            <w:r w:rsidR="00775AF6">
              <w:rPr>
                <w:noProof/>
                <w:webHidden/>
              </w:rPr>
              <w:tab/>
            </w:r>
            <w:r w:rsidR="00775AF6">
              <w:rPr>
                <w:noProof/>
                <w:webHidden/>
              </w:rPr>
              <w:fldChar w:fldCharType="begin"/>
            </w:r>
            <w:r w:rsidR="00775AF6">
              <w:rPr>
                <w:noProof/>
                <w:webHidden/>
              </w:rPr>
              <w:instrText xml:space="preserve"> PAGEREF _Toc151123139 \h </w:instrText>
            </w:r>
            <w:r w:rsidR="00775AF6">
              <w:rPr>
                <w:noProof/>
                <w:webHidden/>
              </w:rPr>
            </w:r>
            <w:r w:rsidR="00775AF6">
              <w:rPr>
                <w:noProof/>
                <w:webHidden/>
              </w:rPr>
              <w:fldChar w:fldCharType="separate"/>
            </w:r>
            <w:r w:rsidR="00282315">
              <w:rPr>
                <w:noProof/>
                <w:webHidden/>
              </w:rPr>
              <w:t>50</w:t>
            </w:r>
            <w:r w:rsidR="00775AF6">
              <w:rPr>
                <w:noProof/>
                <w:webHidden/>
              </w:rPr>
              <w:fldChar w:fldCharType="end"/>
            </w:r>
          </w:hyperlink>
        </w:p>
        <w:p w14:paraId="5068BFA2" w14:textId="5715E720" w:rsidR="00775AF6" w:rsidRDefault="004C63E5">
          <w:pPr>
            <w:pStyle w:val="TOC3"/>
            <w:tabs>
              <w:tab w:val="right" w:leader="dot" w:pos="9060"/>
            </w:tabs>
            <w:rPr>
              <w:rFonts w:eastAsiaTheme="minorEastAsia"/>
              <w:noProof/>
              <w:kern w:val="2"/>
              <w:lang w:eastAsia="en-AU"/>
              <w14:ligatures w14:val="standardContextual"/>
            </w:rPr>
          </w:pPr>
          <w:hyperlink w:anchor="_Toc151123140" w:history="1">
            <w:r w:rsidR="00775AF6" w:rsidRPr="00BB7F41">
              <w:rPr>
                <w:rStyle w:val="Hyperlink"/>
                <w:noProof/>
              </w:rPr>
              <w:t>Time taken and value of time</w:t>
            </w:r>
            <w:r w:rsidR="00775AF6">
              <w:rPr>
                <w:noProof/>
                <w:webHidden/>
              </w:rPr>
              <w:tab/>
            </w:r>
            <w:r w:rsidR="00775AF6">
              <w:rPr>
                <w:noProof/>
                <w:webHidden/>
              </w:rPr>
              <w:fldChar w:fldCharType="begin"/>
            </w:r>
            <w:r w:rsidR="00775AF6">
              <w:rPr>
                <w:noProof/>
                <w:webHidden/>
              </w:rPr>
              <w:instrText xml:space="preserve"> PAGEREF _Toc151123140 \h </w:instrText>
            </w:r>
            <w:r w:rsidR="00775AF6">
              <w:rPr>
                <w:noProof/>
                <w:webHidden/>
              </w:rPr>
            </w:r>
            <w:r w:rsidR="00775AF6">
              <w:rPr>
                <w:noProof/>
                <w:webHidden/>
              </w:rPr>
              <w:fldChar w:fldCharType="separate"/>
            </w:r>
            <w:r w:rsidR="00282315">
              <w:rPr>
                <w:noProof/>
                <w:webHidden/>
              </w:rPr>
              <w:t>51</w:t>
            </w:r>
            <w:r w:rsidR="00775AF6">
              <w:rPr>
                <w:noProof/>
                <w:webHidden/>
              </w:rPr>
              <w:fldChar w:fldCharType="end"/>
            </w:r>
          </w:hyperlink>
        </w:p>
        <w:p w14:paraId="5D8C9C57" w14:textId="752766DD" w:rsidR="00775AF6" w:rsidRDefault="004C63E5">
          <w:pPr>
            <w:pStyle w:val="TOC3"/>
            <w:tabs>
              <w:tab w:val="right" w:leader="dot" w:pos="9060"/>
            </w:tabs>
            <w:rPr>
              <w:rFonts w:eastAsiaTheme="minorEastAsia"/>
              <w:noProof/>
              <w:kern w:val="2"/>
              <w:lang w:eastAsia="en-AU"/>
              <w14:ligatures w14:val="standardContextual"/>
            </w:rPr>
          </w:pPr>
          <w:hyperlink w:anchor="_Toc151123141" w:history="1">
            <w:r w:rsidR="00775AF6" w:rsidRPr="00BB7F41">
              <w:rPr>
                <w:rStyle w:val="Hyperlink"/>
                <w:noProof/>
              </w:rPr>
              <w:t>Sector attribution</w:t>
            </w:r>
            <w:r w:rsidR="00775AF6">
              <w:rPr>
                <w:noProof/>
                <w:webHidden/>
              </w:rPr>
              <w:tab/>
            </w:r>
            <w:r w:rsidR="00775AF6">
              <w:rPr>
                <w:noProof/>
                <w:webHidden/>
              </w:rPr>
              <w:fldChar w:fldCharType="begin"/>
            </w:r>
            <w:r w:rsidR="00775AF6">
              <w:rPr>
                <w:noProof/>
                <w:webHidden/>
              </w:rPr>
              <w:instrText xml:space="preserve"> PAGEREF _Toc151123141 \h </w:instrText>
            </w:r>
            <w:r w:rsidR="00775AF6">
              <w:rPr>
                <w:noProof/>
                <w:webHidden/>
              </w:rPr>
            </w:r>
            <w:r w:rsidR="00775AF6">
              <w:rPr>
                <w:noProof/>
                <w:webHidden/>
              </w:rPr>
              <w:fldChar w:fldCharType="separate"/>
            </w:r>
            <w:r w:rsidR="00282315">
              <w:rPr>
                <w:noProof/>
                <w:webHidden/>
              </w:rPr>
              <w:t>51</w:t>
            </w:r>
            <w:r w:rsidR="00775AF6">
              <w:rPr>
                <w:noProof/>
                <w:webHidden/>
              </w:rPr>
              <w:fldChar w:fldCharType="end"/>
            </w:r>
          </w:hyperlink>
        </w:p>
        <w:p w14:paraId="7656A46C" w14:textId="7DAE9EE1" w:rsidR="00775AF6" w:rsidRDefault="004C63E5">
          <w:pPr>
            <w:pStyle w:val="TOC3"/>
            <w:tabs>
              <w:tab w:val="right" w:leader="dot" w:pos="9060"/>
            </w:tabs>
            <w:rPr>
              <w:rFonts w:eastAsiaTheme="minorEastAsia"/>
              <w:noProof/>
              <w:kern w:val="2"/>
              <w:lang w:eastAsia="en-AU"/>
              <w14:ligatures w14:val="standardContextual"/>
            </w:rPr>
          </w:pPr>
          <w:hyperlink w:anchor="_Toc151123142" w:history="1">
            <w:r w:rsidR="00775AF6" w:rsidRPr="00BB7F41">
              <w:rPr>
                <w:rStyle w:val="Hyperlink"/>
                <w:noProof/>
              </w:rPr>
              <w:t>Differences in regulatory burden between policy options</w:t>
            </w:r>
            <w:r w:rsidR="00775AF6">
              <w:rPr>
                <w:noProof/>
                <w:webHidden/>
              </w:rPr>
              <w:tab/>
            </w:r>
            <w:r w:rsidR="00775AF6">
              <w:rPr>
                <w:noProof/>
                <w:webHidden/>
              </w:rPr>
              <w:fldChar w:fldCharType="begin"/>
            </w:r>
            <w:r w:rsidR="00775AF6">
              <w:rPr>
                <w:noProof/>
                <w:webHidden/>
              </w:rPr>
              <w:instrText xml:space="preserve"> PAGEREF _Toc151123142 \h </w:instrText>
            </w:r>
            <w:r w:rsidR="00775AF6">
              <w:rPr>
                <w:noProof/>
                <w:webHidden/>
              </w:rPr>
            </w:r>
            <w:r w:rsidR="00775AF6">
              <w:rPr>
                <w:noProof/>
                <w:webHidden/>
              </w:rPr>
              <w:fldChar w:fldCharType="separate"/>
            </w:r>
            <w:r w:rsidR="00282315">
              <w:rPr>
                <w:noProof/>
                <w:webHidden/>
              </w:rPr>
              <w:t>52</w:t>
            </w:r>
            <w:r w:rsidR="00775AF6">
              <w:rPr>
                <w:noProof/>
                <w:webHidden/>
              </w:rPr>
              <w:fldChar w:fldCharType="end"/>
            </w:r>
          </w:hyperlink>
        </w:p>
        <w:p w14:paraId="0EAD83CE" w14:textId="74EEB5DF" w:rsidR="007855CC" w:rsidRPr="0095636C" w:rsidRDefault="0095636C" w:rsidP="0095636C">
          <w:r>
            <w:rPr>
              <w:rFonts w:ascii="Calibri" w:eastAsiaTheme="majorEastAsia" w:hAnsi="Calibri" w:cstheme="majorBidi"/>
              <w:b/>
              <w:color w:val="343741"/>
              <w:sz w:val="32"/>
              <w:szCs w:val="32"/>
            </w:rPr>
            <w:fldChar w:fldCharType="end"/>
          </w:r>
        </w:p>
      </w:sdtContent>
    </w:sdt>
    <w:p w14:paraId="31A63E98" w14:textId="77777777" w:rsidR="007855CC" w:rsidRPr="0095636C" w:rsidRDefault="007855CC" w:rsidP="0095636C">
      <w:r>
        <w:br w:type="page"/>
      </w:r>
    </w:p>
    <w:bookmarkEnd w:id="1"/>
    <w:p w14:paraId="067DDE66" w14:textId="66E9A72A" w:rsidR="008F71EF" w:rsidRDefault="008F71EF">
      <w:pPr>
        <w:spacing w:after="160" w:line="259" w:lineRule="auto"/>
      </w:pPr>
    </w:p>
    <w:p w14:paraId="5C8E4675" w14:textId="3DB7BAE9" w:rsidR="002300B0" w:rsidRPr="0014151F" w:rsidRDefault="002300B0" w:rsidP="00A40BD4">
      <w:pPr>
        <w:pStyle w:val="Heading1"/>
        <w:numPr>
          <w:ilvl w:val="0"/>
          <w:numId w:val="11"/>
        </w:numPr>
        <w:ind w:left="357" w:hanging="357"/>
      </w:pPr>
      <w:bookmarkStart w:id="2" w:name="_Toc148282810"/>
      <w:bookmarkStart w:id="3" w:name="_Toc148282949"/>
      <w:bookmarkStart w:id="4" w:name="_Toc148282811"/>
      <w:bookmarkStart w:id="5" w:name="_Toc148282950"/>
      <w:bookmarkStart w:id="6" w:name="_Toc146714615"/>
      <w:bookmarkStart w:id="7" w:name="_Toc146714616"/>
      <w:bookmarkStart w:id="8" w:name="_Toc151123093"/>
      <w:bookmarkEnd w:id="2"/>
      <w:bookmarkEnd w:id="3"/>
      <w:bookmarkEnd w:id="4"/>
      <w:bookmarkEnd w:id="5"/>
      <w:bookmarkEnd w:id="6"/>
      <w:bookmarkEnd w:id="7"/>
      <w:r>
        <w:t>Introduction</w:t>
      </w:r>
      <w:bookmarkEnd w:id="8"/>
      <w:r w:rsidRPr="0014151F">
        <w:t xml:space="preserve"> </w:t>
      </w:r>
    </w:p>
    <w:p w14:paraId="0DB2640E" w14:textId="6FD62214" w:rsidR="00E3618E" w:rsidRDefault="00F77DF1" w:rsidP="00280317">
      <w:pPr>
        <w:rPr>
          <w:rFonts w:cstheme="minorHAnsi"/>
        </w:rPr>
      </w:pPr>
      <w:r w:rsidRPr="00FD21F3">
        <w:rPr>
          <w:rFonts w:cstheme="minorHAnsi"/>
        </w:rPr>
        <w:t xml:space="preserve">This Impact Analysis has been prepared by the Department of Employment and Workplace Relations on options for </w:t>
      </w:r>
      <w:r w:rsidR="0047606F" w:rsidRPr="00FD21F3">
        <w:rPr>
          <w:rFonts w:cstheme="minorHAnsi"/>
        </w:rPr>
        <w:t xml:space="preserve">voluntary </w:t>
      </w:r>
      <w:r w:rsidRPr="00FD21F3">
        <w:rPr>
          <w:rFonts w:cstheme="minorHAnsi"/>
        </w:rPr>
        <w:t xml:space="preserve">pre-employment </w:t>
      </w:r>
      <w:r w:rsidR="00A31265">
        <w:rPr>
          <w:rFonts w:cstheme="minorHAnsi"/>
        </w:rPr>
        <w:t>support</w:t>
      </w:r>
      <w:r w:rsidR="00A31265" w:rsidRPr="00FD21F3">
        <w:rPr>
          <w:rFonts w:cstheme="minorHAnsi"/>
        </w:rPr>
        <w:t xml:space="preserve"> </w:t>
      </w:r>
      <w:r w:rsidRPr="00FD21F3">
        <w:rPr>
          <w:rFonts w:cstheme="minorHAnsi"/>
        </w:rPr>
        <w:t xml:space="preserve">for parents </w:t>
      </w:r>
      <w:r w:rsidR="00D660DA" w:rsidRPr="00FD21F3">
        <w:rPr>
          <w:rFonts w:cstheme="minorHAnsi"/>
        </w:rPr>
        <w:t xml:space="preserve">of young children </w:t>
      </w:r>
      <w:r w:rsidR="0047606F" w:rsidRPr="00FD21F3">
        <w:rPr>
          <w:rFonts w:cstheme="minorHAnsi"/>
        </w:rPr>
        <w:t xml:space="preserve">to replace the </w:t>
      </w:r>
      <w:r w:rsidRPr="00FD21F3">
        <w:rPr>
          <w:rFonts w:cstheme="minorHAnsi"/>
        </w:rPr>
        <w:t>ParentsNext program</w:t>
      </w:r>
      <w:r w:rsidR="003E069B" w:rsidRPr="00FD21F3">
        <w:rPr>
          <w:rFonts w:cstheme="minorHAnsi"/>
        </w:rPr>
        <w:t>. Cessation of ParentsNext w</w:t>
      </w:r>
      <w:r w:rsidR="00D660DA" w:rsidRPr="00FD21F3">
        <w:rPr>
          <w:rFonts w:cstheme="minorHAnsi"/>
        </w:rPr>
        <w:t xml:space="preserve">as announced by the Australian Government </w:t>
      </w:r>
      <w:r w:rsidR="003E069B" w:rsidRPr="00FD21F3">
        <w:rPr>
          <w:rFonts w:cstheme="minorHAnsi"/>
        </w:rPr>
        <w:t>on 5</w:t>
      </w:r>
      <w:r w:rsidR="00280317" w:rsidRPr="00FD21F3">
        <w:rPr>
          <w:rFonts w:cstheme="minorHAnsi"/>
        </w:rPr>
        <w:t> </w:t>
      </w:r>
      <w:r w:rsidR="003E069B" w:rsidRPr="00FD21F3">
        <w:rPr>
          <w:rFonts w:cstheme="minorHAnsi"/>
        </w:rPr>
        <w:t>May 2023 and included in the 2023</w:t>
      </w:r>
      <w:r w:rsidR="00DE6E3A">
        <w:t>–</w:t>
      </w:r>
      <w:r w:rsidR="003E069B" w:rsidRPr="00FD21F3">
        <w:rPr>
          <w:rFonts w:cstheme="minorHAnsi"/>
        </w:rPr>
        <w:t>24 Budget.</w:t>
      </w:r>
      <w:r w:rsidR="009B402B">
        <w:rPr>
          <w:rStyle w:val="FootnoteReference"/>
          <w:rFonts w:cstheme="minorHAnsi"/>
        </w:rPr>
        <w:footnoteReference w:id="2"/>
      </w:r>
    </w:p>
    <w:p w14:paraId="555FEE41" w14:textId="06B479D2" w:rsidR="00F77DF1" w:rsidRPr="00FD21F3" w:rsidRDefault="00A26A37" w:rsidP="00280317">
      <w:pPr>
        <w:rPr>
          <w:rFonts w:cstheme="minorHAnsi"/>
        </w:rPr>
      </w:pPr>
      <w:r w:rsidRPr="008E7CD4">
        <w:rPr>
          <w:rFonts w:cstheme="minorHAnsi"/>
        </w:rPr>
        <w:t xml:space="preserve">This </w:t>
      </w:r>
      <w:r w:rsidR="008225D9" w:rsidRPr="008E7CD4">
        <w:rPr>
          <w:rFonts w:cstheme="minorHAnsi"/>
        </w:rPr>
        <w:t xml:space="preserve">Impact Analysis </w:t>
      </w:r>
      <w:r w:rsidRPr="008E7CD4">
        <w:rPr>
          <w:rFonts w:cstheme="minorHAnsi"/>
        </w:rPr>
        <w:t>is prepare</w:t>
      </w:r>
      <w:r w:rsidR="007166B0" w:rsidRPr="008E7CD4">
        <w:rPr>
          <w:rFonts w:cstheme="minorHAnsi"/>
        </w:rPr>
        <w:t>d</w:t>
      </w:r>
      <w:r w:rsidRPr="008E7CD4">
        <w:rPr>
          <w:rFonts w:cstheme="minorHAnsi"/>
        </w:rPr>
        <w:t xml:space="preserve"> for final assessment by the</w:t>
      </w:r>
      <w:r w:rsidR="007166B0" w:rsidRPr="008E7CD4">
        <w:rPr>
          <w:rFonts w:cstheme="minorHAnsi"/>
        </w:rPr>
        <w:t xml:space="preserve"> </w:t>
      </w:r>
      <w:r w:rsidR="00C27869" w:rsidRPr="008E7CD4">
        <w:rPr>
          <w:rFonts w:cstheme="minorHAnsi"/>
        </w:rPr>
        <w:t>Office of Impact Analysis (</w:t>
      </w:r>
      <w:r w:rsidRPr="008E7CD4">
        <w:rPr>
          <w:rFonts w:cstheme="minorHAnsi"/>
        </w:rPr>
        <w:t>OI</w:t>
      </w:r>
      <w:r w:rsidR="008225D9" w:rsidRPr="008E7CD4">
        <w:rPr>
          <w:rFonts w:cstheme="minorHAnsi"/>
        </w:rPr>
        <w:t>A</w:t>
      </w:r>
      <w:r w:rsidR="00C27869" w:rsidRPr="008E7CD4">
        <w:rPr>
          <w:rFonts w:cstheme="minorHAnsi"/>
        </w:rPr>
        <w:t>)</w:t>
      </w:r>
      <w:r w:rsidRPr="008E7CD4">
        <w:rPr>
          <w:rFonts w:cstheme="minorHAnsi"/>
        </w:rPr>
        <w:t xml:space="preserve"> to </w:t>
      </w:r>
      <w:r w:rsidR="008225D9" w:rsidRPr="008E7CD4">
        <w:rPr>
          <w:rFonts w:cstheme="minorHAnsi"/>
        </w:rPr>
        <w:t>inform</w:t>
      </w:r>
      <w:r w:rsidRPr="008E7CD4">
        <w:rPr>
          <w:rFonts w:cstheme="minorHAnsi"/>
        </w:rPr>
        <w:t xml:space="preserve"> a final </w:t>
      </w:r>
      <w:r w:rsidR="008225D9" w:rsidRPr="008E7CD4">
        <w:rPr>
          <w:rFonts w:cstheme="minorHAnsi"/>
        </w:rPr>
        <w:t>government</w:t>
      </w:r>
      <w:r w:rsidRPr="008E7CD4">
        <w:rPr>
          <w:rFonts w:cstheme="minorHAnsi"/>
        </w:rPr>
        <w:t xml:space="preserve"> decision about </w:t>
      </w:r>
      <w:r w:rsidR="008225D9" w:rsidRPr="008E7CD4">
        <w:rPr>
          <w:rFonts w:cstheme="minorHAnsi"/>
        </w:rPr>
        <w:t>the creation</w:t>
      </w:r>
      <w:r w:rsidRPr="008E7CD4">
        <w:rPr>
          <w:rFonts w:cstheme="minorHAnsi"/>
        </w:rPr>
        <w:t xml:space="preserve"> of a new voluntary pre-</w:t>
      </w:r>
      <w:r w:rsidR="008225D9" w:rsidRPr="008E7CD4">
        <w:rPr>
          <w:rFonts w:cstheme="minorHAnsi"/>
        </w:rPr>
        <w:t>employment</w:t>
      </w:r>
      <w:r w:rsidRPr="008E7CD4">
        <w:rPr>
          <w:rFonts w:cstheme="minorHAnsi"/>
        </w:rPr>
        <w:t xml:space="preserve"> </w:t>
      </w:r>
      <w:r w:rsidR="008225D9" w:rsidRPr="008E7CD4">
        <w:rPr>
          <w:rFonts w:cstheme="minorHAnsi"/>
        </w:rPr>
        <w:t>service</w:t>
      </w:r>
      <w:r w:rsidRPr="008E7CD4">
        <w:rPr>
          <w:rFonts w:cstheme="minorHAnsi"/>
        </w:rPr>
        <w:t xml:space="preserve"> for</w:t>
      </w:r>
      <w:r>
        <w:rPr>
          <w:rFonts w:cstheme="minorHAnsi"/>
        </w:rPr>
        <w:t xml:space="preserve"> parents of young children.</w:t>
      </w:r>
      <w:r w:rsidR="003E069B" w:rsidRPr="00FD21F3">
        <w:rPr>
          <w:rFonts w:cstheme="minorHAnsi"/>
        </w:rPr>
        <w:t xml:space="preserve"> </w:t>
      </w:r>
      <w:r w:rsidR="00C27869">
        <w:rPr>
          <w:rFonts w:cstheme="minorHAnsi"/>
        </w:rPr>
        <w:t xml:space="preserve">Previous steps were informed by draft Impact Analysis that had not been subject to formal </w:t>
      </w:r>
      <w:r w:rsidR="00A9479C">
        <w:rPr>
          <w:rFonts w:cstheme="minorHAnsi"/>
        </w:rPr>
        <w:t xml:space="preserve">assessment </w:t>
      </w:r>
      <w:r w:rsidR="00C27869">
        <w:rPr>
          <w:rFonts w:cstheme="minorHAnsi"/>
        </w:rPr>
        <w:t>by the OIA</w:t>
      </w:r>
      <w:r w:rsidR="00543487">
        <w:rPr>
          <w:rFonts w:cstheme="minorHAnsi"/>
        </w:rPr>
        <w:t>.</w:t>
      </w:r>
    </w:p>
    <w:p w14:paraId="246594A1" w14:textId="74D78799" w:rsidR="00D660DA" w:rsidRDefault="00D660DA" w:rsidP="008F71EF">
      <w:r>
        <w:t>Th</w:t>
      </w:r>
      <w:r w:rsidR="003E069B">
        <w:t>is</w:t>
      </w:r>
      <w:r w:rsidR="0047606F">
        <w:t xml:space="preserve"> </w:t>
      </w:r>
      <w:r>
        <w:t xml:space="preserve">analysis considers the </w:t>
      </w:r>
      <w:r w:rsidR="0047606F">
        <w:t>potential impact of three policy options</w:t>
      </w:r>
      <w:r>
        <w:t xml:space="preserve"> on parents who might use the service, organisations that may deliver the service</w:t>
      </w:r>
      <w:r w:rsidR="00BB73AA">
        <w:t>, employers</w:t>
      </w:r>
      <w:r>
        <w:t xml:space="preserve"> and the </w:t>
      </w:r>
      <w:r w:rsidR="009077CF">
        <w:t>government</w:t>
      </w:r>
      <w:r w:rsidR="003E069B">
        <w:t>.</w:t>
      </w:r>
    </w:p>
    <w:p w14:paraId="750F7C10" w14:textId="0B79EEE6" w:rsidR="00F83A96" w:rsidRDefault="00F83A96" w:rsidP="008F71EF">
      <w:r>
        <w:t xml:space="preserve">Implementation of the </w:t>
      </w:r>
      <w:r w:rsidR="00264AD3">
        <w:t>g</w:t>
      </w:r>
      <w:r w:rsidR="00D548FA">
        <w:t xml:space="preserve">overnment’s </w:t>
      </w:r>
      <w:r>
        <w:t xml:space="preserve">decision to </w:t>
      </w:r>
      <w:r w:rsidRPr="00F83A96">
        <w:t xml:space="preserve">pause compulsory </w:t>
      </w:r>
      <w:r w:rsidR="00941006">
        <w:t>participation</w:t>
      </w:r>
      <w:r w:rsidRPr="00F83A96">
        <w:t xml:space="preserve"> in ParentsNext from</w:t>
      </w:r>
      <w:r>
        <w:t xml:space="preserve"> 5 May 2023 does not form part of this Impact Analysis as it relate</w:t>
      </w:r>
      <w:r w:rsidR="00941006">
        <w:t>s</w:t>
      </w:r>
      <w:r>
        <w:t xml:space="preserve"> to the operation of the existing program.</w:t>
      </w:r>
    </w:p>
    <w:p w14:paraId="490E584B" w14:textId="59AB8D39" w:rsidR="008F71EF" w:rsidRDefault="008F71EF" w:rsidP="00A40BD4">
      <w:pPr>
        <w:pStyle w:val="Heading1"/>
        <w:numPr>
          <w:ilvl w:val="0"/>
          <w:numId w:val="11"/>
        </w:numPr>
        <w:ind w:left="357" w:hanging="357"/>
      </w:pPr>
      <w:bookmarkStart w:id="9" w:name="_Toc151123094"/>
      <w:r>
        <w:t>Background</w:t>
      </w:r>
      <w:bookmarkEnd w:id="9"/>
      <w:r>
        <w:t xml:space="preserve"> </w:t>
      </w:r>
    </w:p>
    <w:p w14:paraId="50102138" w14:textId="79DD1494" w:rsidR="007A7D19" w:rsidRPr="002C654D" w:rsidRDefault="007A7D19" w:rsidP="001429A5">
      <w:r w:rsidRPr="002C654D">
        <w:t xml:space="preserve">The </w:t>
      </w:r>
      <w:r w:rsidR="009077CF">
        <w:t>g</w:t>
      </w:r>
      <w:r w:rsidR="009077CF" w:rsidRPr="002C654D">
        <w:t xml:space="preserve">overnment </w:t>
      </w:r>
      <w:r w:rsidRPr="002C654D">
        <w:t xml:space="preserve">announced </w:t>
      </w:r>
      <w:r w:rsidR="00C404D4" w:rsidRPr="002C654D">
        <w:t>on 5 May 2023 and include</w:t>
      </w:r>
      <w:r w:rsidR="00811557" w:rsidRPr="002C654D">
        <w:t>d</w:t>
      </w:r>
      <w:r w:rsidR="00C404D4" w:rsidRPr="002C654D">
        <w:t xml:space="preserve"> </w:t>
      </w:r>
      <w:r w:rsidRPr="002C654D">
        <w:t>in the 2023</w:t>
      </w:r>
      <w:r w:rsidR="00DE6E3A">
        <w:t xml:space="preserve">–24 </w:t>
      </w:r>
      <w:r w:rsidRPr="002C654D">
        <w:t>Budget that participation in the ParentsNext pre</w:t>
      </w:r>
      <w:r w:rsidR="009C721D" w:rsidRPr="002C654D">
        <w:t>-</w:t>
      </w:r>
      <w:r w:rsidRPr="002C654D">
        <w:t>employment program would</w:t>
      </w:r>
      <w:r w:rsidR="00C404D4" w:rsidRPr="002C654D">
        <w:t xml:space="preserve"> become</w:t>
      </w:r>
      <w:r w:rsidRPr="002C654D">
        <w:t xml:space="preserve"> voluntary </w:t>
      </w:r>
      <w:r w:rsidR="00C404D4" w:rsidRPr="002C654D">
        <w:t xml:space="preserve">immediately </w:t>
      </w:r>
      <w:r w:rsidRPr="002C654D">
        <w:t>and it would be replaced by a new voluntary program that better meets the needs of parents.</w:t>
      </w:r>
    </w:p>
    <w:p w14:paraId="465E0B30" w14:textId="6CFA46C9" w:rsidR="008F71EF" w:rsidRPr="001C0BDB" w:rsidRDefault="001C0BDB" w:rsidP="001C0BDB">
      <w:pPr>
        <w:pStyle w:val="Heading2"/>
        <w:spacing w:before="40" w:line="259" w:lineRule="auto"/>
        <w:rPr>
          <w:lang w:val="en-US"/>
        </w:rPr>
      </w:pPr>
      <w:bookmarkStart w:id="10" w:name="_Toc151123095"/>
      <w:r>
        <w:rPr>
          <w:lang w:val="en-US"/>
        </w:rPr>
        <w:t>2.1</w:t>
      </w:r>
      <w:r>
        <w:rPr>
          <w:lang w:val="en-US"/>
        </w:rPr>
        <w:tab/>
      </w:r>
      <w:r w:rsidR="00B92D26" w:rsidRPr="001C0BDB">
        <w:rPr>
          <w:lang w:val="en-US"/>
        </w:rPr>
        <w:t>ParentsNext</w:t>
      </w:r>
      <w:bookmarkEnd w:id="10"/>
    </w:p>
    <w:p w14:paraId="639A880A" w14:textId="1232E777" w:rsidR="00EB74DB" w:rsidRPr="00912879" w:rsidRDefault="00941006" w:rsidP="001429A5">
      <w:r>
        <w:t xml:space="preserve">The </w:t>
      </w:r>
      <w:r w:rsidR="00FF6FE1">
        <w:t xml:space="preserve">terminating </w:t>
      </w:r>
      <w:r>
        <w:t xml:space="preserve">ParentsNext program has operated </w:t>
      </w:r>
      <w:r w:rsidR="00FE61B1">
        <w:t>across non-remote Australia</w:t>
      </w:r>
      <w:r w:rsidR="000C274A">
        <w:t xml:space="preserve"> since J</w:t>
      </w:r>
      <w:r>
        <w:t>uly 2018</w:t>
      </w:r>
      <w:r w:rsidR="00C34D8E">
        <w:t>,</w:t>
      </w:r>
      <w:r w:rsidR="499FADE9">
        <w:t xml:space="preserve"> and as a small</w:t>
      </w:r>
      <w:r w:rsidR="008637D7">
        <w:t>-</w:t>
      </w:r>
      <w:r w:rsidR="499FADE9">
        <w:t xml:space="preserve">scale program in 10 locations from 2016, </w:t>
      </w:r>
      <w:r>
        <w:t xml:space="preserve">to assist </w:t>
      </w:r>
      <w:r w:rsidR="000C274A">
        <w:t>eligible parents to overcome the disadvantage that can arise from long periods out of the labour market while they are caring for children. It provides early intervention support to parents of young children who are in receipt of a Parenting Payment so they are better prepared to look for work when their children start full-time school.</w:t>
      </w:r>
      <w:r w:rsidR="004A6AC3">
        <w:rPr>
          <w:rStyle w:val="FootnoteReference"/>
        </w:rPr>
        <w:footnoteReference w:id="3"/>
      </w:r>
      <w:r w:rsidR="000C274A">
        <w:t xml:space="preserve"> </w:t>
      </w:r>
      <w:r w:rsidR="00757448">
        <w:t xml:space="preserve">Since May 2023, participation in ParentsNext has been </w:t>
      </w:r>
      <w:r w:rsidR="00C404D4">
        <w:t>voluntary</w:t>
      </w:r>
      <w:r w:rsidR="00757448">
        <w:t xml:space="preserve"> for eligible parents.</w:t>
      </w:r>
    </w:p>
    <w:p w14:paraId="0C880F3D" w14:textId="5FCE99D6" w:rsidR="00C404D4" w:rsidRPr="00912879" w:rsidRDefault="00C404D4" w:rsidP="001429A5">
      <w:r w:rsidRPr="00912879">
        <w:t xml:space="preserve">By 31 August 2023, almost 238,000 parents had commenced in ParentsNext since the start of the program, the majority of whom were women (93.5%). There were more than </w:t>
      </w:r>
      <w:r w:rsidRPr="00842EEB">
        <w:t>60,000 active</w:t>
      </w:r>
      <w:r w:rsidRPr="00912879">
        <w:t xml:space="preserve"> participants in the program at the end of August 2023.</w:t>
      </w:r>
    </w:p>
    <w:p w14:paraId="4610D88D" w14:textId="472CD403" w:rsidR="00B92D26" w:rsidRPr="00FF6FE1" w:rsidRDefault="009C721D" w:rsidP="001429A5">
      <w:pPr>
        <w:rPr>
          <w:color w:val="000000" w:themeColor="text1"/>
        </w:rPr>
      </w:pPr>
      <w:r w:rsidRPr="00912879">
        <w:t>ParentsNext</w:t>
      </w:r>
      <w:r w:rsidRPr="009C721D">
        <w:t xml:space="preserve"> is delivered by a network of 53 providers across 51 Employment Regions (non-remote areas of Australia where Workforce Australia is delivered). Nearly 80</w:t>
      </w:r>
      <w:r w:rsidR="00FD21F3">
        <w:t xml:space="preserve">% </w:t>
      </w:r>
      <w:r w:rsidRPr="009C721D">
        <w:t xml:space="preserve">of providers (41) operate on a </w:t>
      </w:r>
      <w:r w:rsidRPr="009C721D">
        <w:lastRenderedPageBreak/>
        <w:t>not-for-profit basis compared to 12 for-profit providers. Six providers (11</w:t>
      </w:r>
      <w:r w:rsidR="00FD21F3">
        <w:t>%</w:t>
      </w:r>
      <w:r w:rsidRPr="009C721D">
        <w:t xml:space="preserve">) are First Nations owned or controlled, and 17 providers also deliver Workforce Australia Services. Providers were selected through an open competitive </w:t>
      </w:r>
      <w:r w:rsidRPr="006D6791">
        <w:t>tender process</w:t>
      </w:r>
      <w:r w:rsidR="00234B3E">
        <w:t>.</w:t>
      </w:r>
    </w:p>
    <w:p w14:paraId="17430ACC" w14:textId="16E4035C" w:rsidR="00941006" w:rsidRPr="001C0BDB" w:rsidRDefault="001C0BDB" w:rsidP="001C0BDB">
      <w:pPr>
        <w:pStyle w:val="Heading2"/>
        <w:spacing w:before="40" w:line="259" w:lineRule="auto"/>
        <w:rPr>
          <w:lang w:val="en-US"/>
        </w:rPr>
      </w:pPr>
      <w:bookmarkStart w:id="11" w:name="_Toc151123096"/>
      <w:r>
        <w:rPr>
          <w:lang w:val="en-US"/>
        </w:rPr>
        <w:t>2.2</w:t>
      </w:r>
      <w:r>
        <w:rPr>
          <w:lang w:val="en-US"/>
        </w:rPr>
        <w:tab/>
      </w:r>
      <w:r w:rsidR="00FF6FE1" w:rsidRPr="001C0BDB">
        <w:rPr>
          <w:lang w:val="en-US"/>
        </w:rPr>
        <w:t>Review of ParentsNext</w:t>
      </w:r>
      <w:bookmarkEnd w:id="11"/>
    </w:p>
    <w:p w14:paraId="518BA0DD" w14:textId="53739643" w:rsidR="00941006" w:rsidRPr="00B92D26" w:rsidRDefault="00941006" w:rsidP="00B92D26">
      <w:r w:rsidRPr="00B92D26">
        <w:t xml:space="preserve">The House </w:t>
      </w:r>
      <w:r w:rsidR="00BE6A71">
        <w:t xml:space="preserve">of Representatives </w:t>
      </w:r>
      <w:r w:rsidRPr="00B92D26">
        <w:t>Select Committee on Workforce Australia Employment Services (</w:t>
      </w:r>
      <w:r w:rsidR="00E173D3">
        <w:t>the Select Committee</w:t>
      </w:r>
      <w:r w:rsidRPr="00B92D26">
        <w:t xml:space="preserve">) undertook a review into ParentsNext </w:t>
      </w:r>
      <w:r w:rsidR="00EC4EAF">
        <w:t>in 2022</w:t>
      </w:r>
      <w:r w:rsidR="003A4AF7">
        <w:t>–</w:t>
      </w:r>
      <w:r w:rsidR="00EC4EAF">
        <w:t xml:space="preserve">23 as part of its broader inquiry into employment services </w:t>
      </w:r>
      <w:r w:rsidRPr="00B92D26">
        <w:t>and provided an interim report in March 2023.</w:t>
      </w:r>
    </w:p>
    <w:p w14:paraId="33BCB74C" w14:textId="13F08DFF" w:rsidR="00AC16FF" w:rsidRDefault="00E173D3" w:rsidP="00B92D26">
      <w:r>
        <w:t>The Select Committee</w:t>
      </w:r>
      <w:r w:rsidR="00AC16FF">
        <w:t xml:space="preserve"> acknowledged the breadth of views which had been presented in submissions and </w:t>
      </w:r>
      <w:r w:rsidR="00AC16FF" w:rsidRPr="000C63F4">
        <w:t xml:space="preserve">hearings. </w:t>
      </w:r>
      <w:r>
        <w:t>The Select Committee</w:t>
      </w:r>
      <w:r w:rsidR="00AC16FF" w:rsidRPr="000C63F4">
        <w:t xml:space="preserve"> noted that</w:t>
      </w:r>
      <w:r w:rsidR="00757448" w:rsidRPr="000C63F4">
        <w:t xml:space="preserve"> most stakeholders saw value in a service supporting parents to build their skills and capacity and addresses barriers to future workforce participation</w:t>
      </w:r>
      <w:r w:rsidR="2A41A8C7" w:rsidRPr="000C63F4">
        <w:t>, and that many parents had valued the support ParentsNext provided</w:t>
      </w:r>
      <w:r w:rsidR="00757448" w:rsidRPr="000C63F4">
        <w:t xml:space="preserve">. However, </w:t>
      </w:r>
      <w:r w:rsidR="00D854EF">
        <w:t>the Select Committee</w:t>
      </w:r>
      <w:r w:rsidR="00D854EF" w:rsidRPr="000C63F4">
        <w:t xml:space="preserve"> </w:t>
      </w:r>
      <w:r w:rsidR="00224C33">
        <w:t xml:space="preserve">also </w:t>
      </w:r>
      <w:r w:rsidR="00D90613">
        <w:t xml:space="preserve">recognised that </w:t>
      </w:r>
      <w:r w:rsidR="00757448" w:rsidRPr="000C63F4">
        <w:t xml:space="preserve">many </w:t>
      </w:r>
      <w:r w:rsidR="000C63F4" w:rsidRPr="000C63F4">
        <w:t xml:space="preserve">contributors </w:t>
      </w:r>
      <w:r w:rsidR="00757448" w:rsidRPr="000C63F4">
        <w:t>considered that the existing ParentsNext could not continue</w:t>
      </w:r>
      <w:r w:rsidR="00E976FE" w:rsidRPr="000C63F4">
        <w:t xml:space="preserve"> </w:t>
      </w:r>
      <w:r w:rsidR="009C721D">
        <w:t xml:space="preserve">as the </w:t>
      </w:r>
      <w:r w:rsidR="00E976FE" w:rsidRPr="000C63F4">
        <w:t>benefits to</w:t>
      </w:r>
      <w:r w:rsidR="00E976FE">
        <w:t xml:space="preserve"> </w:t>
      </w:r>
      <w:r w:rsidR="000C63F4">
        <w:t>participants</w:t>
      </w:r>
      <w:r w:rsidR="00E976FE">
        <w:t xml:space="preserve"> </w:t>
      </w:r>
      <w:r w:rsidR="009C721D">
        <w:t xml:space="preserve">were </w:t>
      </w:r>
      <w:r w:rsidR="00E976FE">
        <w:t>overshadowed by the</w:t>
      </w:r>
      <w:r w:rsidR="000C63F4">
        <w:t xml:space="preserve"> compulsory</w:t>
      </w:r>
      <w:r w:rsidR="00E976FE">
        <w:t xml:space="preserve"> participant compliance framework operating </w:t>
      </w:r>
      <w:r w:rsidR="000C63F4">
        <w:t>at the</w:t>
      </w:r>
      <w:r w:rsidR="00E976FE">
        <w:t xml:space="preserve"> time</w:t>
      </w:r>
      <w:r w:rsidR="00811557">
        <w:t>.</w:t>
      </w:r>
      <w:r w:rsidR="00510F33">
        <w:rPr>
          <w:rStyle w:val="FootnoteReference"/>
        </w:rPr>
        <w:footnoteReference w:id="4"/>
      </w:r>
    </w:p>
    <w:p w14:paraId="4B85DC14" w14:textId="152C7378" w:rsidR="00941006" w:rsidRPr="00B92D26" w:rsidRDefault="00E173D3" w:rsidP="00B92D26">
      <w:r>
        <w:t>The Select Committee</w:t>
      </w:r>
      <w:r w:rsidR="00941006" w:rsidRPr="00B92D26">
        <w:t xml:space="preserve"> </w:t>
      </w:r>
      <w:r w:rsidR="00E976FE">
        <w:t>considered</w:t>
      </w:r>
      <w:r w:rsidR="00941006" w:rsidRPr="00B92D26">
        <w:t xml:space="preserve"> that there is a need for pre-employment or prevocational services for </w:t>
      </w:r>
      <w:r w:rsidR="00C0210E">
        <w:t xml:space="preserve">vulnerable </w:t>
      </w:r>
      <w:r w:rsidR="00233EC5">
        <w:t>parents</w:t>
      </w:r>
      <w:r w:rsidR="00941006" w:rsidRPr="00B92D26">
        <w:t>. </w:t>
      </w:r>
      <w:r>
        <w:t>The Select Committee</w:t>
      </w:r>
      <w:r w:rsidR="00941006" w:rsidRPr="00B92D26">
        <w:t xml:space="preserve"> noted that such services can be effective in addressing barriers to social and economic participation, enabling financial security for participants, and ultimately in helping to break intergenerational cycles of poverty and disadvantage.</w:t>
      </w:r>
    </w:p>
    <w:p w14:paraId="0A960C0C" w14:textId="0E842EA8" w:rsidR="00941006" w:rsidRDefault="00E173D3" w:rsidP="008F71EF">
      <w:r>
        <w:t>The Select Committee</w:t>
      </w:r>
      <w:r w:rsidR="00FF6FE1">
        <w:t xml:space="preserve"> made substantive recommendations to abolish ParentsNext and replace it with a new service which places importance on caring for children and focusses on assisting parent</w:t>
      </w:r>
      <w:r w:rsidR="00B534CF">
        <w:t>s</w:t>
      </w:r>
      <w:r w:rsidR="00FF6FE1">
        <w:t xml:space="preserve"> to </w:t>
      </w:r>
      <w:r w:rsidR="00EC4EAF">
        <w:t xml:space="preserve">build their confidence and </w:t>
      </w:r>
      <w:r w:rsidR="00922040">
        <w:t>capacity</w:t>
      </w:r>
      <w:r w:rsidR="00EC4EAF">
        <w:t xml:space="preserve">, address </w:t>
      </w:r>
      <w:r w:rsidR="00922040">
        <w:t xml:space="preserve">barriers to social and economic participation, and make progress in achieving their individual </w:t>
      </w:r>
      <w:r w:rsidR="00EC4EAF">
        <w:t>education and employment goals</w:t>
      </w:r>
      <w:r w:rsidR="00922040">
        <w:t>.</w:t>
      </w:r>
      <w:r w:rsidR="00F322E1">
        <w:t xml:space="preserve"> </w:t>
      </w:r>
      <w:r>
        <w:t>The Select Committee</w:t>
      </w:r>
      <w:r w:rsidR="00922040">
        <w:t xml:space="preserve"> </w:t>
      </w:r>
      <w:bookmarkStart w:id="12" w:name="_Hlk147152381"/>
      <w:r w:rsidR="00922040">
        <w:t xml:space="preserve">considered that any new service should be developed through a co-design process and, to allow </w:t>
      </w:r>
      <w:r w:rsidR="001D3479">
        <w:t xml:space="preserve">for this, existing contracts might be extended </w:t>
      </w:r>
      <w:bookmarkEnd w:id="12"/>
      <w:r w:rsidR="001D3479">
        <w:t>for the shortest time necessary so that parents continued to be supported.</w:t>
      </w:r>
    </w:p>
    <w:p w14:paraId="1FA672F7" w14:textId="7FFE8D4A" w:rsidR="005E27ED" w:rsidRDefault="00E976FE" w:rsidP="005E27ED">
      <w:r>
        <w:t>In the lead up to the 2023</w:t>
      </w:r>
      <w:r w:rsidR="00DE6E3A">
        <w:t>–</w:t>
      </w:r>
      <w:r>
        <w:t xml:space="preserve">24 Budget, </w:t>
      </w:r>
      <w:r w:rsidR="00585E76">
        <w:t xml:space="preserve">the Women’s Economic Equality Taskforce and </w:t>
      </w:r>
      <w:r w:rsidR="005E27ED">
        <w:t>t</w:t>
      </w:r>
      <w:r w:rsidR="005E27ED" w:rsidRPr="009A3315">
        <w:t>he</w:t>
      </w:r>
      <w:r w:rsidR="005E27ED">
        <w:rPr>
          <w:i/>
          <w:iCs/>
        </w:rPr>
        <w:t xml:space="preserve"> </w:t>
      </w:r>
      <w:r w:rsidR="005E27ED" w:rsidRPr="009A3315">
        <w:rPr>
          <w:i/>
          <w:iCs/>
        </w:rPr>
        <w:t>2023</w:t>
      </w:r>
      <w:r w:rsidR="00DE6E3A">
        <w:t>–</w:t>
      </w:r>
      <w:r w:rsidR="005E27ED" w:rsidRPr="009A3315">
        <w:rPr>
          <w:i/>
          <w:iCs/>
        </w:rPr>
        <w:t>24 Report to the Australian Government</w:t>
      </w:r>
      <w:r w:rsidR="005E27ED">
        <w:t xml:space="preserve"> from the interim Economic Inclusion Advisory Committee </w:t>
      </w:r>
      <w:r w:rsidR="00585E76">
        <w:t>a</w:t>
      </w:r>
      <w:r w:rsidR="005E27ED">
        <w:t>lso recommended ParentsNext be replaced by new, co-designed support services for vulnerable families and young parents.</w:t>
      </w:r>
    </w:p>
    <w:p w14:paraId="266935C6" w14:textId="00F0A580" w:rsidR="00E976FE" w:rsidRPr="00994D84" w:rsidRDefault="001C0BDB" w:rsidP="00A1664A">
      <w:pPr>
        <w:pStyle w:val="Heading2"/>
      </w:pPr>
      <w:bookmarkStart w:id="13" w:name="_Toc151123097"/>
      <w:r w:rsidRPr="00994D84">
        <w:t>2.3</w:t>
      </w:r>
      <w:r w:rsidRPr="00994D84">
        <w:tab/>
      </w:r>
      <w:r w:rsidR="000C63F4" w:rsidRPr="00994D84">
        <w:t>Consultation</w:t>
      </w:r>
      <w:bookmarkEnd w:id="13"/>
    </w:p>
    <w:p w14:paraId="5CB74058" w14:textId="1C752903" w:rsidR="000C63F4" w:rsidRDefault="000C63F4" w:rsidP="00A1664A">
      <w:pPr>
        <w:keepLines/>
      </w:pPr>
      <w:r w:rsidRPr="00971A97">
        <w:t xml:space="preserve">Consultations </w:t>
      </w:r>
      <w:r w:rsidR="00750E99">
        <w:t xml:space="preserve">have been conducted </w:t>
      </w:r>
      <w:r w:rsidR="00827BE9" w:rsidRPr="00971A97">
        <w:t>with parents and other stakeholders</w:t>
      </w:r>
      <w:r w:rsidR="00606179">
        <w:t xml:space="preserve"> as well as </w:t>
      </w:r>
      <w:r w:rsidR="00FA07C0">
        <w:t>considering</w:t>
      </w:r>
      <w:r w:rsidR="00606179">
        <w:t xml:space="preserve"> </w:t>
      </w:r>
      <w:r w:rsidR="00FA07C0">
        <w:t xml:space="preserve">the </w:t>
      </w:r>
      <w:r w:rsidR="00367BC2">
        <w:t xml:space="preserve">submissions and report of the Select Committee and previous inquiries related to ParentsNext. </w:t>
      </w:r>
      <w:r w:rsidR="00533EE5">
        <w:t xml:space="preserve">There </w:t>
      </w:r>
      <w:r w:rsidR="00971A97">
        <w:t xml:space="preserve">is wide </w:t>
      </w:r>
      <w:r w:rsidRPr="00971A97">
        <w:t>support for</w:t>
      </w:r>
      <w:r w:rsidR="00994D84" w:rsidRPr="00971A97">
        <w:t xml:space="preserve"> flexible</w:t>
      </w:r>
      <w:r w:rsidRPr="00971A97">
        <w:t xml:space="preserve"> </w:t>
      </w:r>
      <w:r w:rsidR="00211B61" w:rsidRPr="00971A97">
        <w:t>pre</w:t>
      </w:r>
      <w:r w:rsidR="00994D84" w:rsidRPr="00971A97">
        <w:noBreakHyphen/>
      </w:r>
      <w:r w:rsidR="00211B61" w:rsidRPr="00971A97">
        <w:t>employment assistance</w:t>
      </w:r>
      <w:r w:rsidR="00D31426" w:rsidRPr="00971A97">
        <w:t xml:space="preserve"> </w:t>
      </w:r>
      <w:r w:rsidRPr="00971A97">
        <w:t xml:space="preserve">for parents </w:t>
      </w:r>
      <w:r w:rsidR="00211B61" w:rsidRPr="00971A97">
        <w:t xml:space="preserve">who need help to plan for </w:t>
      </w:r>
      <w:r w:rsidR="00994D84" w:rsidRPr="00971A97">
        <w:t xml:space="preserve">and achieve </w:t>
      </w:r>
      <w:r w:rsidR="00211B61" w:rsidRPr="00971A97">
        <w:t>their future education and employment goals</w:t>
      </w:r>
      <w:r w:rsidR="00994D84" w:rsidRPr="00971A97">
        <w:t xml:space="preserve">, </w:t>
      </w:r>
      <w:r w:rsidR="00211B61" w:rsidRPr="00971A97">
        <w:t>while at the same time giving priority to raising their young children.</w:t>
      </w:r>
    </w:p>
    <w:p w14:paraId="2BF993AE" w14:textId="1193E546" w:rsidR="00C34D8E" w:rsidRDefault="008F71EF" w:rsidP="00A40BD4">
      <w:pPr>
        <w:pStyle w:val="Heading1"/>
        <w:numPr>
          <w:ilvl w:val="0"/>
          <w:numId w:val="11"/>
        </w:numPr>
        <w:ind w:left="357" w:hanging="357"/>
      </w:pPr>
      <w:bookmarkStart w:id="14" w:name="_Toc151123098"/>
      <w:r>
        <w:lastRenderedPageBreak/>
        <w:t>What is the problem?</w:t>
      </w:r>
      <w:bookmarkEnd w:id="14"/>
    </w:p>
    <w:p w14:paraId="2D4D356E" w14:textId="5A857A25" w:rsidR="001D3479" w:rsidRDefault="001D3479" w:rsidP="215B284A">
      <w:pPr>
        <w:rPr>
          <w:rStyle w:val="normaltextrun"/>
          <w:rFonts w:eastAsiaTheme="minorEastAsia"/>
          <w:vertAlign w:val="superscript"/>
        </w:rPr>
      </w:pPr>
      <w:r w:rsidRPr="215B284A">
        <w:rPr>
          <w:rStyle w:val="normaltextrun"/>
          <w:rFonts w:eastAsiaTheme="minorEastAsia" w:cs="Calibri"/>
        </w:rPr>
        <w:t>Many Australians experience disadvantage at some stage in their lives. While for most it is temporary, a small but significant proportion of the population experiences persistent and recurrent disadvantage, income poverty, deprivation and social exclusion. Parenting Payment recipients with a youngest child under 6</w:t>
      </w:r>
      <w:r w:rsidR="00FA574B" w:rsidRPr="215B284A">
        <w:rPr>
          <w:rStyle w:val="normaltextrun"/>
          <w:rFonts w:eastAsiaTheme="minorEastAsia" w:cs="Calibri"/>
        </w:rPr>
        <w:t xml:space="preserve"> years of age</w:t>
      </w:r>
      <w:r w:rsidRPr="215B284A">
        <w:rPr>
          <w:rStyle w:val="normaltextrun"/>
          <w:rFonts w:eastAsiaTheme="minorEastAsia" w:cs="Calibri"/>
        </w:rPr>
        <w:t>, particularly single parents, remain among the most vulnerable groups.</w:t>
      </w:r>
      <w:r w:rsidRPr="215B284A">
        <w:rPr>
          <w:rStyle w:val="normaltextrun"/>
          <w:rFonts w:eastAsiaTheme="minorEastAsia"/>
          <w:vertAlign w:val="superscript"/>
        </w:rPr>
        <w:footnoteReference w:id="5"/>
      </w:r>
    </w:p>
    <w:p w14:paraId="1C77B024" w14:textId="506E776C" w:rsidR="00853C94" w:rsidRPr="003F52A8" w:rsidRDefault="00E631AD" w:rsidP="00D066C6">
      <w:pPr>
        <w:rPr>
          <w:rStyle w:val="normaltextrun"/>
          <w:rFonts w:eastAsiaTheme="minorEastAsia" w:cs="Calibri"/>
        </w:rPr>
      </w:pPr>
      <w:r w:rsidRPr="00075596">
        <w:rPr>
          <w:rStyle w:val="normaltextrun"/>
          <w:rFonts w:eastAsiaTheme="minorEastAsia" w:cs="Calibri"/>
        </w:rPr>
        <w:t>Long periods of absence from the workforce due to caring responsibilities can lead to parents deskilling and detaching from the labour market, resulting in lower employment rates and poorer future employment and earning prospects.</w:t>
      </w:r>
      <w:r w:rsidR="00CD1148">
        <w:rPr>
          <w:rStyle w:val="normaltextrun"/>
          <w:rFonts w:eastAsiaTheme="minorEastAsia" w:cs="Calibri"/>
        </w:rPr>
        <w:t xml:space="preserve"> </w:t>
      </w:r>
      <w:r w:rsidR="00B3332B">
        <w:rPr>
          <w:rStyle w:val="normaltextrun"/>
          <w:rFonts w:eastAsiaTheme="minorEastAsia" w:cs="Calibri"/>
        </w:rPr>
        <w:t>Further</w:t>
      </w:r>
      <w:r w:rsidR="00ED43D0">
        <w:rPr>
          <w:rStyle w:val="normaltextrun"/>
          <w:rFonts w:eastAsiaTheme="minorEastAsia" w:cs="Calibri"/>
        </w:rPr>
        <w:t>, p</w:t>
      </w:r>
      <w:r w:rsidR="00A94F90">
        <w:rPr>
          <w:rStyle w:val="normaltextrun"/>
          <w:rFonts w:eastAsiaTheme="minorEastAsia" w:cs="Calibri"/>
        </w:rPr>
        <w:t>arents wh</w:t>
      </w:r>
      <w:r w:rsidR="000555EE">
        <w:rPr>
          <w:rStyle w:val="normaltextrun"/>
          <w:rFonts w:eastAsiaTheme="minorEastAsia" w:cs="Calibri"/>
        </w:rPr>
        <w:t xml:space="preserve">o </w:t>
      </w:r>
      <w:r w:rsidR="00E6435D">
        <w:rPr>
          <w:rStyle w:val="normaltextrun"/>
          <w:rFonts w:eastAsiaTheme="minorEastAsia" w:cs="Calibri"/>
        </w:rPr>
        <w:t xml:space="preserve">are disconnected from </w:t>
      </w:r>
      <w:r w:rsidR="00386458">
        <w:rPr>
          <w:rStyle w:val="normaltextrun"/>
          <w:rFonts w:eastAsiaTheme="minorEastAsia" w:cs="Calibri"/>
        </w:rPr>
        <w:t>the labour market are</w:t>
      </w:r>
      <w:r w:rsidR="006A2D43" w:rsidRPr="003E3B51">
        <w:rPr>
          <w:rStyle w:val="normaltextrun"/>
          <w:rFonts w:eastAsiaTheme="minorEastAsia" w:cs="Calibri"/>
        </w:rPr>
        <w:t xml:space="preserve"> at risk of their disadvantage becoming entrenched</w:t>
      </w:r>
      <w:r w:rsidR="006E6EC4">
        <w:rPr>
          <w:rStyle w:val="normaltextrun"/>
          <w:rFonts w:eastAsiaTheme="minorEastAsia" w:cs="Calibri"/>
        </w:rPr>
        <w:t xml:space="preserve"> and their </w:t>
      </w:r>
      <w:r w:rsidR="0029079F" w:rsidRPr="00D066C6">
        <w:rPr>
          <w:rStyle w:val="normaltextrun"/>
          <w:rFonts w:eastAsiaTheme="minorEastAsia" w:cs="Calibri"/>
        </w:rPr>
        <w:t xml:space="preserve">reliance on income </w:t>
      </w:r>
      <w:r w:rsidR="0029079F" w:rsidRPr="002D64FD">
        <w:rPr>
          <w:rStyle w:val="normaltextrun"/>
          <w:rFonts w:eastAsiaTheme="minorEastAsia" w:cs="Calibri"/>
        </w:rPr>
        <w:t xml:space="preserve">support </w:t>
      </w:r>
      <w:r w:rsidR="008762D0" w:rsidRPr="003F52A8">
        <w:rPr>
          <w:rStyle w:val="normaltextrun"/>
          <w:rFonts w:eastAsiaTheme="minorEastAsia" w:cs="Calibri"/>
        </w:rPr>
        <w:t>leading to</w:t>
      </w:r>
      <w:r w:rsidR="0029079F" w:rsidRPr="003F52A8">
        <w:rPr>
          <w:rStyle w:val="normaltextrun"/>
          <w:rFonts w:eastAsiaTheme="minorEastAsia" w:cs="Calibri"/>
        </w:rPr>
        <w:t xml:space="preserve"> poor education and employment outcomes for their children.</w:t>
      </w:r>
    </w:p>
    <w:p w14:paraId="250DC3FC" w14:textId="1A2F39DB" w:rsidR="00287819" w:rsidRDefault="00853C94" w:rsidP="009A0520">
      <w:pPr>
        <w:rPr>
          <w:rFonts w:ascii="Calibri" w:hAnsi="Calibri" w:cs="Calibri"/>
        </w:rPr>
      </w:pPr>
      <w:r w:rsidRPr="003F52A8">
        <w:rPr>
          <w:rStyle w:val="normaltextrun"/>
          <w:rFonts w:eastAsiaTheme="minorEastAsia"/>
        </w:rPr>
        <w:t xml:space="preserve">Assisting vulnerable parents </w:t>
      </w:r>
      <w:r w:rsidR="00D61797" w:rsidRPr="003F52A8">
        <w:rPr>
          <w:rStyle w:val="normaltextrun"/>
          <w:rFonts w:eastAsiaTheme="minorEastAsia"/>
        </w:rPr>
        <w:t xml:space="preserve">to address </w:t>
      </w:r>
      <w:r w:rsidR="009A0520" w:rsidRPr="003F52A8">
        <w:rPr>
          <w:rStyle w:val="normaltextrun"/>
          <w:rFonts w:eastAsiaTheme="minorEastAsia"/>
        </w:rPr>
        <w:t>vocational and non-vocational barrier</w:t>
      </w:r>
      <w:r w:rsidR="005439F9" w:rsidRPr="003F52A8">
        <w:rPr>
          <w:rStyle w:val="normaltextrun"/>
          <w:rFonts w:eastAsiaTheme="minorEastAsia"/>
        </w:rPr>
        <w:t>s</w:t>
      </w:r>
      <w:r w:rsidR="009A0520" w:rsidRPr="003F52A8">
        <w:rPr>
          <w:rStyle w:val="normaltextrun"/>
          <w:rFonts w:eastAsiaTheme="minorEastAsia"/>
        </w:rPr>
        <w:t xml:space="preserve"> </w:t>
      </w:r>
      <w:r w:rsidR="005D4F56" w:rsidRPr="003F52A8">
        <w:rPr>
          <w:rStyle w:val="normaltextrun"/>
          <w:rFonts w:eastAsiaTheme="minorEastAsia"/>
        </w:rPr>
        <w:t>to education and employment</w:t>
      </w:r>
      <w:r w:rsidR="00665BB2" w:rsidRPr="003F52A8">
        <w:rPr>
          <w:rStyle w:val="normaltextrun"/>
          <w:rFonts w:eastAsiaTheme="minorEastAsia"/>
        </w:rPr>
        <w:t>, when they are ready</w:t>
      </w:r>
      <w:r w:rsidR="000A760F" w:rsidRPr="003F52A8">
        <w:rPr>
          <w:rStyle w:val="normaltextrun"/>
          <w:rFonts w:eastAsiaTheme="minorEastAsia"/>
        </w:rPr>
        <w:t xml:space="preserve">, </w:t>
      </w:r>
      <w:r w:rsidR="009A0520" w:rsidRPr="003F52A8">
        <w:rPr>
          <w:rStyle w:val="normaltextrun"/>
          <w:rFonts w:eastAsiaTheme="minorEastAsia"/>
        </w:rPr>
        <w:t xml:space="preserve">can </w:t>
      </w:r>
      <w:r w:rsidR="009B15CF" w:rsidRPr="003F52A8">
        <w:rPr>
          <w:rStyle w:val="normaltextrun"/>
          <w:rFonts w:eastAsiaTheme="minorEastAsia"/>
        </w:rPr>
        <w:t>contribute</w:t>
      </w:r>
      <w:r w:rsidR="00192805" w:rsidRPr="003F52A8">
        <w:rPr>
          <w:rStyle w:val="normaltextrun"/>
          <w:rFonts w:eastAsiaTheme="minorEastAsia"/>
        </w:rPr>
        <w:t xml:space="preserve"> to </w:t>
      </w:r>
      <w:r w:rsidR="00CE3461">
        <w:rPr>
          <w:rStyle w:val="normaltextrun"/>
          <w:rFonts w:eastAsiaTheme="minorEastAsia"/>
        </w:rPr>
        <w:t xml:space="preserve">improving </w:t>
      </w:r>
      <w:r w:rsidR="007435DA" w:rsidRPr="003F52A8">
        <w:rPr>
          <w:rStyle w:val="normaltextrun"/>
          <w:rFonts w:eastAsiaTheme="minorEastAsia"/>
        </w:rPr>
        <w:t>the</w:t>
      </w:r>
      <w:r w:rsidR="00A86813" w:rsidRPr="003F52A8">
        <w:rPr>
          <w:rStyle w:val="normaltextrun"/>
          <w:rFonts w:eastAsiaTheme="minorEastAsia"/>
        </w:rPr>
        <w:t xml:space="preserve">ir </w:t>
      </w:r>
      <w:r w:rsidR="009A0520" w:rsidRPr="003F52A8">
        <w:rPr>
          <w:rFonts w:ascii="Calibri" w:hAnsi="Calibri" w:cs="Calibri"/>
        </w:rPr>
        <w:t>social and economic participation</w:t>
      </w:r>
      <w:r w:rsidR="00493D1A" w:rsidRPr="003F52A8">
        <w:rPr>
          <w:rFonts w:ascii="Calibri" w:hAnsi="Calibri" w:cs="Calibri"/>
        </w:rPr>
        <w:t xml:space="preserve"> and</w:t>
      </w:r>
      <w:r w:rsidR="009A0520" w:rsidRPr="003F52A8">
        <w:rPr>
          <w:rFonts w:ascii="Calibri" w:hAnsi="Calibri" w:cs="Calibri"/>
        </w:rPr>
        <w:t xml:space="preserve"> financial security</w:t>
      </w:r>
      <w:r w:rsidR="00017018" w:rsidRPr="003F52A8">
        <w:rPr>
          <w:rFonts w:ascii="Calibri" w:hAnsi="Calibri" w:cs="Calibri"/>
        </w:rPr>
        <w:t xml:space="preserve"> as well as </w:t>
      </w:r>
      <w:r w:rsidR="00072AF3" w:rsidRPr="003F52A8">
        <w:rPr>
          <w:rFonts w:ascii="Calibri" w:hAnsi="Calibri" w:cs="Calibri"/>
        </w:rPr>
        <w:t>improving</w:t>
      </w:r>
      <w:r w:rsidR="00DD7D53" w:rsidRPr="003F52A8">
        <w:rPr>
          <w:rFonts w:ascii="Calibri" w:hAnsi="Calibri" w:cs="Calibri"/>
        </w:rPr>
        <w:t xml:space="preserve"> the life courses </w:t>
      </w:r>
      <w:r w:rsidR="00593C9D" w:rsidRPr="003F52A8">
        <w:rPr>
          <w:rFonts w:ascii="Calibri" w:hAnsi="Calibri" w:cs="Calibri"/>
        </w:rPr>
        <w:t>of</w:t>
      </w:r>
      <w:r w:rsidR="00DD7D53" w:rsidRPr="003F52A8">
        <w:rPr>
          <w:rFonts w:ascii="Calibri" w:hAnsi="Calibri" w:cs="Calibri"/>
        </w:rPr>
        <w:t xml:space="preserve"> their children</w:t>
      </w:r>
      <w:r w:rsidR="009A0520" w:rsidRPr="003F52A8">
        <w:rPr>
          <w:rFonts w:ascii="Calibri" w:hAnsi="Calibri" w:cs="Calibri"/>
        </w:rPr>
        <w:t xml:space="preserve">. </w:t>
      </w:r>
      <w:r w:rsidR="00287819" w:rsidRPr="003F52A8">
        <w:rPr>
          <w:rFonts w:ascii="Calibri" w:hAnsi="Calibri" w:cs="Calibri"/>
        </w:rPr>
        <w:t xml:space="preserve">More broadly, improving the workforce participation of parents can </w:t>
      </w:r>
      <w:r w:rsidR="00D45535" w:rsidRPr="003F52A8">
        <w:rPr>
          <w:rFonts w:ascii="Calibri" w:hAnsi="Calibri" w:cs="Calibri"/>
        </w:rPr>
        <w:t>have a positive impact on Australia’s economy.</w:t>
      </w:r>
    </w:p>
    <w:p w14:paraId="6B1605DC" w14:textId="77F7E9EC" w:rsidR="00AA4CD0" w:rsidRDefault="00BA5477" w:rsidP="009A0520">
      <w:pPr>
        <w:rPr>
          <w:rFonts w:ascii="Calibri" w:hAnsi="Calibri" w:cs="Calibri"/>
        </w:rPr>
      </w:pPr>
      <w:r>
        <w:rPr>
          <w:rFonts w:ascii="Calibri" w:hAnsi="Calibri" w:cs="Calibri"/>
        </w:rPr>
        <w:t>Evidence relating to b</w:t>
      </w:r>
      <w:r w:rsidR="00AA4CD0">
        <w:rPr>
          <w:rFonts w:ascii="Calibri" w:hAnsi="Calibri" w:cs="Calibri"/>
        </w:rPr>
        <w:t>arriers to participation</w:t>
      </w:r>
      <w:r>
        <w:rPr>
          <w:rFonts w:ascii="Calibri" w:hAnsi="Calibri" w:cs="Calibri"/>
        </w:rPr>
        <w:t xml:space="preserve">, impediments to economic security and the </w:t>
      </w:r>
      <w:r w:rsidR="003B5D24">
        <w:rPr>
          <w:rFonts w:ascii="Calibri" w:hAnsi="Calibri" w:cs="Calibri"/>
        </w:rPr>
        <w:t>cycle</w:t>
      </w:r>
      <w:r>
        <w:rPr>
          <w:rFonts w:ascii="Calibri" w:hAnsi="Calibri" w:cs="Calibri"/>
        </w:rPr>
        <w:t xml:space="preserve"> of </w:t>
      </w:r>
      <w:r w:rsidR="003B5D24">
        <w:rPr>
          <w:rFonts w:ascii="Calibri" w:hAnsi="Calibri" w:cs="Calibri"/>
        </w:rPr>
        <w:t>disadvantage</w:t>
      </w:r>
      <w:r>
        <w:rPr>
          <w:rFonts w:ascii="Calibri" w:hAnsi="Calibri" w:cs="Calibri"/>
        </w:rPr>
        <w:t xml:space="preserve"> is </w:t>
      </w:r>
      <w:r w:rsidR="003B5D24">
        <w:rPr>
          <w:rFonts w:ascii="Calibri" w:hAnsi="Calibri" w:cs="Calibri"/>
        </w:rPr>
        <w:t>discussed</w:t>
      </w:r>
      <w:r>
        <w:rPr>
          <w:rFonts w:ascii="Calibri" w:hAnsi="Calibri" w:cs="Calibri"/>
        </w:rPr>
        <w:t xml:space="preserve"> </w:t>
      </w:r>
      <w:r w:rsidR="003B5D24">
        <w:rPr>
          <w:rFonts w:ascii="Calibri" w:hAnsi="Calibri" w:cs="Calibri"/>
        </w:rPr>
        <w:t>further</w:t>
      </w:r>
      <w:r>
        <w:rPr>
          <w:rFonts w:ascii="Calibri" w:hAnsi="Calibri" w:cs="Calibri"/>
        </w:rPr>
        <w:t xml:space="preserve"> </w:t>
      </w:r>
      <w:r w:rsidR="003B5D24">
        <w:rPr>
          <w:rFonts w:ascii="Calibri" w:hAnsi="Calibri" w:cs="Calibri"/>
        </w:rPr>
        <w:t>below.</w:t>
      </w:r>
    </w:p>
    <w:p w14:paraId="14E701F5" w14:textId="564C2E04" w:rsidR="00886885" w:rsidRDefault="002D64FD" w:rsidP="00886885">
      <w:pPr>
        <w:rPr>
          <w:rStyle w:val="normaltextrun"/>
          <w:rFonts w:eastAsiaTheme="minorEastAsia" w:cs="Calibri"/>
        </w:rPr>
      </w:pPr>
      <w:r w:rsidRPr="00CB2781">
        <w:rPr>
          <w:rStyle w:val="normaltextrun"/>
          <w:rFonts w:eastAsiaTheme="minorEastAsia" w:cs="Calibri"/>
        </w:rPr>
        <w:t xml:space="preserve">As context, </w:t>
      </w:r>
      <w:r>
        <w:rPr>
          <w:rStyle w:val="normaltextrun"/>
          <w:rFonts w:eastAsiaTheme="minorEastAsia" w:cs="Calibri"/>
        </w:rPr>
        <w:t>i</w:t>
      </w:r>
      <w:r w:rsidR="001D3479" w:rsidRPr="003528E9">
        <w:rPr>
          <w:rStyle w:val="normaltextrun"/>
          <w:rFonts w:eastAsiaTheme="minorEastAsia" w:cs="Calibri"/>
        </w:rPr>
        <w:t xml:space="preserve">n </w:t>
      </w:r>
      <w:r w:rsidR="006737C2" w:rsidRPr="003528E9">
        <w:rPr>
          <w:rStyle w:val="normaltextrun"/>
          <w:rFonts w:eastAsiaTheme="minorEastAsia" w:cs="Calibri"/>
        </w:rPr>
        <w:t>June</w:t>
      </w:r>
      <w:r w:rsidR="001D3479" w:rsidRPr="003528E9">
        <w:rPr>
          <w:rStyle w:val="normaltextrun"/>
          <w:rFonts w:eastAsiaTheme="minorEastAsia" w:cs="Calibri"/>
        </w:rPr>
        <w:t xml:space="preserve"> 2023</w:t>
      </w:r>
      <w:r w:rsidR="00BC3B4F" w:rsidRPr="003528E9">
        <w:rPr>
          <w:rStyle w:val="normaltextrun"/>
          <w:rFonts w:eastAsiaTheme="minorEastAsia" w:cs="Calibri"/>
        </w:rPr>
        <w:t>,</w:t>
      </w:r>
      <w:r w:rsidR="001D3479" w:rsidRPr="003528E9">
        <w:rPr>
          <w:rStyle w:val="normaltextrun"/>
          <w:rFonts w:eastAsiaTheme="minorEastAsia" w:cs="Calibri"/>
        </w:rPr>
        <w:t xml:space="preserve"> there were 24</w:t>
      </w:r>
      <w:r w:rsidR="00D31426" w:rsidRPr="003528E9">
        <w:rPr>
          <w:rStyle w:val="normaltextrun"/>
          <w:rFonts w:eastAsiaTheme="minorEastAsia" w:cs="Calibri"/>
        </w:rPr>
        <w:t>0</w:t>
      </w:r>
      <w:r w:rsidR="001D3479" w:rsidRPr="003528E9">
        <w:rPr>
          <w:rStyle w:val="normaltextrun"/>
          <w:rFonts w:eastAsiaTheme="minorEastAsia" w:cs="Calibri"/>
        </w:rPr>
        <w:t>,</w:t>
      </w:r>
      <w:r w:rsidR="006737C2" w:rsidRPr="003528E9">
        <w:rPr>
          <w:rStyle w:val="normaltextrun"/>
          <w:rFonts w:eastAsiaTheme="minorEastAsia" w:cs="Calibri"/>
        </w:rPr>
        <w:t>200</w:t>
      </w:r>
      <w:r w:rsidR="001D3479" w:rsidRPr="003528E9">
        <w:rPr>
          <w:rStyle w:val="normaltextrun"/>
          <w:rFonts w:eastAsiaTheme="minorEastAsia" w:cs="Calibri"/>
        </w:rPr>
        <w:t xml:space="preserve"> people </w:t>
      </w:r>
      <w:r w:rsidR="00933472" w:rsidRPr="003528E9">
        <w:rPr>
          <w:rStyle w:val="normaltextrun"/>
          <w:rFonts w:eastAsiaTheme="minorEastAsia" w:cs="Calibri"/>
        </w:rPr>
        <w:t>receiving</w:t>
      </w:r>
      <w:r w:rsidR="001D3479" w:rsidRPr="003528E9">
        <w:rPr>
          <w:rStyle w:val="normaltextrun"/>
          <w:rFonts w:eastAsiaTheme="minorEastAsia" w:cs="Calibri"/>
        </w:rPr>
        <w:t xml:space="preserve"> Parenting Payment whose youngest child was aged under 6 years. Most </w:t>
      </w:r>
      <w:r w:rsidR="00A80048">
        <w:rPr>
          <w:rStyle w:val="normaltextrun"/>
          <w:rFonts w:eastAsiaTheme="minorEastAsia" w:cs="Calibri"/>
        </w:rPr>
        <w:t>(94.0</w:t>
      </w:r>
      <w:r w:rsidR="00E41B99">
        <w:rPr>
          <w:rStyle w:val="normaltextrun"/>
          <w:rFonts w:eastAsiaTheme="minorEastAsia" w:cs="Calibri"/>
        </w:rPr>
        <w:t xml:space="preserve">%) </w:t>
      </w:r>
      <w:r w:rsidR="001D3479" w:rsidRPr="003528E9">
        <w:rPr>
          <w:rStyle w:val="normaltextrun"/>
          <w:rFonts w:eastAsiaTheme="minorEastAsia" w:cs="Calibri"/>
        </w:rPr>
        <w:t>were women, 74.</w:t>
      </w:r>
      <w:r w:rsidR="006737C2" w:rsidRPr="003528E9">
        <w:rPr>
          <w:rStyle w:val="normaltextrun"/>
          <w:rFonts w:eastAsiaTheme="minorEastAsia" w:cs="Calibri"/>
        </w:rPr>
        <w:t>8</w:t>
      </w:r>
      <w:r w:rsidR="001D3479" w:rsidRPr="003528E9">
        <w:rPr>
          <w:rStyle w:val="normaltextrun"/>
          <w:rFonts w:eastAsiaTheme="minorEastAsia" w:cs="Calibri"/>
        </w:rPr>
        <w:t>% were single parents, 17.</w:t>
      </w:r>
      <w:r w:rsidR="006737C2" w:rsidRPr="003528E9">
        <w:rPr>
          <w:rStyle w:val="normaltextrun"/>
          <w:rFonts w:eastAsiaTheme="minorEastAsia" w:cs="Calibri"/>
        </w:rPr>
        <w:t>5</w:t>
      </w:r>
      <w:r w:rsidR="001D3479" w:rsidRPr="003528E9">
        <w:rPr>
          <w:rStyle w:val="normaltextrun"/>
          <w:rFonts w:eastAsiaTheme="minorEastAsia" w:cs="Calibri"/>
        </w:rPr>
        <w:t>% were First Nations parents and 18.</w:t>
      </w:r>
      <w:r w:rsidR="006737C2" w:rsidRPr="003528E9">
        <w:rPr>
          <w:rStyle w:val="normaltextrun"/>
          <w:rFonts w:eastAsiaTheme="minorEastAsia" w:cs="Calibri"/>
        </w:rPr>
        <w:t>1</w:t>
      </w:r>
      <w:r w:rsidR="001D3479" w:rsidRPr="003528E9">
        <w:rPr>
          <w:rStyle w:val="normaltextrun"/>
          <w:rFonts w:eastAsiaTheme="minorEastAsia" w:cs="Calibri"/>
        </w:rPr>
        <w:t>% were from culturally and linguistically diverse backgrounds.</w:t>
      </w:r>
      <w:r w:rsidR="00BC3B4F" w:rsidRPr="005C0568">
        <w:rPr>
          <w:rStyle w:val="normaltextrun"/>
          <w:rFonts w:eastAsiaTheme="minorEastAsia" w:cs="Calibri"/>
          <w:vertAlign w:val="superscript"/>
        </w:rPr>
        <w:footnoteReference w:id="6"/>
      </w:r>
      <w:r w:rsidR="00C5755B" w:rsidRPr="003528E9">
        <w:rPr>
          <w:rStyle w:val="normaltextrun"/>
          <w:rFonts w:eastAsiaTheme="minorEastAsia" w:cs="Calibri"/>
        </w:rPr>
        <w:t xml:space="preserve"> </w:t>
      </w:r>
      <w:r w:rsidR="001D3479" w:rsidRPr="003528E9">
        <w:rPr>
          <w:rStyle w:val="normaltextrun"/>
          <w:rFonts w:eastAsiaTheme="minorEastAsia" w:cs="Calibri"/>
        </w:rPr>
        <w:t xml:space="preserve">Around a quarter of </w:t>
      </w:r>
      <w:r w:rsidR="00B87DA6" w:rsidRPr="003528E9">
        <w:rPr>
          <w:rStyle w:val="normaltextrun"/>
          <w:rFonts w:eastAsiaTheme="minorEastAsia" w:cs="Calibri"/>
        </w:rPr>
        <w:t xml:space="preserve">these </w:t>
      </w:r>
      <w:r w:rsidR="001D3479" w:rsidRPr="003528E9">
        <w:rPr>
          <w:rStyle w:val="normaltextrun"/>
          <w:rFonts w:eastAsiaTheme="minorEastAsia" w:cs="Calibri"/>
        </w:rPr>
        <w:t>Parenting Payment recipients reported earnings in the previous fortnight. This included</w:t>
      </w:r>
      <w:r w:rsidR="00D31426" w:rsidRPr="003528E9">
        <w:rPr>
          <w:rStyle w:val="normaltextrun"/>
          <w:rFonts w:eastAsiaTheme="minorEastAsia" w:cs="Calibri"/>
        </w:rPr>
        <w:t xml:space="preserve"> around </w:t>
      </w:r>
      <w:r w:rsidR="001D3479" w:rsidRPr="003528E9">
        <w:rPr>
          <w:rStyle w:val="normaltextrun"/>
          <w:rFonts w:eastAsiaTheme="minorEastAsia" w:cs="Calibri"/>
        </w:rPr>
        <w:t>5</w:t>
      </w:r>
      <w:r w:rsidR="00933472" w:rsidRPr="003528E9">
        <w:rPr>
          <w:rStyle w:val="normaltextrun"/>
          <w:rFonts w:eastAsiaTheme="minorEastAsia" w:cs="Calibri"/>
        </w:rPr>
        <w:t>0</w:t>
      </w:r>
      <w:r w:rsidR="001D3479" w:rsidRPr="003528E9">
        <w:rPr>
          <w:rStyle w:val="normaltextrun"/>
          <w:rFonts w:eastAsiaTheme="minorEastAsia" w:cs="Calibri"/>
        </w:rPr>
        <w:t>,</w:t>
      </w:r>
      <w:r w:rsidR="00933472" w:rsidRPr="003528E9">
        <w:rPr>
          <w:rStyle w:val="normaltextrun"/>
          <w:rFonts w:eastAsiaTheme="minorEastAsia" w:cs="Calibri"/>
        </w:rPr>
        <w:t>500</w:t>
      </w:r>
      <w:r w:rsidR="001D3479" w:rsidRPr="003528E9">
        <w:rPr>
          <w:rStyle w:val="normaltextrun"/>
          <w:rFonts w:eastAsiaTheme="minorEastAsia" w:cs="Calibri"/>
        </w:rPr>
        <w:t xml:space="preserve"> (or almost 30%</w:t>
      </w:r>
      <w:r w:rsidR="00360686" w:rsidRPr="003528E9">
        <w:rPr>
          <w:rStyle w:val="normaltextrun"/>
          <w:rFonts w:eastAsiaTheme="minorEastAsia" w:cs="Calibri"/>
        </w:rPr>
        <w:t xml:space="preserve"> </w:t>
      </w:r>
      <w:r w:rsidR="00933472" w:rsidRPr="003528E9">
        <w:rPr>
          <w:rStyle w:val="normaltextrun"/>
          <w:rFonts w:eastAsiaTheme="minorEastAsia" w:cs="Calibri"/>
        </w:rPr>
        <w:t>of)</w:t>
      </w:r>
      <w:r w:rsidR="001D3479" w:rsidRPr="003528E9">
        <w:rPr>
          <w:rStyle w:val="normaltextrun"/>
          <w:rFonts w:eastAsiaTheme="minorEastAsia" w:cs="Calibri"/>
        </w:rPr>
        <w:t xml:space="preserve"> single parents. </w:t>
      </w:r>
      <w:r w:rsidR="00886885" w:rsidRPr="00AB3AD8" w:rsidDel="009A0091">
        <w:rPr>
          <w:rStyle w:val="normaltextrun"/>
          <w:rFonts w:eastAsiaTheme="minorEastAsia" w:cs="Calibri"/>
        </w:rPr>
        <w:t>In June 2023, almost 40% or 95,500 of Parenting Payment recipients with their youngest child aged under 6 years had been on an income support payment for 5 years or more and, of these,</w:t>
      </w:r>
      <w:r w:rsidR="00886885" w:rsidRPr="009D62FF" w:rsidDel="009A0091">
        <w:rPr>
          <w:rStyle w:val="normaltextrun"/>
          <w:rFonts w:eastAsiaTheme="minorEastAsia" w:cs="Calibri"/>
        </w:rPr>
        <w:t xml:space="preserve"> 41,000 had been on an income support payment for 10 years or more</w:t>
      </w:r>
      <w:r w:rsidR="005C0568">
        <w:rPr>
          <w:rStyle w:val="normaltextrun"/>
          <w:rFonts w:eastAsiaTheme="minorEastAsia" w:cs="Calibri"/>
        </w:rPr>
        <w:t>.</w:t>
      </w:r>
    </w:p>
    <w:p w14:paraId="7DD2D341" w14:textId="7BC2AD9E" w:rsidR="00063B8D" w:rsidRDefault="0097563C" w:rsidP="00063B8D">
      <w:pPr>
        <w:rPr>
          <w:color w:val="000000"/>
        </w:rPr>
      </w:pPr>
      <w:r>
        <w:rPr>
          <w:rStyle w:val="normaltextrun"/>
          <w:rFonts w:eastAsiaTheme="minorEastAsia" w:cs="Calibri"/>
        </w:rPr>
        <w:t xml:space="preserve">Data sources used for this Impact Analysis include </w:t>
      </w:r>
      <w:r w:rsidR="00077777">
        <w:rPr>
          <w:rStyle w:val="normaltextrun"/>
          <w:rFonts w:eastAsiaTheme="minorEastAsia" w:cs="Calibri"/>
        </w:rPr>
        <w:t>departmental</w:t>
      </w:r>
      <w:r w:rsidR="00523A20">
        <w:rPr>
          <w:rStyle w:val="normaltextrun"/>
          <w:rFonts w:eastAsiaTheme="minorEastAsia" w:cs="Calibri"/>
        </w:rPr>
        <w:t xml:space="preserve"> </w:t>
      </w:r>
      <w:r w:rsidR="00077777">
        <w:rPr>
          <w:rStyle w:val="normaltextrun"/>
          <w:rFonts w:eastAsiaTheme="minorEastAsia" w:cs="Calibri"/>
        </w:rPr>
        <w:t>administrative</w:t>
      </w:r>
      <w:r w:rsidR="00523A20">
        <w:rPr>
          <w:rStyle w:val="normaltextrun"/>
          <w:rFonts w:eastAsiaTheme="minorEastAsia" w:cs="Calibri"/>
        </w:rPr>
        <w:t xml:space="preserve"> data </w:t>
      </w:r>
      <w:r w:rsidR="00077777">
        <w:rPr>
          <w:rStyle w:val="normaltextrun"/>
          <w:rFonts w:eastAsiaTheme="minorEastAsia" w:cs="Calibri"/>
        </w:rPr>
        <w:t>for ParentsNext</w:t>
      </w:r>
      <w:r w:rsidR="00BF46FF">
        <w:rPr>
          <w:rStyle w:val="normaltextrun"/>
          <w:rFonts w:eastAsiaTheme="minorEastAsia" w:cs="Calibri"/>
        </w:rPr>
        <w:t xml:space="preserve"> services and contracts</w:t>
      </w:r>
      <w:r w:rsidR="00077777">
        <w:rPr>
          <w:rStyle w:val="normaltextrun"/>
          <w:rFonts w:eastAsiaTheme="minorEastAsia" w:cs="Calibri"/>
        </w:rPr>
        <w:t xml:space="preserve">, </w:t>
      </w:r>
      <w:r w:rsidR="00293680">
        <w:rPr>
          <w:rStyle w:val="normaltextrun"/>
          <w:rFonts w:eastAsiaTheme="minorEastAsia" w:cs="Calibri"/>
        </w:rPr>
        <w:t>Services</w:t>
      </w:r>
      <w:r w:rsidR="005717F0">
        <w:rPr>
          <w:rStyle w:val="normaltextrun"/>
          <w:rFonts w:eastAsiaTheme="minorEastAsia" w:cs="Calibri"/>
        </w:rPr>
        <w:t xml:space="preserve"> Australia administrative data </w:t>
      </w:r>
      <w:r w:rsidR="005717F0" w:rsidRPr="000F551B">
        <w:rPr>
          <w:rStyle w:val="normaltextrun"/>
          <w:rFonts w:eastAsiaTheme="minorEastAsia" w:cs="Calibri"/>
        </w:rPr>
        <w:t xml:space="preserve">(Department of Social Services Blue Book dataset) relating to </w:t>
      </w:r>
      <w:r w:rsidR="00293680" w:rsidRPr="00293680">
        <w:rPr>
          <w:rStyle w:val="normaltextrun"/>
          <w:rFonts w:eastAsiaTheme="minorEastAsia" w:cs="Calibri"/>
        </w:rPr>
        <w:t>recipients</w:t>
      </w:r>
      <w:r w:rsidR="00A92B81" w:rsidRPr="000F551B">
        <w:rPr>
          <w:rStyle w:val="normaltextrun"/>
          <w:rFonts w:eastAsiaTheme="minorEastAsia" w:cs="Calibri"/>
        </w:rPr>
        <w:t xml:space="preserve"> </w:t>
      </w:r>
      <w:r w:rsidR="00293680" w:rsidRPr="00293680">
        <w:rPr>
          <w:rStyle w:val="normaltextrun"/>
          <w:rFonts w:eastAsiaTheme="minorEastAsia" w:cs="Calibri"/>
        </w:rPr>
        <w:t>of</w:t>
      </w:r>
      <w:r w:rsidR="00A92B81" w:rsidRPr="000F551B">
        <w:rPr>
          <w:rStyle w:val="normaltextrun"/>
          <w:rFonts w:eastAsiaTheme="minorEastAsia" w:cs="Calibri"/>
        </w:rPr>
        <w:t xml:space="preserve"> </w:t>
      </w:r>
      <w:r w:rsidR="00293680" w:rsidRPr="00293680">
        <w:rPr>
          <w:rStyle w:val="normaltextrun"/>
          <w:rFonts w:eastAsiaTheme="minorEastAsia" w:cs="Calibri"/>
        </w:rPr>
        <w:t>income</w:t>
      </w:r>
      <w:r w:rsidR="00A92B81" w:rsidRPr="000F551B">
        <w:rPr>
          <w:rStyle w:val="normaltextrun"/>
          <w:rFonts w:eastAsiaTheme="minorEastAsia" w:cs="Calibri"/>
        </w:rPr>
        <w:t xml:space="preserve"> support payments</w:t>
      </w:r>
      <w:r w:rsidR="004E64B4">
        <w:rPr>
          <w:rStyle w:val="normaltextrun"/>
          <w:rFonts w:eastAsiaTheme="minorEastAsia" w:cs="Calibri"/>
        </w:rPr>
        <w:t xml:space="preserve"> and</w:t>
      </w:r>
      <w:r w:rsidR="00A92B81" w:rsidRPr="000F551B">
        <w:rPr>
          <w:rStyle w:val="normaltextrun"/>
          <w:rFonts w:eastAsiaTheme="minorEastAsia" w:cs="Calibri"/>
        </w:rPr>
        <w:t xml:space="preserve"> Australian Bureau of </w:t>
      </w:r>
      <w:r w:rsidR="00293680" w:rsidRPr="00293680">
        <w:rPr>
          <w:rStyle w:val="normaltextrun"/>
          <w:rFonts w:eastAsiaTheme="minorEastAsia" w:cs="Calibri"/>
        </w:rPr>
        <w:t>Statistics</w:t>
      </w:r>
      <w:r w:rsidR="004E64B4">
        <w:rPr>
          <w:rStyle w:val="normaltextrun"/>
          <w:rFonts w:eastAsiaTheme="minorEastAsia" w:cs="Calibri"/>
        </w:rPr>
        <w:t xml:space="preserve"> data on potential workers and the labour </w:t>
      </w:r>
      <w:r w:rsidR="006F2110">
        <w:rPr>
          <w:rStyle w:val="normaltextrun"/>
          <w:rFonts w:eastAsiaTheme="minorEastAsia" w:cs="Calibri"/>
        </w:rPr>
        <w:t xml:space="preserve">force </w:t>
      </w:r>
      <w:r w:rsidR="004E64B4">
        <w:rPr>
          <w:rStyle w:val="normaltextrun"/>
          <w:rFonts w:eastAsiaTheme="minorEastAsia" w:cs="Calibri"/>
        </w:rPr>
        <w:t>status of families</w:t>
      </w:r>
      <w:r w:rsidR="00204E6D" w:rsidRPr="002E1384">
        <w:rPr>
          <w:rStyle w:val="normaltextrun"/>
          <w:rFonts w:eastAsiaTheme="minorEastAsia" w:cs="Calibri"/>
        </w:rPr>
        <w:t xml:space="preserve">. </w:t>
      </w:r>
      <w:r w:rsidR="00063B8D" w:rsidRPr="002E1384">
        <w:rPr>
          <w:color w:val="000000"/>
        </w:rPr>
        <w:t>The caseload projections are taken from funding models used to determine the ParentsNext appropriation. These funding models are informed by Department of Social Services forecasts for working age income support recipients.</w:t>
      </w:r>
    </w:p>
    <w:p w14:paraId="772D179C" w14:textId="4DABBB67" w:rsidR="0067367E" w:rsidRPr="0074519B" w:rsidDel="009A0091" w:rsidRDefault="00C12D1B" w:rsidP="00886885">
      <w:pPr>
        <w:rPr>
          <w:rStyle w:val="normaltextrun"/>
          <w:rFonts w:eastAsiaTheme="minorEastAsia" w:cs="Calibri"/>
        </w:rPr>
      </w:pPr>
      <w:r>
        <w:rPr>
          <w:rStyle w:val="normaltextrun"/>
          <w:rFonts w:eastAsiaTheme="minorEastAsia" w:cs="Calibri"/>
        </w:rPr>
        <w:t>Reference</w:t>
      </w:r>
      <w:r w:rsidR="00204E6D">
        <w:rPr>
          <w:rStyle w:val="normaltextrun"/>
          <w:rFonts w:eastAsiaTheme="minorEastAsia" w:cs="Calibri"/>
        </w:rPr>
        <w:t xml:space="preserve"> </w:t>
      </w:r>
      <w:r>
        <w:rPr>
          <w:rStyle w:val="normaltextrun"/>
          <w:rFonts w:eastAsiaTheme="minorEastAsia" w:cs="Calibri"/>
        </w:rPr>
        <w:t>has</w:t>
      </w:r>
      <w:r w:rsidR="00204E6D">
        <w:rPr>
          <w:rStyle w:val="normaltextrun"/>
          <w:rFonts w:eastAsiaTheme="minorEastAsia" w:cs="Calibri"/>
        </w:rPr>
        <w:t xml:space="preserve"> </w:t>
      </w:r>
      <w:r>
        <w:rPr>
          <w:rStyle w:val="normaltextrun"/>
          <w:rFonts w:eastAsiaTheme="minorEastAsia" w:cs="Calibri"/>
        </w:rPr>
        <w:t>also</w:t>
      </w:r>
      <w:r w:rsidR="00204E6D">
        <w:rPr>
          <w:rStyle w:val="normaltextrun"/>
          <w:rFonts w:eastAsiaTheme="minorEastAsia" w:cs="Calibri"/>
        </w:rPr>
        <w:t xml:space="preserve"> been made to research and </w:t>
      </w:r>
      <w:r>
        <w:rPr>
          <w:rStyle w:val="normaltextrun"/>
          <w:rFonts w:eastAsiaTheme="minorEastAsia" w:cs="Calibri"/>
        </w:rPr>
        <w:t>analysis</w:t>
      </w:r>
      <w:r w:rsidR="00204E6D">
        <w:rPr>
          <w:rStyle w:val="normaltextrun"/>
          <w:rFonts w:eastAsiaTheme="minorEastAsia" w:cs="Calibri"/>
        </w:rPr>
        <w:t xml:space="preserve"> by the </w:t>
      </w:r>
      <w:r w:rsidR="00264AD3">
        <w:rPr>
          <w:rStyle w:val="normaltextrun"/>
          <w:rFonts w:eastAsiaTheme="minorEastAsia" w:cs="Calibri"/>
        </w:rPr>
        <w:t>Organisation for Economic Cooperation and Development (OECD)</w:t>
      </w:r>
      <w:r w:rsidR="008E7CD4">
        <w:rPr>
          <w:rStyle w:val="normaltextrun"/>
          <w:rFonts w:eastAsiaTheme="minorEastAsia" w:cs="Calibri"/>
        </w:rPr>
        <w:t>,</w:t>
      </w:r>
      <w:r w:rsidR="00264AD3">
        <w:rPr>
          <w:rStyle w:val="normaltextrun"/>
          <w:rFonts w:eastAsiaTheme="minorEastAsia" w:cs="Calibri"/>
        </w:rPr>
        <w:t xml:space="preserve"> </w:t>
      </w:r>
      <w:r w:rsidR="008E7CD4">
        <w:rPr>
          <w:rStyle w:val="normaltextrun"/>
          <w:rFonts w:eastAsiaTheme="minorEastAsia" w:cs="Calibri"/>
        </w:rPr>
        <w:t xml:space="preserve">the </w:t>
      </w:r>
      <w:r>
        <w:rPr>
          <w:rStyle w:val="normaltextrun"/>
          <w:rFonts w:eastAsiaTheme="minorEastAsia" w:cs="Calibri"/>
        </w:rPr>
        <w:t>Productivity Commission</w:t>
      </w:r>
      <w:r w:rsidR="00204E6D">
        <w:rPr>
          <w:rStyle w:val="normaltextrun"/>
          <w:rFonts w:eastAsiaTheme="minorEastAsia" w:cs="Calibri"/>
        </w:rPr>
        <w:t xml:space="preserve">, Treasury </w:t>
      </w:r>
      <w:r>
        <w:rPr>
          <w:rStyle w:val="normaltextrun"/>
          <w:rFonts w:eastAsiaTheme="minorEastAsia" w:cs="Calibri"/>
        </w:rPr>
        <w:t xml:space="preserve">and other sources as </w:t>
      </w:r>
      <w:r w:rsidR="00374856">
        <w:rPr>
          <w:rStyle w:val="normaltextrun"/>
          <w:rFonts w:eastAsiaTheme="minorEastAsia" w:cs="Calibri"/>
        </w:rPr>
        <w:t>noted in relevant footnotes.</w:t>
      </w:r>
    </w:p>
    <w:p w14:paraId="16B9E4EC" w14:textId="7447BFAC" w:rsidR="001D3479" w:rsidRPr="001D3479" w:rsidRDefault="001C0BDB" w:rsidP="00DE5E5E">
      <w:pPr>
        <w:pStyle w:val="Heading2"/>
      </w:pPr>
      <w:bookmarkStart w:id="15" w:name="_Toc151123099"/>
      <w:r>
        <w:lastRenderedPageBreak/>
        <w:t>3.1</w:t>
      </w:r>
      <w:r>
        <w:tab/>
      </w:r>
      <w:r w:rsidR="001D3479" w:rsidRPr="001D3479">
        <w:t>Barriers to participation</w:t>
      </w:r>
      <w:bookmarkEnd w:id="15"/>
    </w:p>
    <w:p w14:paraId="748FF4CB" w14:textId="4766039F" w:rsidR="001D3479" w:rsidRPr="00075596" w:rsidRDefault="001D3479" w:rsidP="00075596">
      <w:pPr>
        <w:rPr>
          <w:rStyle w:val="normaltextrun"/>
          <w:rFonts w:eastAsiaTheme="minorEastAsia" w:cs="Calibri"/>
        </w:rPr>
      </w:pPr>
      <w:r w:rsidRPr="00075596">
        <w:rPr>
          <w:rStyle w:val="normaltextrun"/>
          <w:rFonts w:eastAsiaTheme="minorEastAsia" w:cs="Calibri"/>
        </w:rPr>
        <w:t xml:space="preserve">Women continue to face </w:t>
      </w:r>
      <w:r w:rsidR="00D31426" w:rsidRPr="00075596">
        <w:rPr>
          <w:rStyle w:val="normaltextrun"/>
          <w:rFonts w:eastAsiaTheme="minorEastAsia" w:cs="Calibri"/>
        </w:rPr>
        <w:t>obstacles</w:t>
      </w:r>
      <w:r w:rsidRPr="00075596">
        <w:rPr>
          <w:rStyle w:val="normaltextrun"/>
          <w:rFonts w:eastAsiaTheme="minorEastAsia" w:cs="Calibri"/>
        </w:rPr>
        <w:t xml:space="preserve"> in balancing paid employment and unpaid caring responsibilities. Single parents in particular can find managing work and care especially challenging. Ill health and disability can also limit parents’ capacity to participate in work or work more hours.</w:t>
      </w:r>
    </w:p>
    <w:p w14:paraId="2C4F8538" w14:textId="2FA5CF04" w:rsidR="00BD049B" w:rsidRPr="00075596" w:rsidRDefault="00CF4615" w:rsidP="00075596">
      <w:pPr>
        <w:rPr>
          <w:rStyle w:val="normaltextrun"/>
          <w:rFonts w:eastAsiaTheme="minorEastAsia" w:cs="Calibri"/>
        </w:rPr>
      </w:pPr>
      <w:r>
        <w:rPr>
          <w:rStyle w:val="normaltextrun"/>
          <w:rFonts w:eastAsiaTheme="minorEastAsia" w:cs="Calibri"/>
        </w:rPr>
        <w:t>V</w:t>
      </w:r>
      <w:r w:rsidR="00BD049B" w:rsidRPr="00075596">
        <w:rPr>
          <w:rStyle w:val="normaltextrun"/>
          <w:rFonts w:eastAsiaTheme="minorEastAsia" w:cs="Calibri"/>
        </w:rPr>
        <w:t xml:space="preserve">ocational and non-vocational barriers to participating in education, training and work, which have been identified through research and evaluation on </w:t>
      </w:r>
      <w:r w:rsidR="00E46F96">
        <w:rPr>
          <w:rStyle w:val="normaltextrun"/>
          <w:rFonts w:eastAsiaTheme="minorEastAsia" w:cs="Calibri"/>
        </w:rPr>
        <w:t>vulnerable</w:t>
      </w:r>
      <w:r w:rsidR="00E46F96" w:rsidRPr="00075596">
        <w:rPr>
          <w:rStyle w:val="normaltextrun"/>
          <w:rFonts w:eastAsiaTheme="minorEastAsia" w:cs="Calibri"/>
        </w:rPr>
        <w:t xml:space="preserve"> </w:t>
      </w:r>
      <w:r w:rsidR="00BD049B" w:rsidRPr="00075596">
        <w:rPr>
          <w:rStyle w:val="normaltextrun"/>
          <w:rFonts w:eastAsiaTheme="minorEastAsia" w:cs="Calibri"/>
        </w:rPr>
        <w:t>parents, include:</w:t>
      </w:r>
      <w:r w:rsidR="002C5CB8" w:rsidRPr="00DD14BE">
        <w:rPr>
          <w:rStyle w:val="FootnoteReference"/>
          <w:rFonts w:cstheme="minorHAnsi"/>
        </w:rPr>
        <w:footnoteReference w:id="7"/>
      </w:r>
    </w:p>
    <w:p w14:paraId="01B68A64" w14:textId="77777777" w:rsidR="00BD049B" w:rsidRPr="00CF35A5" w:rsidRDefault="00BD049B" w:rsidP="00CF35A5">
      <w:pPr>
        <w:pStyle w:val="ListBullet"/>
        <w:ind w:left="357" w:hanging="357"/>
      </w:pPr>
      <w:r w:rsidRPr="00CF35A5">
        <w:t>•</w:t>
      </w:r>
      <w:r w:rsidRPr="00CF35A5">
        <w:tab/>
        <w:t>low levels of education</w:t>
      </w:r>
    </w:p>
    <w:p w14:paraId="52E7D806" w14:textId="77777777" w:rsidR="00BD049B" w:rsidRPr="00CF35A5" w:rsidRDefault="00BD049B" w:rsidP="00CF35A5">
      <w:pPr>
        <w:pStyle w:val="ListBullet"/>
        <w:ind w:left="357" w:hanging="357"/>
      </w:pPr>
      <w:r w:rsidRPr="00CF35A5">
        <w:t>•</w:t>
      </w:r>
      <w:r w:rsidRPr="00CF35A5">
        <w:tab/>
        <w:t>limited access to affordable education or training opportunities</w:t>
      </w:r>
    </w:p>
    <w:p w14:paraId="235732C7" w14:textId="6DE280C8" w:rsidR="00BD049B" w:rsidRPr="00CF35A5" w:rsidRDefault="00BD049B" w:rsidP="00CF35A5">
      <w:pPr>
        <w:pStyle w:val="ListBullet"/>
        <w:ind w:left="357" w:hanging="357"/>
      </w:pPr>
      <w:r w:rsidRPr="00CF35A5">
        <w:t>•</w:t>
      </w:r>
      <w:r w:rsidRPr="00CF35A5">
        <w:tab/>
        <w:t>lack of access to affordable childcare</w:t>
      </w:r>
    </w:p>
    <w:p w14:paraId="6343C98B" w14:textId="77777777" w:rsidR="00BD049B" w:rsidRPr="00CF35A5" w:rsidRDefault="00BD049B" w:rsidP="00CF35A5">
      <w:pPr>
        <w:pStyle w:val="ListBullet"/>
        <w:ind w:left="357" w:hanging="357"/>
      </w:pPr>
      <w:r w:rsidRPr="00CF35A5">
        <w:t>•</w:t>
      </w:r>
      <w:r w:rsidRPr="00CF35A5">
        <w:tab/>
        <w:t>lack of access to transport</w:t>
      </w:r>
    </w:p>
    <w:p w14:paraId="3A97BDC0" w14:textId="77777777" w:rsidR="00BD049B" w:rsidRPr="00CF35A5" w:rsidRDefault="00BD049B" w:rsidP="00CF35A5">
      <w:pPr>
        <w:pStyle w:val="ListBullet"/>
        <w:ind w:left="357" w:hanging="357"/>
      </w:pPr>
      <w:r w:rsidRPr="00CF35A5">
        <w:t>•</w:t>
      </w:r>
      <w:r w:rsidRPr="00CF35A5">
        <w:tab/>
        <w:t>poor mental health</w:t>
      </w:r>
    </w:p>
    <w:p w14:paraId="6A5749EF" w14:textId="77777777" w:rsidR="00BD049B" w:rsidRPr="00CF35A5" w:rsidRDefault="00BD049B" w:rsidP="00CF35A5">
      <w:pPr>
        <w:pStyle w:val="ListBullet"/>
        <w:ind w:left="357" w:hanging="357"/>
      </w:pPr>
      <w:r w:rsidRPr="00CF35A5">
        <w:t>•</w:t>
      </w:r>
      <w:r w:rsidRPr="00CF35A5">
        <w:tab/>
        <w:t>low confidence and self-esteem</w:t>
      </w:r>
    </w:p>
    <w:p w14:paraId="31BC5833" w14:textId="77777777" w:rsidR="00BD049B" w:rsidRPr="00CF35A5" w:rsidRDefault="00BD049B" w:rsidP="00CF35A5">
      <w:pPr>
        <w:pStyle w:val="ListBullet"/>
        <w:ind w:left="357" w:hanging="357"/>
      </w:pPr>
      <w:r w:rsidRPr="00CF35A5">
        <w:t>•</w:t>
      </w:r>
      <w:r w:rsidRPr="00CF35A5">
        <w:tab/>
        <w:t>disability and health needs including amongst their children</w:t>
      </w:r>
    </w:p>
    <w:p w14:paraId="21907877" w14:textId="77777777" w:rsidR="00BD049B" w:rsidRPr="00CF35A5" w:rsidRDefault="00BD049B" w:rsidP="00CF35A5">
      <w:pPr>
        <w:pStyle w:val="ListBullet"/>
        <w:ind w:left="357" w:hanging="357"/>
      </w:pPr>
      <w:r w:rsidRPr="00CF35A5">
        <w:t>•</w:t>
      </w:r>
      <w:r w:rsidRPr="00CF35A5">
        <w:tab/>
        <w:t>language barriers</w:t>
      </w:r>
    </w:p>
    <w:p w14:paraId="3E6A4233" w14:textId="77777777" w:rsidR="00BD049B" w:rsidRPr="00CF35A5" w:rsidRDefault="00BD049B" w:rsidP="00CF35A5">
      <w:pPr>
        <w:pStyle w:val="ListBullet"/>
        <w:ind w:left="357" w:hanging="357"/>
      </w:pPr>
      <w:r w:rsidRPr="00CF35A5">
        <w:t>•</w:t>
      </w:r>
      <w:r w:rsidRPr="00CF35A5">
        <w:tab/>
        <w:t>housing issues</w:t>
      </w:r>
    </w:p>
    <w:p w14:paraId="0D7A779F" w14:textId="77777777" w:rsidR="00BD049B" w:rsidRPr="00CF35A5" w:rsidRDefault="00BD049B" w:rsidP="00CF35A5">
      <w:pPr>
        <w:pStyle w:val="ListBullet"/>
        <w:ind w:left="357" w:hanging="357"/>
      </w:pPr>
      <w:r w:rsidRPr="00CF35A5">
        <w:t>•</w:t>
      </w:r>
      <w:r w:rsidRPr="00CF35A5">
        <w:tab/>
        <w:t>experiences of family and domestic violence</w:t>
      </w:r>
    </w:p>
    <w:p w14:paraId="2E4BC11D" w14:textId="77777777" w:rsidR="00BD049B" w:rsidRPr="00CF35A5" w:rsidRDefault="00BD049B" w:rsidP="00CF35A5">
      <w:pPr>
        <w:pStyle w:val="ListBullet"/>
        <w:ind w:left="357" w:hanging="357"/>
      </w:pPr>
      <w:r w:rsidRPr="00CF35A5">
        <w:t>•</w:t>
      </w:r>
      <w:r w:rsidRPr="00CF35A5">
        <w:tab/>
        <w:t>limited work history or experience and low job search skills</w:t>
      </w:r>
    </w:p>
    <w:p w14:paraId="2855589E" w14:textId="2B3C51C6" w:rsidR="00BD049B" w:rsidRPr="00CF35A5" w:rsidRDefault="00BD049B" w:rsidP="00CF35A5">
      <w:pPr>
        <w:pStyle w:val="ListBullet"/>
        <w:ind w:left="357" w:hanging="357"/>
      </w:pPr>
      <w:r w:rsidRPr="00CF35A5">
        <w:t>•</w:t>
      </w:r>
      <w:r w:rsidRPr="00CF35A5">
        <w:tab/>
        <w:t>lack of access to flexible employment.</w:t>
      </w:r>
    </w:p>
    <w:p w14:paraId="05C06058" w14:textId="50412FB7" w:rsidR="001D3479" w:rsidRPr="00B25B45" w:rsidRDefault="001D3479" w:rsidP="00075596">
      <w:pPr>
        <w:rPr>
          <w:rStyle w:val="normaltextrun"/>
          <w:rFonts w:eastAsiaTheme="minorEastAsia" w:cs="Calibri"/>
        </w:rPr>
      </w:pPr>
      <w:r w:rsidRPr="00B25B45">
        <w:rPr>
          <w:rStyle w:val="normaltextrun"/>
          <w:rFonts w:eastAsiaTheme="minorEastAsia" w:cs="Calibri"/>
        </w:rPr>
        <w:t>A</w:t>
      </w:r>
      <w:r w:rsidR="00204428" w:rsidRPr="00B25B45">
        <w:rPr>
          <w:rStyle w:val="normaltextrun"/>
          <w:rFonts w:eastAsiaTheme="minorEastAsia" w:cs="Calibri"/>
        </w:rPr>
        <w:t>n</w:t>
      </w:r>
      <w:r w:rsidRPr="00B25B45">
        <w:rPr>
          <w:rStyle w:val="normaltextrun"/>
          <w:rFonts w:eastAsiaTheme="minorEastAsia" w:cs="Calibri"/>
        </w:rPr>
        <w:t xml:space="preserve"> </w:t>
      </w:r>
      <w:r w:rsidR="007F6992">
        <w:rPr>
          <w:rStyle w:val="normaltextrun"/>
          <w:rFonts w:eastAsiaTheme="minorEastAsia" w:cs="Calibri"/>
        </w:rPr>
        <w:t>OECD</w:t>
      </w:r>
      <w:r w:rsidR="00204428" w:rsidRPr="00B25B45">
        <w:rPr>
          <w:rStyle w:val="normaltextrun"/>
          <w:rFonts w:eastAsiaTheme="minorEastAsia" w:cs="Calibri"/>
        </w:rPr>
        <w:t xml:space="preserve"> </w:t>
      </w:r>
      <w:r w:rsidRPr="00B25B45">
        <w:rPr>
          <w:rStyle w:val="normaltextrun"/>
          <w:rFonts w:eastAsiaTheme="minorEastAsia" w:cs="Calibri"/>
        </w:rPr>
        <w:t>2019 working paper</w:t>
      </w:r>
      <w:r w:rsidR="00204428" w:rsidRPr="00B25B45">
        <w:rPr>
          <w:rStyle w:val="normaltextrun"/>
          <w:rFonts w:eastAsiaTheme="minorEastAsia" w:cs="Calibri"/>
        </w:rPr>
        <w:t xml:space="preserve"> </w:t>
      </w:r>
      <w:r w:rsidRPr="00B25B45">
        <w:rPr>
          <w:rStyle w:val="normaltextrun"/>
          <w:rFonts w:eastAsiaTheme="minorEastAsia" w:cs="Calibri"/>
        </w:rPr>
        <w:t>mapped employment barriers experienced by Australians with limited or no labour market attachment. It found that mothers (33 years old on average) receiving income support with young children faced the highest number of simultaneous barriers to employment of the cohorts studied, with more than three-quarters of the group facing three or more intersecting barriers to paid employment. Their main employment barriers included care responsibilities, low education or skills, and limited work experience.</w:t>
      </w:r>
      <w:r w:rsidRPr="0083731B">
        <w:rPr>
          <w:rStyle w:val="normaltextrun"/>
          <w:rFonts w:eastAsiaTheme="minorEastAsia" w:cs="Calibri"/>
          <w:vertAlign w:val="superscript"/>
        </w:rPr>
        <w:footnoteReference w:id="8"/>
      </w:r>
    </w:p>
    <w:p w14:paraId="403CB7E8" w14:textId="60FDCEC9" w:rsidR="001D3479" w:rsidRPr="00B25B45" w:rsidRDefault="009C721D" w:rsidP="00075596">
      <w:pPr>
        <w:rPr>
          <w:rStyle w:val="normaltextrun"/>
          <w:rFonts w:eastAsiaTheme="minorEastAsia" w:cs="Calibri"/>
        </w:rPr>
      </w:pPr>
      <w:r w:rsidRPr="00B25B45">
        <w:rPr>
          <w:rStyle w:val="normaltextrun"/>
          <w:rFonts w:eastAsiaTheme="minorEastAsia" w:cs="Calibri"/>
        </w:rPr>
        <w:t>Similarly,</w:t>
      </w:r>
      <w:r w:rsidR="001D3479" w:rsidRPr="00B25B45">
        <w:rPr>
          <w:rStyle w:val="normaltextrun"/>
          <w:rFonts w:eastAsiaTheme="minorEastAsia" w:cs="Calibri"/>
        </w:rPr>
        <w:t xml:space="preserve"> the A</w:t>
      </w:r>
      <w:r w:rsidR="00750305">
        <w:rPr>
          <w:rStyle w:val="normaltextrun"/>
          <w:rFonts w:eastAsiaTheme="minorEastAsia" w:cs="Calibri"/>
        </w:rPr>
        <w:t>us</w:t>
      </w:r>
      <w:r w:rsidR="00534BB5">
        <w:rPr>
          <w:rStyle w:val="normaltextrun"/>
          <w:rFonts w:eastAsiaTheme="minorEastAsia" w:cs="Calibri"/>
        </w:rPr>
        <w:t xml:space="preserve">tralian Bureau of Statistics </w:t>
      </w:r>
      <w:r w:rsidR="0023559D">
        <w:rPr>
          <w:rStyle w:val="normaltextrun"/>
          <w:rFonts w:eastAsiaTheme="minorEastAsia" w:cs="Calibri"/>
        </w:rPr>
        <w:t xml:space="preserve">reported in its </w:t>
      </w:r>
      <w:r w:rsidR="001D3479" w:rsidRPr="00B25B45">
        <w:rPr>
          <w:rStyle w:val="normaltextrun"/>
          <w:rFonts w:eastAsiaTheme="minorEastAsia" w:cs="Calibri"/>
        </w:rPr>
        <w:t>annual participation, job search and mobility survey</w:t>
      </w:r>
      <w:r w:rsidR="00FA574B" w:rsidRPr="00B25B45">
        <w:rPr>
          <w:rStyle w:val="normaltextrun"/>
          <w:rFonts w:eastAsiaTheme="minorEastAsia" w:cs="Calibri"/>
        </w:rPr>
        <w:t xml:space="preserve"> </w:t>
      </w:r>
      <w:r w:rsidR="004D5E74" w:rsidRPr="00B25B45">
        <w:rPr>
          <w:rStyle w:val="normaltextrun"/>
          <w:rFonts w:eastAsiaTheme="minorEastAsia" w:cs="Calibri"/>
        </w:rPr>
        <w:t xml:space="preserve">in 2023 </w:t>
      </w:r>
      <w:r w:rsidR="001D3479" w:rsidRPr="00B25B45">
        <w:rPr>
          <w:rStyle w:val="normaltextrun"/>
          <w:rFonts w:eastAsiaTheme="minorEastAsia" w:cs="Calibri"/>
        </w:rPr>
        <w:t>that unemployed women, more often than men, identified difficulties in finding work due to insufficient work experience, lack of jobs with suitable hours, and difficulties with childcare or other family considerations.</w:t>
      </w:r>
      <w:r w:rsidR="001D3479" w:rsidRPr="0089069B">
        <w:rPr>
          <w:rStyle w:val="normaltextrun"/>
          <w:rFonts w:eastAsiaTheme="minorEastAsia" w:cs="Calibri"/>
          <w:vertAlign w:val="superscript"/>
        </w:rPr>
        <w:footnoteReference w:id="9"/>
      </w:r>
    </w:p>
    <w:p w14:paraId="48137354" w14:textId="1DCE59C6" w:rsidR="00541E75" w:rsidRPr="003528E9" w:rsidRDefault="00541E75" w:rsidP="00541E75">
      <w:pPr>
        <w:rPr>
          <w:rStyle w:val="normaltextrun"/>
          <w:rFonts w:eastAsiaTheme="minorEastAsia" w:cs="Calibri"/>
        </w:rPr>
      </w:pPr>
      <w:r w:rsidRPr="00B25B45">
        <w:rPr>
          <w:rStyle w:val="normaltextrun"/>
          <w:rFonts w:eastAsiaTheme="minorEastAsia" w:cs="Calibri"/>
        </w:rPr>
        <w:t xml:space="preserve">OECD data reports that while gender employment gaps exist across all levels of education, this gap tends to be widest among men and women with lower levels of educational attainment. Australia’s gender employment gap between men and women with a tertiary qualification was only </w:t>
      </w:r>
      <w:r w:rsidRPr="00B25B45">
        <w:rPr>
          <w:rStyle w:val="normaltextrun"/>
          <w:rFonts w:eastAsiaTheme="minorEastAsia" w:cs="Calibri"/>
        </w:rPr>
        <w:lastRenderedPageBreak/>
        <w:t>6.7</w:t>
      </w:r>
      <w:r>
        <w:rPr>
          <w:rStyle w:val="normaltextrun"/>
          <w:rFonts w:eastAsiaTheme="minorEastAsia" w:cs="Calibri"/>
        </w:rPr>
        <w:t> </w:t>
      </w:r>
      <w:r w:rsidRPr="00B25B45">
        <w:rPr>
          <w:rStyle w:val="normaltextrun"/>
          <w:rFonts w:eastAsiaTheme="minorEastAsia" w:cs="Calibri"/>
        </w:rPr>
        <w:t>percentage points in 2021,</w:t>
      </w:r>
      <w:r w:rsidRPr="003528E9">
        <w:rPr>
          <w:rStyle w:val="normaltextrun"/>
          <w:rFonts w:eastAsiaTheme="minorEastAsia" w:cs="Calibri"/>
        </w:rPr>
        <w:t xml:space="preserve"> half that for people with a Certificate IV equivalent education (12.5</w:t>
      </w:r>
      <w:r w:rsidR="00434E95">
        <w:rPr>
          <w:rStyle w:val="normaltextrun"/>
          <w:rFonts w:eastAsiaTheme="minorEastAsia" w:cs="Calibri"/>
        </w:rPr>
        <w:t> </w:t>
      </w:r>
      <w:r w:rsidRPr="003528E9">
        <w:rPr>
          <w:rStyle w:val="normaltextrun"/>
          <w:rFonts w:eastAsiaTheme="minorEastAsia" w:cs="Calibri"/>
        </w:rPr>
        <w:t>percentage points) and an education below Year 12 or Certificate III (around 15 percentage points).</w:t>
      </w:r>
      <w:r w:rsidRPr="0089069B">
        <w:rPr>
          <w:rStyle w:val="normaltextrun"/>
          <w:rFonts w:eastAsiaTheme="minorEastAsia" w:cs="Calibri"/>
          <w:vertAlign w:val="superscript"/>
        </w:rPr>
        <w:footnoteReference w:id="10"/>
      </w:r>
    </w:p>
    <w:p w14:paraId="31FBEE3E" w14:textId="6A29A4C2" w:rsidR="00D04C07" w:rsidRPr="00126C2B" w:rsidRDefault="001D3479" w:rsidP="00075596">
      <w:pPr>
        <w:rPr>
          <w:rStyle w:val="normaltextrun"/>
          <w:rFonts w:eastAsiaTheme="minorEastAsia" w:cs="Calibri"/>
        </w:rPr>
      </w:pPr>
      <w:r w:rsidRPr="00B25B45">
        <w:rPr>
          <w:rStyle w:val="normaltextrun"/>
          <w:rFonts w:eastAsiaTheme="minorEastAsia" w:cs="Calibri"/>
        </w:rPr>
        <w:t xml:space="preserve">Improving education and skill levels among parents with a low level of educational attainment has a strong potential for also improving gender equality in employment outcomes. </w:t>
      </w:r>
      <w:r w:rsidR="00D04C07" w:rsidRPr="003528E9">
        <w:rPr>
          <w:rStyle w:val="normaltextrun"/>
          <w:rFonts w:eastAsiaTheme="minorEastAsia" w:cs="Calibri"/>
        </w:rPr>
        <w:t>Young parents in particular are at risk of experiencing disadvantage and lower education and work outcomes over their life course. Experience suggests the need for young parents to re-connect with learning is urgent, especially for young people who left school without completing Year 12 and who have become teenage parents subsequent to disengaging from education.</w:t>
      </w:r>
      <w:r w:rsidR="00D04C07" w:rsidRPr="0089069B">
        <w:rPr>
          <w:rStyle w:val="normaltextrun"/>
          <w:rFonts w:eastAsiaTheme="minorEastAsia" w:cs="Calibri"/>
          <w:vertAlign w:val="superscript"/>
        </w:rPr>
        <w:footnoteReference w:id="11"/>
      </w:r>
    </w:p>
    <w:p w14:paraId="5F140DD0" w14:textId="3B0BAF02" w:rsidR="001D3479" w:rsidRPr="003E3B51" w:rsidRDefault="001C0BDB" w:rsidP="00DE5E5E">
      <w:pPr>
        <w:pStyle w:val="Heading2"/>
      </w:pPr>
      <w:bookmarkStart w:id="16" w:name="_Toc151123100"/>
      <w:r>
        <w:t>3.2</w:t>
      </w:r>
      <w:r>
        <w:tab/>
      </w:r>
      <w:r w:rsidR="001D3479">
        <w:t xml:space="preserve">Economic </w:t>
      </w:r>
      <w:r w:rsidR="001D3479" w:rsidRPr="003E3B51">
        <w:t>security</w:t>
      </w:r>
      <w:bookmarkEnd w:id="16"/>
    </w:p>
    <w:p w14:paraId="367E9400" w14:textId="6A989CD6" w:rsidR="00831EF5" w:rsidRPr="003D29DF" w:rsidRDefault="00E06CC6" w:rsidP="00831EF5">
      <w:pPr>
        <w:pStyle w:val="paragraph"/>
        <w:spacing w:before="0" w:beforeAutospacing="0" w:after="200" w:afterAutospacing="0" w:line="276" w:lineRule="auto"/>
        <w:textAlignment w:val="baseline"/>
        <w:rPr>
          <w:rStyle w:val="normaltextrun"/>
          <w:rFonts w:asciiTheme="minorHAnsi" w:eastAsiaTheme="majorEastAsia" w:hAnsiTheme="minorHAnsi" w:cstheme="minorHAnsi"/>
          <w:sz w:val="22"/>
          <w:szCs w:val="22"/>
        </w:rPr>
      </w:pPr>
      <w:r w:rsidRPr="003D29DF">
        <w:rPr>
          <w:rStyle w:val="normaltextrun"/>
          <w:rFonts w:asciiTheme="minorHAnsi" w:eastAsiaTheme="minorEastAsia" w:hAnsiTheme="minorHAnsi" w:cstheme="minorHAnsi"/>
          <w:sz w:val="22"/>
          <w:szCs w:val="22"/>
        </w:rPr>
        <w:t xml:space="preserve">Reducing barriers to women participating in the labour force will be crucial to further closing the gender participation gap and unlocking the full economic potential of women. </w:t>
      </w:r>
      <w:r w:rsidR="00831EF5" w:rsidRPr="003D29DF">
        <w:rPr>
          <w:rStyle w:val="normaltextrun"/>
          <w:rFonts w:asciiTheme="minorHAnsi" w:eastAsiaTheme="minorEastAsia" w:hAnsiTheme="minorHAnsi" w:cstheme="minorHAnsi"/>
          <w:sz w:val="22"/>
          <w:szCs w:val="22"/>
        </w:rPr>
        <w:t xml:space="preserve">Further, research suggests that </w:t>
      </w:r>
      <w:r w:rsidR="00831EF5" w:rsidRPr="003D29DF">
        <w:rPr>
          <w:rFonts w:asciiTheme="minorHAnsi" w:hAnsiTheme="minorHAnsi" w:cstheme="minorHAnsi"/>
          <w:color w:val="000000" w:themeColor="text1"/>
          <w:sz w:val="22"/>
          <w:szCs w:val="22"/>
        </w:rPr>
        <w:t>closing the workforce participation gap could lift Australia’s GDP by 8.7</w:t>
      </w:r>
      <w:r w:rsidR="00FD21F3">
        <w:rPr>
          <w:rFonts w:asciiTheme="minorHAnsi" w:hAnsiTheme="minorHAnsi" w:cstheme="minorHAnsi"/>
          <w:color w:val="000000" w:themeColor="text1"/>
          <w:sz w:val="22"/>
          <w:szCs w:val="22"/>
        </w:rPr>
        <w:t>%</w:t>
      </w:r>
      <w:r w:rsidR="00831EF5" w:rsidRPr="003D29DF">
        <w:rPr>
          <w:rFonts w:asciiTheme="minorHAnsi" w:hAnsiTheme="minorHAnsi" w:cstheme="minorHAnsi"/>
          <w:color w:val="000000" w:themeColor="text1"/>
          <w:sz w:val="22"/>
          <w:szCs w:val="22"/>
        </w:rPr>
        <w:t>, or $353</w:t>
      </w:r>
      <w:r w:rsidR="00FD21F3">
        <w:rPr>
          <w:rFonts w:asciiTheme="minorHAnsi" w:hAnsiTheme="minorHAnsi" w:cstheme="minorHAnsi"/>
          <w:color w:val="000000" w:themeColor="text1"/>
          <w:sz w:val="22"/>
          <w:szCs w:val="22"/>
        </w:rPr>
        <w:t> </w:t>
      </w:r>
      <w:r w:rsidR="00831EF5" w:rsidRPr="003D29DF">
        <w:rPr>
          <w:rFonts w:asciiTheme="minorHAnsi" w:hAnsiTheme="minorHAnsi" w:cstheme="minorHAnsi"/>
          <w:color w:val="000000" w:themeColor="text1"/>
          <w:sz w:val="22"/>
          <w:szCs w:val="22"/>
        </w:rPr>
        <w:t>billion, by 2050 (research as of 2021).</w:t>
      </w:r>
      <w:r w:rsidR="00831EF5" w:rsidRPr="003D29DF">
        <w:rPr>
          <w:rStyle w:val="FootnoteReference"/>
          <w:rFonts w:asciiTheme="minorHAnsi" w:eastAsiaTheme="majorEastAsia" w:hAnsiTheme="minorHAnsi" w:cstheme="minorHAnsi"/>
          <w:color w:val="000000" w:themeColor="text1"/>
          <w:sz w:val="22"/>
          <w:szCs w:val="22"/>
        </w:rPr>
        <w:footnoteReference w:id="12"/>
      </w:r>
    </w:p>
    <w:p w14:paraId="3CE1AD44" w14:textId="6FD05C64" w:rsidR="001D3479" w:rsidRPr="00455A09" w:rsidRDefault="001D3479" w:rsidP="00455A09">
      <w:pPr>
        <w:rPr>
          <w:rStyle w:val="normaltextrun"/>
          <w:rFonts w:eastAsiaTheme="minorEastAsia" w:cs="Calibri"/>
        </w:rPr>
      </w:pPr>
      <w:r w:rsidRPr="00455A09">
        <w:rPr>
          <w:rStyle w:val="normaltextrun"/>
          <w:rFonts w:eastAsiaTheme="minorEastAsia" w:cs="Calibri"/>
        </w:rPr>
        <w:t>The Intergenerational Report 2023 describes that the gap in participation between women and men has narrowed as women’s workforce participation has increased over the past 40 years and narrowing is expected to continue in the future</w:t>
      </w:r>
      <w:r w:rsidR="00545477">
        <w:rPr>
          <w:rStyle w:val="normaltextrun"/>
          <w:rFonts w:eastAsiaTheme="minorEastAsia" w:cs="Calibri"/>
        </w:rPr>
        <w:t>.</w:t>
      </w:r>
      <w:r w:rsidRPr="00351848">
        <w:rPr>
          <w:rStyle w:val="normaltextrun"/>
          <w:rFonts w:eastAsiaTheme="minorEastAsia" w:cs="Calibri"/>
          <w:vertAlign w:val="superscript"/>
        </w:rPr>
        <w:footnoteReference w:id="13"/>
      </w:r>
    </w:p>
    <w:p w14:paraId="04C4541F" w14:textId="12A5C41A" w:rsidR="00D5316A" w:rsidRPr="00EA3FEE" w:rsidRDefault="00E37EA0" w:rsidP="00177BAA">
      <w:pPr>
        <w:rPr>
          <w:rFonts w:cstheme="minorHAnsi"/>
        </w:rPr>
      </w:pPr>
      <w:r w:rsidRPr="00455A09">
        <w:rPr>
          <w:rStyle w:val="normaltextrun"/>
          <w:rFonts w:eastAsiaTheme="minorEastAsia" w:cs="Calibri"/>
        </w:rPr>
        <w:t>However, a</w:t>
      </w:r>
      <w:r w:rsidR="001D3479" w:rsidRPr="00455A09">
        <w:rPr>
          <w:rStyle w:val="normaltextrun"/>
          <w:rFonts w:eastAsiaTheme="minorEastAsia" w:cs="Calibri"/>
        </w:rPr>
        <w:t>ccording to Treasury analysis, the gap in labour force participation rates and hours worked between women and men is</w:t>
      </w:r>
      <w:r w:rsidR="000021EF" w:rsidRPr="00455A09">
        <w:rPr>
          <w:rStyle w:val="normaltextrun"/>
          <w:rFonts w:eastAsiaTheme="minorEastAsia" w:cs="Calibri"/>
        </w:rPr>
        <w:t xml:space="preserve"> </w:t>
      </w:r>
      <w:r w:rsidR="00B92646" w:rsidRPr="00455A09">
        <w:rPr>
          <w:rStyle w:val="normaltextrun"/>
          <w:rFonts w:eastAsiaTheme="minorEastAsia" w:cs="Calibri"/>
        </w:rPr>
        <w:t>largest</w:t>
      </w:r>
      <w:r w:rsidR="001D3479" w:rsidRPr="00455A09">
        <w:rPr>
          <w:rStyle w:val="normaltextrun"/>
          <w:rFonts w:eastAsiaTheme="minorEastAsia" w:cs="Calibri"/>
        </w:rPr>
        <w:t xml:space="preserve"> around prime child-rearing years. A woman’s likelihood of being employed drops by around 45% in the year of their first child’s arrival</w:t>
      </w:r>
      <w:r w:rsidR="000021EF" w:rsidRPr="00455A09">
        <w:rPr>
          <w:rStyle w:val="normaltextrun"/>
          <w:rFonts w:eastAsiaTheme="minorEastAsia" w:cs="Calibri"/>
        </w:rPr>
        <w:t xml:space="preserve">, with little recovery </w:t>
      </w:r>
      <w:r w:rsidR="001D3479" w:rsidRPr="00455A09">
        <w:rPr>
          <w:rStyle w:val="normaltextrun"/>
          <w:rFonts w:eastAsiaTheme="minorEastAsia" w:cs="Calibri"/>
        </w:rPr>
        <w:t>in the following 5</w:t>
      </w:r>
      <w:r w:rsidR="00153799" w:rsidRPr="00455A09">
        <w:rPr>
          <w:rStyle w:val="normaltextrun"/>
          <w:rFonts w:eastAsiaTheme="minorEastAsia" w:cs="Calibri"/>
        </w:rPr>
        <w:t> </w:t>
      </w:r>
      <w:r w:rsidR="001D3479" w:rsidRPr="00455A09">
        <w:rPr>
          <w:rStyle w:val="normaltextrun"/>
          <w:rFonts w:eastAsiaTheme="minorEastAsia" w:cs="Calibri"/>
        </w:rPr>
        <w:t>years, while fathers’ hours of work are hardly affected</w:t>
      </w:r>
      <w:r w:rsidR="00140234">
        <w:rPr>
          <w:rStyle w:val="normaltextrun"/>
          <w:rFonts w:eastAsiaTheme="minorEastAsia" w:cs="Calibri"/>
        </w:rPr>
        <w:t>.</w:t>
      </w:r>
      <w:r w:rsidR="001D3479" w:rsidRPr="00351848">
        <w:rPr>
          <w:rStyle w:val="normaltextrun"/>
          <w:rFonts w:eastAsiaTheme="minorEastAsia" w:cs="Calibri"/>
          <w:vertAlign w:val="superscript"/>
        </w:rPr>
        <w:footnoteReference w:id="14"/>
      </w:r>
      <w:r w:rsidR="00BB7062" w:rsidRPr="00455A09">
        <w:rPr>
          <w:rStyle w:val="normaltextrun"/>
          <w:rFonts w:eastAsiaTheme="minorEastAsia" w:cs="Calibri"/>
        </w:rPr>
        <w:t xml:space="preserve"> </w:t>
      </w:r>
      <w:r w:rsidR="00D5316A" w:rsidRPr="00455A09">
        <w:rPr>
          <w:rStyle w:val="normaltextrun"/>
          <w:rFonts w:eastAsiaTheme="minorEastAsia" w:cs="Calibri"/>
        </w:rPr>
        <w:t xml:space="preserve">This is </w:t>
      </w:r>
      <w:r w:rsidR="00BB7062" w:rsidRPr="00455A09">
        <w:rPr>
          <w:rStyle w:val="normaltextrun"/>
          <w:rFonts w:eastAsiaTheme="minorEastAsia" w:cs="Calibri"/>
        </w:rPr>
        <w:t xml:space="preserve">consistent with </w:t>
      </w:r>
      <w:r w:rsidR="00D5316A" w:rsidRPr="00455A09">
        <w:rPr>
          <w:rStyle w:val="normaltextrun"/>
          <w:rFonts w:eastAsiaTheme="minorEastAsia" w:cs="Calibri"/>
        </w:rPr>
        <w:t>data from the OECD which shows that Australia’s maternal employment rate was low compared to</w:t>
      </w:r>
      <w:r w:rsidR="00D5316A" w:rsidRPr="00FA574B">
        <w:rPr>
          <w:rStyle w:val="normaltextrun"/>
          <w:rFonts w:eastAsiaTheme="majorEastAsia" w:cstheme="minorHAnsi"/>
        </w:rPr>
        <w:t xml:space="preserve"> other </w:t>
      </w:r>
      <w:r w:rsidR="00D5316A" w:rsidRPr="00EA3FEE">
        <w:rPr>
          <w:rStyle w:val="normaltextrun"/>
          <w:rFonts w:eastAsiaTheme="majorEastAsia" w:cstheme="minorHAnsi"/>
        </w:rPr>
        <w:t>OECD countries at 68.8% in 2019 (ranking at 24 of 40 countries). The maternal employment rate for single mothers ranked 3</w:t>
      </w:r>
      <w:r w:rsidR="00D5316A" w:rsidRPr="00EA3FEE">
        <w:rPr>
          <w:rStyle w:val="normaltextrun"/>
          <w:rFonts w:eastAsiaTheme="majorEastAsia" w:cstheme="minorHAnsi"/>
          <w:vertAlign w:val="superscript"/>
        </w:rPr>
        <w:t>rd</w:t>
      </w:r>
      <w:r w:rsidR="00D5316A" w:rsidRPr="00EA3FEE">
        <w:rPr>
          <w:rStyle w:val="normaltextrun"/>
          <w:rFonts w:eastAsiaTheme="majorEastAsia" w:cstheme="minorHAnsi"/>
        </w:rPr>
        <w:t xml:space="preserve"> lowest in the OECD at 50.8%, compared to 71.4% for partnered mothers.</w:t>
      </w:r>
      <w:r w:rsidR="00D5316A" w:rsidRPr="00EA3FEE">
        <w:rPr>
          <w:rStyle w:val="FootnoteReference"/>
          <w:rFonts w:eastAsiaTheme="majorEastAsia" w:cstheme="minorHAnsi"/>
        </w:rPr>
        <w:footnoteReference w:id="15"/>
      </w:r>
    </w:p>
    <w:p w14:paraId="15D312DB" w14:textId="3412C9E8" w:rsidR="001D3479" w:rsidRPr="00EA3FEE" w:rsidRDefault="001D3479" w:rsidP="00075596">
      <w:pPr>
        <w:pStyle w:val="paragraph"/>
        <w:spacing w:before="0" w:beforeAutospacing="0" w:after="200" w:afterAutospacing="0" w:line="276" w:lineRule="auto"/>
        <w:textAlignment w:val="baseline"/>
        <w:rPr>
          <w:rStyle w:val="normaltextrun"/>
          <w:rFonts w:asciiTheme="minorHAnsi" w:eastAsiaTheme="majorEastAsia" w:hAnsiTheme="minorHAnsi" w:cstheme="minorHAnsi"/>
          <w:sz w:val="22"/>
          <w:szCs w:val="22"/>
        </w:rPr>
      </w:pPr>
      <w:r w:rsidRPr="00EA3FEE">
        <w:rPr>
          <w:rStyle w:val="normaltextrun"/>
          <w:rFonts w:asciiTheme="minorHAnsi" w:eastAsiaTheme="majorEastAsia" w:hAnsiTheme="minorHAnsi" w:cstheme="minorHAnsi"/>
          <w:sz w:val="22"/>
          <w:szCs w:val="22"/>
        </w:rPr>
        <w:t>Single parents in particular can experience significant challenges when seeking to balance unpaid caring responsibilities with paid work</w:t>
      </w:r>
      <w:r w:rsidR="00161872" w:rsidRPr="00EA3FEE">
        <w:rPr>
          <w:rStyle w:val="normaltextrun"/>
          <w:rFonts w:asciiTheme="minorHAnsi" w:eastAsiaTheme="majorEastAsia" w:hAnsiTheme="minorHAnsi" w:cstheme="minorHAnsi"/>
          <w:sz w:val="22"/>
          <w:szCs w:val="22"/>
        </w:rPr>
        <w:t>.</w:t>
      </w:r>
      <w:r w:rsidRPr="00EA3FEE">
        <w:rPr>
          <w:rStyle w:val="normaltextrun"/>
          <w:rFonts w:asciiTheme="minorHAnsi" w:eastAsiaTheme="majorEastAsia" w:hAnsiTheme="minorHAnsi" w:cstheme="minorHAnsi"/>
          <w:sz w:val="22"/>
          <w:szCs w:val="22"/>
        </w:rPr>
        <w:t xml:space="preserve"> In June 2022, the labour force participation rate of single mothers with </w:t>
      </w:r>
      <w:r w:rsidR="002B555E" w:rsidRPr="00EA3FEE">
        <w:rPr>
          <w:rStyle w:val="normaltextrun"/>
          <w:rFonts w:asciiTheme="minorHAnsi" w:eastAsiaTheme="majorEastAsia" w:hAnsiTheme="minorHAnsi" w:cstheme="minorHAnsi"/>
          <w:sz w:val="22"/>
          <w:szCs w:val="22"/>
        </w:rPr>
        <w:t>children</w:t>
      </w:r>
      <w:r w:rsidRPr="00EA3FEE">
        <w:rPr>
          <w:rStyle w:val="normaltextrun"/>
          <w:rFonts w:asciiTheme="minorHAnsi" w:eastAsiaTheme="majorEastAsia" w:hAnsiTheme="minorHAnsi" w:cstheme="minorHAnsi"/>
          <w:sz w:val="22"/>
          <w:szCs w:val="22"/>
        </w:rPr>
        <w:t xml:space="preserve"> under 5 years was 17 percentage points lower than partnered mothers and 40</w:t>
      </w:r>
      <w:r w:rsidR="008C5DF2" w:rsidRPr="00EA3FEE">
        <w:rPr>
          <w:rStyle w:val="normaltextrun"/>
          <w:rFonts w:asciiTheme="minorHAnsi" w:eastAsiaTheme="majorEastAsia" w:hAnsiTheme="minorHAnsi" w:cstheme="minorHAnsi"/>
          <w:sz w:val="22"/>
          <w:szCs w:val="22"/>
        </w:rPr>
        <w:t> </w:t>
      </w:r>
      <w:r w:rsidRPr="00EA3FEE">
        <w:rPr>
          <w:rStyle w:val="normaltextrun"/>
          <w:rFonts w:asciiTheme="minorHAnsi" w:eastAsiaTheme="majorEastAsia" w:hAnsiTheme="minorHAnsi" w:cstheme="minorHAnsi"/>
          <w:sz w:val="22"/>
          <w:szCs w:val="22"/>
        </w:rPr>
        <w:t>percentage points lower than all fathers</w:t>
      </w:r>
      <w:r w:rsidR="00161872" w:rsidRPr="00EA3FEE">
        <w:rPr>
          <w:rStyle w:val="normaltextrun"/>
          <w:rFonts w:asciiTheme="minorHAnsi" w:eastAsiaTheme="majorEastAsia" w:hAnsiTheme="minorHAnsi" w:cstheme="minorHAnsi"/>
          <w:sz w:val="22"/>
          <w:szCs w:val="22"/>
        </w:rPr>
        <w:t>.</w:t>
      </w:r>
      <w:r w:rsidRPr="00EA3FEE">
        <w:rPr>
          <w:rStyle w:val="normaltextrun"/>
          <w:rFonts w:asciiTheme="minorHAnsi" w:eastAsiaTheme="majorEastAsia" w:hAnsiTheme="minorHAnsi" w:cstheme="minorHAnsi"/>
          <w:sz w:val="22"/>
          <w:szCs w:val="22"/>
        </w:rPr>
        <w:t xml:space="preserve"> While this gap narrows as children age, single mothers still report a lower participation rate than partnered mothers and all fathers when their children are </w:t>
      </w:r>
      <w:r w:rsidRPr="00EA3FEE">
        <w:rPr>
          <w:rStyle w:val="normaltextrun"/>
          <w:rFonts w:asciiTheme="minorHAnsi" w:eastAsiaTheme="majorEastAsia" w:hAnsiTheme="minorHAnsi" w:cstheme="minorHAnsi"/>
          <w:sz w:val="22"/>
          <w:szCs w:val="22"/>
        </w:rPr>
        <w:lastRenderedPageBreak/>
        <w:t>older</w:t>
      </w:r>
      <w:r w:rsidRPr="00EA3FEE" w:rsidDel="00364C2B">
        <w:rPr>
          <w:rStyle w:val="normaltextrun"/>
          <w:rFonts w:asciiTheme="minorHAnsi" w:eastAsiaTheme="majorEastAsia" w:hAnsiTheme="minorHAnsi" w:cstheme="minorHAnsi"/>
          <w:sz w:val="22"/>
          <w:szCs w:val="22"/>
        </w:rPr>
        <w:t>.</w:t>
      </w:r>
      <w:r w:rsidRPr="00EA3FEE">
        <w:rPr>
          <w:rStyle w:val="normaltextrun"/>
          <w:rFonts w:asciiTheme="minorHAnsi" w:eastAsiaTheme="majorEastAsia" w:hAnsiTheme="minorHAnsi" w:cstheme="minorHAnsi"/>
          <w:sz w:val="22"/>
          <w:szCs w:val="22"/>
        </w:rPr>
        <w:t xml:space="preserve"> Single fathers also tend to report lower participation rates than partnered fathers, although small sample sizes mean data for this group is volatile.</w:t>
      </w:r>
      <w:r w:rsidRPr="00EA3FEE">
        <w:rPr>
          <w:rStyle w:val="normaltextrun"/>
          <w:rFonts w:asciiTheme="minorHAnsi" w:eastAsiaTheme="majorEastAsia" w:hAnsiTheme="minorHAnsi" w:cstheme="minorHAnsi"/>
          <w:sz w:val="22"/>
          <w:szCs w:val="22"/>
          <w:vertAlign w:val="superscript"/>
        </w:rPr>
        <w:footnoteReference w:id="16"/>
      </w:r>
    </w:p>
    <w:p w14:paraId="147B107E" w14:textId="59D12DD9" w:rsidR="00EC55C2" w:rsidRPr="00FA574B" w:rsidRDefault="00C67DA1" w:rsidP="00EC55C2">
      <w:pPr>
        <w:pStyle w:val="paragraph"/>
        <w:spacing w:before="0" w:beforeAutospacing="0" w:after="200" w:afterAutospacing="0" w:line="276" w:lineRule="auto"/>
        <w:textAlignment w:val="baseline"/>
        <w:rPr>
          <w:rFonts w:asciiTheme="minorHAnsi" w:hAnsiTheme="minorHAnsi" w:cstheme="minorBidi"/>
          <w:sz w:val="22"/>
          <w:szCs w:val="22"/>
        </w:rPr>
      </w:pPr>
      <w:r>
        <w:rPr>
          <w:rStyle w:val="normaltextrun"/>
          <w:rFonts w:asciiTheme="minorHAnsi" w:eastAsiaTheme="majorEastAsia" w:hAnsiTheme="minorHAnsi" w:cstheme="minorBidi"/>
          <w:sz w:val="22"/>
          <w:szCs w:val="22"/>
        </w:rPr>
        <w:t>If barriers are u</w:t>
      </w:r>
      <w:r w:rsidR="00EA3FEE" w:rsidRPr="739379DD">
        <w:rPr>
          <w:rStyle w:val="normaltextrun"/>
          <w:rFonts w:asciiTheme="minorHAnsi" w:eastAsiaTheme="majorEastAsia" w:hAnsiTheme="minorHAnsi" w:cstheme="minorBidi"/>
          <w:sz w:val="22"/>
          <w:szCs w:val="22"/>
        </w:rPr>
        <w:t xml:space="preserve">naddressed, </w:t>
      </w:r>
      <w:r w:rsidR="009A4D83">
        <w:rPr>
          <w:rStyle w:val="normaltextrun"/>
          <w:rFonts w:asciiTheme="minorHAnsi" w:eastAsiaTheme="majorEastAsia" w:hAnsiTheme="minorHAnsi" w:cstheme="minorBidi"/>
          <w:sz w:val="22"/>
          <w:szCs w:val="22"/>
        </w:rPr>
        <w:t xml:space="preserve">it is likely that </w:t>
      </w:r>
      <w:r w:rsidR="00EA3FEE" w:rsidRPr="739379DD">
        <w:rPr>
          <w:rStyle w:val="normaltextrun"/>
          <w:rFonts w:asciiTheme="minorHAnsi" w:eastAsiaTheme="majorEastAsia" w:hAnsiTheme="minorHAnsi" w:cstheme="minorBidi"/>
          <w:sz w:val="22"/>
          <w:szCs w:val="22"/>
        </w:rPr>
        <w:t xml:space="preserve">the participation gap </w:t>
      </w:r>
      <w:r w:rsidR="00177BAA" w:rsidRPr="739379DD">
        <w:rPr>
          <w:rStyle w:val="normaltextrun"/>
          <w:rFonts w:asciiTheme="minorHAnsi" w:eastAsiaTheme="majorEastAsia" w:hAnsiTheme="minorHAnsi" w:cstheme="minorBidi"/>
          <w:sz w:val="22"/>
          <w:szCs w:val="22"/>
        </w:rPr>
        <w:t xml:space="preserve">will continue for many </w:t>
      </w:r>
      <w:r w:rsidR="5A813E9F" w:rsidRPr="2EF51FF8">
        <w:rPr>
          <w:rStyle w:val="normaltextrun"/>
          <w:rFonts w:asciiTheme="minorHAnsi" w:eastAsiaTheme="majorEastAsia" w:hAnsiTheme="minorHAnsi" w:cstheme="minorBidi"/>
          <w:sz w:val="22"/>
          <w:szCs w:val="22"/>
        </w:rPr>
        <w:t>vulnerable</w:t>
      </w:r>
      <w:r w:rsidR="00177BAA" w:rsidRPr="739379DD">
        <w:rPr>
          <w:rStyle w:val="normaltextrun"/>
          <w:rFonts w:asciiTheme="minorHAnsi" w:eastAsiaTheme="majorEastAsia" w:hAnsiTheme="minorHAnsi" w:cstheme="minorBidi"/>
          <w:sz w:val="22"/>
          <w:szCs w:val="22"/>
        </w:rPr>
        <w:t xml:space="preserve"> parents.</w:t>
      </w:r>
      <w:r w:rsidR="00EA3FEE" w:rsidRPr="739379DD">
        <w:rPr>
          <w:rStyle w:val="normaltextrun"/>
          <w:rFonts w:asciiTheme="minorHAnsi" w:eastAsiaTheme="majorEastAsia" w:hAnsiTheme="minorHAnsi" w:cstheme="minorBidi"/>
          <w:sz w:val="22"/>
          <w:szCs w:val="22"/>
        </w:rPr>
        <w:t xml:space="preserve"> </w:t>
      </w:r>
      <w:r w:rsidR="00EC55C2" w:rsidRPr="739379DD">
        <w:rPr>
          <w:rStyle w:val="normaltextrun"/>
          <w:rFonts w:asciiTheme="minorHAnsi" w:eastAsiaTheme="majorEastAsia" w:hAnsiTheme="minorHAnsi" w:cstheme="minorBidi"/>
          <w:sz w:val="22"/>
          <w:szCs w:val="22"/>
        </w:rPr>
        <w:t>Analysis by the Department of Social Services in 2016 as part of the priority investment approach found that, without any engagement, 48% of Parenting Payment recipients would still be receiving income support in 10 years, with only 22% having left the welfare system. For young parents aged 18 years and under, the analysis found that around 70% will be receiving income support in 10 years, with a further 23% receiving non-income support payments.</w:t>
      </w:r>
      <w:r w:rsidR="00EC55C2" w:rsidRPr="739379DD">
        <w:rPr>
          <w:rStyle w:val="FootnoteReference"/>
          <w:rFonts w:asciiTheme="minorHAnsi" w:eastAsiaTheme="majorEastAsia" w:hAnsiTheme="minorHAnsi" w:cstheme="minorBidi"/>
          <w:sz w:val="22"/>
          <w:szCs w:val="22"/>
        </w:rPr>
        <w:footnoteReference w:id="17"/>
      </w:r>
    </w:p>
    <w:p w14:paraId="3811658F" w14:textId="1A7F6321" w:rsidR="001D3479" w:rsidRPr="00FA574B" w:rsidRDefault="001C0BDB" w:rsidP="00DE5E5E">
      <w:pPr>
        <w:pStyle w:val="Heading2"/>
      </w:pPr>
      <w:bookmarkStart w:id="18" w:name="_Toc151123101"/>
      <w:r>
        <w:t>3.3</w:t>
      </w:r>
      <w:r>
        <w:tab/>
      </w:r>
      <w:r w:rsidR="001D3479" w:rsidRPr="00FA574B">
        <w:t>Cycle of disadvantage</w:t>
      </w:r>
      <w:bookmarkEnd w:id="18"/>
    </w:p>
    <w:p w14:paraId="4653A431" w14:textId="45E66AF1" w:rsidR="001D3479" w:rsidRPr="00FA574B" w:rsidRDefault="001D3479" w:rsidP="00075596">
      <w:pPr>
        <w:pStyle w:val="paragraph"/>
        <w:spacing w:before="0" w:beforeAutospacing="0" w:after="200" w:afterAutospacing="0" w:line="276" w:lineRule="auto"/>
        <w:textAlignment w:val="baseline"/>
        <w:rPr>
          <w:rStyle w:val="eop"/>
          <w:rFonts w:asciiTheme="minorHAnsi" w:eastAsiaTheme="majorEastAsia" w:hAnsiTheme="minorHAnsi" w:cstheme="minorHAnsi"/>
          <w:sz w:val="22"/>
          <w:szCs w:val="22"/>
        </w:rPr>
      </w:pPr>
      <w:r w:rsidRPr="00FA574B">
        <w:rPr>
          <w:rStyle w:val="eop"/>
          <w:rFonts w:asciiTheme="minorHAnsi" w:eastAsiaTheme="majorEastAsia" w:hAnsiTheme="minorHAnsi" w:cstheme="minorHAnsi"/>
          <w:sz w:val="22"/>
          <w:szCs w:val="22"/>
        </w:rPr>
        <w:t xml:space="preserve">There is evidence that children whose parents receive welfare payments can face </w:t>
      </w:r>
      <w:r w:rsidR="004D5E74">
        <w:rPr>
          <w:rStyle w:val="eop"/>
          <w:rFonts w:asciiTheme="minorHAnsi" w:eastAsiaTheme="majorEastAsia" w:hAnsiTheme="minorHAnsi" w:cstheme="minorHAnsi"/>
          <w:sz w:val="22"/>
          <w:szCs w:val="22"/>
        </w:rPr>
        <w:t xml:space="preserve">particular </w:t>
      </w:r>
      <w:r w:rsidRPr="00FA574B">
        <w:rPr>
          <w:rStyle w:val="eop"/>
          <w:rFonts w:asciiTheme="minorHAnsi" w:eastAsiaTheme="majorEastAsia" w:hAnsiTheme="minorHAnsi" w:cstheme="minorHAnsi"/>
          <w:sz w:val="22"/>
          <w:szCs w:val="22"/>
        </w:rPr>
        <w:t xml:space="preserve">challenges </w:t>
      </w:r>
      <w:r w:rsidR="004D5E74">
        <w:rPr>
          <w:rStyle w:val="eop"/>
          <w:rFonts w:asciiTheme="minorHAnsi" w:eastAsiaTheme="majorEastAsia" w:hAnsiTheme="minorHAnsi" w:cstheme="minorHAnsi"/>
          <w:sz w:val="22"/>
          <w:szCs w:val="22"/>
        </w:rPr>
        <w:t xml:space="preserve">to achieving </w:t>
      </w:r>
      <w:r w:rsidRPr="00FA574B">
        <w:rPr>
          <w:rStyle w:val="eop"/>
          <w:rFonts w:asciiTheme="minorHAnsi" w:eastAsiaTheme="majorEastAsia" w:hAnsiTheme="minorHAnsi" w:cstheme="minorHAnsi"/>
          <w:sz w:val="22"/>
          <w:szCs w:val="22"/>
        </w:rPr>
        <w:t>education and/or work outcomes. They often experience lower rates of school attendance, performance and completion, lower rates of employment, more social exclusion and poorer physical and mental health outcomes.</w:t>
      </w:r>
      <w:r w:rsidR="00225B32">
        <w:rPr>
          <w:rStyle w:val="FootnoteReference"/>
          <w:rFonts w:asciiTheme="minorHAnsi" w:eastAsiaTheme="majorEastAsia" w:hAnsiTheme="minorHAnsi" w:cstheme="minorHAnsi"/>
          <w:sz w:val="22"/>
          <w:szCs w:val="22"/>
        </w:rPr>
        <w:footnoteReference w:id="18"/>
      </w:r>
      <w:r w:rsidRPr="00FA574B">
        <w:rPr>
          <w:rStyle w:val="eop"/>
          <w:rFonts w:asciiTheme="minorHAnsi" w:eastAsiaTheme="majorEastAsia" w:hAnsiTheme="minorHAnsi" w:cstheme="minorHAnsi"/>
          <w:sz w:val="22"/>
          <w:szCs w:val="22"/>
        </w:rPr>
        <w:t xml:space="preserve"> Parental welfare receipt, especially over lengthy periods, has been associated with an increased likelihood of 18</w:t>
      </w:r>
      <w:r w:rsidR="00FA18C0">
        <w:rPr>
          <w:rStyle w:val="eop"/>
          <w:rFonts w:asciiTheme="minorHAnsi" w:eastAsiaTheme="majorEastAsia" w:hAnsiTheme="minorHAnsi" w:cstheme="minorHAnsi"/>
          <w:sz w:val="22"/>
          <w:szCs w:val="22"/>
        </w:rPr>
        <w:t xml:space="preserve"> to </w:t>
      </w:r>
      <w:r w:rsidRPr="00FA574B">
        <w:rPr>
          <w:rStyle w:val="eop"/>
          <w:rFonts w:asciiTheme="minorHAnsi" w:eastAsiaTheme="majorEastAsia" w:hAnsiTheme="minorHAnsi" w:cstheme="minorHAnsi"/>
          <w:sz w:val="22"/>
          <w:szCs w:val="22"/>
        </w:rPr>
        <w:t>19 year olds being not in education, employment or training compared with adolescents whose primary parent did not receive any welfare payments.</w:t>
      </w:r>
      <w:r w:rsidRPr="00FA574B">
        <w:rPr>
          <w:rStyle w:val="FootnoteReference"/>
          <w:rFonts w:asciiTheme="minorHAnsi" w:eastAsiaTheme="majorEastAsia" w:hAnsiTheme="minorHAnsi" w:cstheme="minorHAnsi"/>
          <w:sz w:val="22"/>
          <w:szCs w:val="22"/>
        </w:rPr>
        <w:footnoteReference w:id="19"/>
      </w:r>
    </w:p>
    <w:p w14:paraId="11CEC44B" w14:textId="33A1678F" w:rsidR="001D3479" w:rsidRPr="00FA574B" w:rsidRDefault="001D3479" w:rsidP="215B284A">
      <w:pPr>
        <w:pStyle w:val="paragraph"/>
        <w:spacing w:before="0" w:beforeAutospacing="0" w:after="200" w:afterAutospacing="0" w:line="276" w:lineRule="auto"/>
        <w:textAlignment w:val="baseline"/>
        <w:rPr>
          <w:rStyle w:val="eop"/>
          <w:rFonts w:asciiTheme="minorHAnsi" w:eastAsiaTheme="majorEastAsia" w:hAnsiTheme="minorHAnsi" w:cstheme="minorBidi"/>
          <w:sz w:val="22"/>
          <w:szCs w:val="22"/>
        </w:rPr>
      </w:pPr>
      <w:r w:rsidRPr="215B284A">
        <w:rPr>
          <w:rStyle w:val="normaltextrun"/>
          <w:rFonts w:asciiTheme="minorHAnsi" w:eastAsiaTheme="minorEastAsia" w:hAnsiTheme="minorHAnsi" w:cstheme="minorBidi"/>
          <w:sz w:val="22"/>
          <w:szCs w:val="22"/>
        </w:rPr>
        <w:t>Research also shows young people aged 18</w:t>
      </w:r>
      <w:r w:rsidR="00FA18C0">
        <w:rPr>
          <w:rStyle w:val="normaltextrun"/>
          <w:rFonts w:asciiTheme="minorHAnsi" w:eastAsiaTheme="minorEastAsia" w:hAnsiTheme="minorHAnsi" w:cstheme="minorBidi"/>
          <w:sz w:val="22"/>
          <w:szCs w:val="22"/>
        </w:rPr>
        <w:t xml:space="preserve"> to </w:t>
      </w:r>
      <w:r w:rsidRPr="215B284A">
        <w:rPr>
          <w:rStyle w:val="normaltextrun"/>
          <w:rFonts w:asciiTheme="minorHAnsi" w:eastAsiaTheme="minorEastAsia" w:hAnsiTheme="minorHAnsi" w:cstheme="minorBidi"/>
          <w:sz w:val="22"/>
          <w:szCs w:val="22"/>
        </w:rPr>
        <w:t xml:space="preserve">26 years are almost twice as likely to need social assistance if their parents have a history of receiving social assistance. </w:t>
      </w:r>
      <w:r w:rsidR="00161872" w:rsidRPr="215B284A">
        <w:rPr>
          <w:rStyle w:val="normaltextrun"/>
          <w:rFonts w:asciiTheme="minorHAnsi" w:eastAsiaTheme="minorEastAsia" w:hAnsiTheme="minorHAnsi" w:cstheme="minorBidi"/>
          <w:sz w:val="22"/>
          <w:szCs w:val="22"/>
        </w:rPr>
        <w:t>In particular, the</w:t>
      </w:r>
      <w:r w:rsidRPr="215B284A">
        <w:rPr>
          <w:rStyle w:val="normaltextrun"/>
          <w:rFonts w:asciiTheme="minorHAnsi" w:eastAsiaTheme="minorEastAsia" w:hAnsiTheme="minorHAnsi" w:cstheme="minorBidi"/>
          <w:sz w:val="22"/>
          <w:szCs w:val="22"/>
        </w:rPr>
        <w:t xml:space="preserve"> likelihood of young people receiving social assistance is 1.6 times larger if their parents received </w:t>
      </w:r>
      <w:r w:rsidR="00161872" w:rsidRPr="215B284A">
        <w:rPr>
          <w:rStyle w:val="normaltextrun"/>
          <w:rFonts w:asciiTheme="minorHAnsi" w:eastAsiaTheme="minorEastAsia" w:hAnsiTheme="minorHAnsi" w:cstheme="minorBidi"/>
          <w:sz w:val="22"/>
          <w:szCs w:val="22"/>
        </w:rPr>
        <w:t xml:space="preserve">single-parent, disability or carer payments </w:t>
      </w:r>
      <w:r w:rsidRPr="215B284A">
        <w:rPr>
          <w:rStyle w:val="normaltextrun"/>
          <w:rFonts w:asciiTheme="minorHAnsi" w:eastAsiaTheme="minorEastAsia" w:hAnsiTheme="minorHAnsi" w:cstheme="minorBidi"/>
          <w:sz w:val="22"/>
          <w:szCs w:val="22"/>
        </w:rPr>
        <w:t>than if they did not.</w:t>
      </w:r>
      <w:r w:rsidRPr="215B284A">
        <w:rPr>
          <w:rStyle w:val="FootnoteReference"/>
          <w:rFonts w:asciiTheme="minorHAnsi" w:eastAsiaTheme="minorEastAsia" w:hAnsiTheme="minorHAnsi" w:cstheme="minorBidi"/>
          <w:sz w:val="22"/>
          <w:szCs w:val="22"/>
        </w:rPr>
        <w:footnoteReference w:id="20"/>
      </w:r>
    </w:p>
    <w:p w14:paraId="444D3894" w14:textId="742F4D3D" w:rsidR="001D3479" w:rsidRPr="00FA574B" w:rsidRDefault="001D3479" w:rsidP="00075596">
      <w:pPr>
        <w:pStyle w:val="paragraph"/>
        <w:spacing w:before="0" w:beforeAutospacing="0" w:after="200" w:afterAutospacing="0" w:line="276" w:lineRule="auto"/>
        <w:textAlignment w:val="baseline"/>
        <w:rPr>
          <w:rFonts w:asciiTheme="minorHAnsi" w:hAnsiTheme="minorHAnsi" w:cstheme="minorHAnsi"/>
          <w:sz w:val="22"/>
          <w:szCs w:val="22"/>
        </w:rPr>
      </w:pPr>
      <w:r w:rsidRPr="0097343D">
        <w:rPr>
          <w:rStyle w:val="eop"/>
          <w:rFonts w:asciiTheme="minorHAnsi" w:eastAsiaTheme="majorEastAsia" w:hAnsiTheme="minorHAnsi" w:cstheme="minorHAnsi"/>
          <w:sz w:val="22"/>
          <w:szCs w:val="22"/>
        </w:rPr>
        <w:t>The</w:t>
      </w:r>
      <w:r w:rsidRPr="0097343D">
        <w:rPr>
          <w:rStyle w:val="normaltextrun"/>
          <w:rFonts w:asciiTheme="minorHAnsi" w:eastAsiaTheme="minorEastAsia" w:hAnsiTheme="minorHAnsi" w:cstheme="minorHAnsi"/>
          <w:sz w:val="22"/>
          <w:szCs w:val="22"/>
        </w:rPr>
        <w:t xml:space="preserve"> House of Representatives Select Committee on Intergenerational Welfare Dependence noted in</w:t>
      </w:r>
      <w:r w:rsidRPr="00FA574B">
        <w:rPr>
          <w:rStyle w:val="normaltextrun"/>
          <w:rFonts w:asciiTheme="minorHAnsi" w:eastAsiaTheme="minorEastAsia" w:hAnsiTheme="minorHAnsi" w:cstheme="minorHAnsi"/>
          <w:sz w:val="22"/>
          <w:szCs w:val="22"/>
        </w:rPr>
        <w:t xml:space="preserve"> its final report that 90% of children who experienced childhood in a family of very high parental welfare dependence will have interacted with the welfare system in their own right by the age of 25</w:t>
      </w:r>
      <w:r w:rsidR="00AE5824">
        <w:rPr>
          <w:rStyle w:val="normaltextrun"/>
          <w:rFonts w:asciiTheme="minorHAnsi" w:eastAsiaTheme="minorEastAsia" w:hAnsiTheme="minorHAnsi" w:cstheme="minorHAnsi"/>
          <w:sz w:val="22"/>
          <w:szCs w:val="22"/>
        </w:rPr>
        <w:t> years</w:t>
      </w:r>
      <w:r w:rsidRPr="00FA574B">
        <w:rPr>
          <w:rStyle w:val="normaltextrun"/>
          <w:rFonts w:asciiTheme="minorHAnsi" w:eastAsiaTheme="minorEastAsia" w:hAnsiTheme="minorHAnsi" w:cstheme="minorHAnsi"/>
          <w:sz w:val="22"/>
          <w:szCs w:val="22"/>
        </w:rPr>
        <w:t>.</w:t>
      </w:r>
      <w:r w:rsidR="00AB7931">
        <w:rPr>
          <w:rStyle w:val="FootnoteReference"/>
          <w:rFonts w:asciiTheme="minorHAnsi" w:eastAsiaTheme="minorEastAsia" w:hAnsiTheme="minorHAnsi" w:cstheme="minorHAnsi"/>
          <w:sz w:val="22"/>
          <w:szCs w:val="22"/>
        </w:rPr>
        <w:footnoteReference w:id="21"/>
      </w:r>
    </w:p>
    <w:p w14:paraId="61805C9B" w14:textId="6FB4F288" w:rsidR="001D3479" w:rsidRDefault="001D3479" w:rsidP="00075596">
      <w:pPr>
        <w:pStyle w:val="paragraph"/>
        <w:spacing w:before="0" w:beforeAutospacing="0" w:after="200" w:afterAutospacing="0" w:line="276" w:lineRule="auto"/>
        <w:textAlignment w:val="baseline"/>
        <w:rPr>
          <w:rStyle w:val="normaltextrun"/>
          <w:rFonts w:asciiTheme="minorHAnsi" w:eastAsiaTheme="majorEastAsia" w:hAnsiTheme="minorHAnsi" w:cstheme="minorHAnsi"/>
          <w:sz w:val="22"/>
          <w:szCs w:val="22"/>
        </w:rPr>
      </w:pPr>
      <w:r w:rsidRPr="00FA574B">
        <w:rPr>
          <w:rStyle w:val="normaltextrun"/>
          <w:rFonts w:asciiTheme="minorHAnsi" w:eastAsiaTheme="majorEastAsia" w:hAnsiTheme="minorHAnsi" w:cstheme="minorHAnsi"/>
          <w:sz w:val="22"/>
          <w:szCs w:val="22"/>
        </w:rPr>
        <w:t xml:space="preserve">In Australia, parental unemployment is a leading cause of childhood poverty. Parental joblessness can reduce economic and financial resources, impose significant barriers to parents investing in their children’s development, divert parental attention and cause stress with the family, reduce social </w:t>
      </w:r>
      <w:r w:rsidRPr="00FA574B">
        <w:rPr>
          <w:rStyle w:val="normaltextrun"/>
          <w:rFonts w:asciiTheme="minorHAnsi" w:eastAsiaTheme="majorEastAsia" w:hAnsiTheme="minorHAnsi" w:cstheme="minorHAnsi"/>
          <w:sz w:val="22"/>
          <w:szCs w:val="22"/>
        </w:rPr>
        <w:lastRenderedPageBreak/>
        <w:t>connections and model jobless behaviour for children. All these factors may contribute to worse outcomes in adulthood.</w:t>
      </w:r>
      <w:r w:rsidRPr="00FA574B">
        <w:rPr>
          <w:rStyle w:val="FootnoteReference"/>
          <w:rFonts w:asciiTheme="minorHAnsi" w:eastAsiaTheme="majorEastAsia" w:hAnsiTheme="minorHAnsi" w:cstheme="minorHAnsi"/>
          <w:sz w:val="22"/>
          <w:szCs w:val="22"/>
        </w:rPr>
        <w:footnoteReference w:id="22"/>
      </w:r>
    </w:p>
    <w:p w14:paraId="21667292" w14:textId="51FBEFEE" w:rsidR="00CB2781" w:rsidRPr="00FA574B" w:rsidRDefault="00CB2781" w:rsidP="00CB2781">
      <w:pPr>
        <w:pStyle w:val="Heading2"/>
      </w:pPr>
      <w:bookmarkStart w:id="19" w:name="_Toc151123102"/>
      <w:r>
        <w:t>3.4</w:t>
      </w:r>
      <w:r>
        <w:tab/>
        <w:t>Past measures</w:t>
      </w:r>
      <w:bookmarkEnd w:id="19"/>
    </w:p>
    <w:p w14:paraId="76C92401" w14:textId="25F3C1A9" w:rsidR="00585326" w:rsidRDefault="00585326" w:rsidP="00585326">
      <w:pPr>
        <w:pStyle w:val="paragraph"/>
        <w:spacing w:before="0" w:beforeAutospacing="0" w:after="200" w:afterAutospacing="0" w:line="276" w:lineRule="auto"/>
        <w:textAlignment w:val="baseline"/>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Place-based trials of pre-employment support for parents, usually Parenting Payment recipients whose youngest child was under 6 years of age, were conducted </w:t>
      </w:r>
      <w:r w:rsidR="000A4CC0">
        <w:rPr>
          <w:rStyle w:val="normaltextrun"/>
          <w:rFonts w:asciiTheme="minorHAnsi" w:eastAsiaTheme="minorEastAsia" w:hAnsiTheme="minorHAnsi" w:cstheme="minorBidi"/>
          <w:sz w:val="22"/>
          <w:szCs w:val="22"/>
        </w:rPr>
        <w:t xml:space="preserve">from 2012 to 2018 in </w:t>
      </w:r>
      <w:r w:rsidRPr="006A778F">
        <w:rPr>
          <w:rStyle w:val="normaltextrun"/>
          <w:rFonts w:asciiTheme="minorHAnsi" w:eastAsiaTheme="minorEastAsia" w:hAnsiTheme="minorHAnsi" w:cstheme="minorBidi"/>
          <w:sz w:val="22"/>
          <w:szCs w:val="22"/>
        </w:rPr>
        <w:t>10 Local Government Areas with high levels of disadvantage</w:t>
      </w:r>
      <w:r>
        <w:rPr>
          <w:rStyle w:val="normaltextrun"/>
          <w:rFonts w:asciiTheme="minorHAnsi" w:eastAsiaTheme="minorEastAsia" w:hAnsiTheme="minorHAnsi" w:cstheme="minorBidi"/>
          <w:sz w:val="22"/>
          <w:szCs w:val="22"/>
        </w:rPr>
        <w:t>. Participants were required to attend compulsory appointments (usually six monthly, depending on the age of the youngest child) and activities.</w:t>
      </w:r>
      <w:r>
        <w:rPr>
          <w:rStyle w:val="FootnoteReference"/>
          <w:rFonts w:asciiTheme="minorHAnsi" w:eastAsiaTheme="minorEastAsia" w:hAnsiTheme="minorHAnsi" w:cstheme="minorBidi"/>
          <w:sz w:val="22"/>
          <w:szCs w:val="22"/>
        </w:rPr>
        <w:footnoteReference w:id="23"/>
      </w:r>
    </w:p>
    <w:p w14:paraId="1D774103" w14:textId="77777777" w:rsidR="00585326" w:rsidRPr="00B066E7" w:rsidRDefault="00585326" w:rsidP="00A40BD4">
      <w:pPr>
        <w:pStyle w:val="paragraph"/>
        <w:numPr>
          <w:ilvl w:val="0"/>
          <w:numId w:val="12"/>
        </w:numPr>
        <w:spacing w:before="0" w:beforeAutospacing="0" w:after="200" w:afterAutospacing="0" w:line="276" w:lineRule="auto"/>
        <w:textAlignment w:val="baseline"/>
        <w:rPr>
          <w:rStyle w:val="normaltextrun"/>
          <w:rFonts w:asciiTheme="minorHAnsi" w:eastAsiaTheme="minorEastAsia" w:hAnsiTheme="minorHAnsi" w:cstheme="minorHAnsi"/>
          <w:sz w:val="22"/>
          <w:szCs w:val="22"/>
        </w:rPr>
      </w:pPr>
      <w:bookmarkStart w:id="20" w:name="_Toc142043059"/>
      <w:r w:rsidRPr="00B066E7">
        <w:rPr>
          <w:rStyle w:val="normaltextrun"/>
          <w:rFonts w:asciiTheme="minorHAnsi" w:eastAsiaTheme="minorEastAsia" w:hAnsiTheme="minorHAnsi" w:cstheme="minorHAnsi"/>
          <w:sz w:val="22"/>
          <w:szCs w:val="22"/>
        </w:rPr>
        <w:t xml:space="preserve">The Helping Young Parents trial operated in from 1 January 2012 to 31 March 2016. The </w:t>
      </w:r>
      <w:r w:rsidRPr="007716F0">
        <w:rPr>
          <w:rStyle w:val="normaltextrun"/>
          <w:rFonts w:asciiTheme="minorHAnsi" w:eastAsiaTheme="minorEastAsia" w:hAnsiTheme="minorHAnsi" w:cstheme="minorHAnsi"/>
          <w:sz w:val="22"/>
          <w:szCs w:val="22"/>
        </w:rPr>
        <w:t>trial</w:t>
      </w:r>
      <w:r w:rsidRPr="00B066E7">
        <w:rPr>
          <w:rStyle w:val="normaltextrun"/>
          <w:rFonts w:asciiTheme="minorHAnsi" w:eastAsiaTheme="minorEastAsia" w:hAnsiTheme="minorHAnsi" w:cstheme="minorHAnsi"/>
          <w:sz w:val="22"/>
          <w:szCs w:val="22"/>
        </w:rPr>
        <w:t xml:space="preserve"> aimed to improve the education of teenage parents</w:t>
      </w:r>
      <w:r w:rsidRPr="00533F37">
        <w:rPr>
          <w:rStyle w:val="normaltextrun"/>
          <w:rFonts w:asciiTheme="minorHAnsi" w:eastAsiaTheme="minorEastAsia" w:hAnsiTheme="minorHAnsi" w:cstheme="minorHAnsi"/>
          <w:sz w:val="22"/>
          <w:szCs w:val="22"/>
        </w:rPr>
        <w:t xml:space="preserve"> </w:t>
      </w:r>
      <w:r w:rsidRPr="007716F0">
        <w:rPr>
          <w:rStyle w:val="normaltextrun"/>
          <w:rFonts w:asciiTheme="minorHAnsi" w:eastAsiaTheme="minorEastAsia" w:hAnsiTheme="minorHAnsi" w:cstheme="minorHAnsi"/>
          <w:sz w:val="22"/>
          <w:szCs w:val="22"/>
        </w:rPr>
        <w:t>who were early school leavers,</w:t>
      </w:r>
      <w:r w:rsidRPr="00B066E7">
        <w:rPr>
          <w:rStyle w:val="normaltextrun"/>
          <w:rFonts w:asciiTheme="minorHAnsi" w:eastAsiaTheme="minorEastAsia" w:hAnsiTheme="minorHAnsi" w:cstheme="minorHAnsi"/>
          <w:sz w:val="22"/>
          <w:szCs w:val="22"/>
        </w:rPr>
        <w:t xml:space="preserve"> address non</w:t>
      </w:r>
      <w:r>
        <w:rPr>
          <w:rStyle w:val="normaltextrun"/>
          <w:rFonts w:asciiTheme="minorHAnsi" w:eastAsiaTheme="minorEastAsia" w:hAnsiTheme="minorHAnsi" w:cstheme="minorHAnsi"/>
          <w:sz w:val="22"/>
          <w:szCs w:val="22"/>
        </w:rPr>
        <w:noBreakHyphen/>
      </w:r>
      <w:r w:rsidRPr="00B066E7">
        <w:rPr>
          <w:rStyle w:val="normaltextrun"/>
          <w:rFonts w:asciiTheme="minorHAnsi" w:eastAsiaTheme="minorEastAsia" w:hAnsiTheme="minorHAnsi" w:cstheme="minorHAnsi"/>
          <w:sz w:val="22"/>
          <w:szCs w:val="22"/>
        </w:rPr>
        <w:t xml:space="preserve">vocational barriers and improve </w:t>
      </w:r>
      <w:r>
        <w:rPr>
          <w:rStyle w:val="normaltextrun"/>
          <w:rFonts w:asciiTheme="minorHAnsi" w:eastAsiaTheme="minorEastAsia" w:hAnsiTheme="minorHAnsi" w:cstheme="minorHAnsi"/>
          <w:sz w:val="22"/>
          <w:szCs w:val="22"/>
        </w:rPr>
        <w:t xml:space="preserve">the </w:t>
      </w:r>
      <w:r w:rsidRPr="00B066E7">
        <w:rPr>
          <w:rStyle w:val="normaltextrun"/>
          <w:rFonts w:asciiTheme="minorHAnsi" w:eastAsiaTheme="minorEastAsia" w:hAnsiTheme="minorHAnsi" w:cstheme="minorHAnsi"/>
          <w:sz w:val="22"/>
          <w:szCs w:val="22"/>
        </w:rPr>
        <w:t>future employment prospects of young parents</w:t>
      </w:r>
      <w:r w:rsidRPr="007716F0">
        <w:rPr>
          <w:rStyle w:val="normaltextrun"/>
          <w:rFonts w:asciiTheme="minorHAnsi" w:eastAsiaTheme="minorEastAsia" w:hAnsiTheme="minorHAnsi" w:cstheme="minorHAnsi"/>
          <w:sz w:val="22"/>
          <w:szCs w:val="22"/>
        </w:rPr>
        <w:t>.</w:t>
      </w:r>
    </w:p>
    <w:p w14:paraId="0305D34E" w14:textId="362D279A" w:rsidR="00585326" w:rsidRPr="00B066E7" w:rsidRDefault="00585326" w:rsidP="00A40BD4">
      <w:pPr>
        <w:pStyle w:val="paragraph"/>
        <w:numPr>
          <w:ilvl w:val="0"/>
          <w:numId w:val="12"/>
        </w:numPr>
        <w:spacing w:before="0" w:beforeAutospacing="0" w:after="200" w:afterAutospacing="0" w:line="276" w:lineRule="auto"/>
        <w:textAlignment w:val="baseline"/>
        <w:rPr>
          <w:rStyle w:val="normaltextrun"/>
          <w:rFonts w:asciiTheme="minorHAnsi" w:eastAsiaTheme="minorEastAsia" w:hAnsiTheme="minorHAnsi" w:cstheme="minorHAnsi"/>
          <w:sz w:val="22"/>
          <w:szCs w:val="22"/>
        </w:rPr>
      </w:pPr>
      <w:r w:rsidRPr="00B066E7">
        <w:rPr>
          <w:rStyle w:val="normaltextrun"/>
          <w:rFonts w:asciiTheme="minorHAnsi" w:eastAsiaTheme="minorEastAsia" w:hAnsiTheme="minorHAnsi" w:cstheme="minorHAnsi"/>
          <w:sz w:val="22"/>
          <w:szCs w:val="22"/>
        </w:rPr>
        <w:t xml:space="preserve">The Supporting Jobless Families trial </w:t>
      </w:r>
      <w:r>
        <w:rPr>
          <w:rStyle w:val="normaltextrun"/>
          <w:rFonts w:asciiTheme="minorHAnsi" w:eastAsiaTheme="minorEastAsia" w:hAnsiTheme="minorHAnsi" w:cstheme="minorHAnsi"/>
          <w:sz w:val="22"/>
          <w:szCs w:val="22"/>
        </w:rPr>
        <w:t>ran</w:t>
      </w:r>
      <w:r w:rsidRPr="00B066E7">
        <w:rPr>
          <w:rStyle w:val="normaltextrun"/>
          <w:rFonts w:asciiTheme="minorHAnsi" w:eastAsiaTheme="minorEastAsia" w:hAnsiTheme="minorHAnsi" w:cstheme="minorHAnsi"/>
          <w:sz w:val="22"/>
          <w:szCs w:val="22"/>
        </w:rPr>
        <w:t xml:space="preserve"> from 1 July 2012 to 31 March 2016. The trial was primarily focused on addressing pre-vocational barriers and preparing young parents (under 2</w:t>
      </w:r>
      <w:r w:rsidR="00212C69">
        <w:rPr>
          <w:rStyle w:val="normaltextrun"/>
          <w:rFonts w:asciiTheme="minorHAnsi" w:eastAsiaTheme="minorEastAsia" w:hAnsiTheme="minorHAnsi" w:cstheme="minorHAnsi"/>
          <w:sz w:val="22"/>
          <w:szCs w:val="22"/>
        </w:rPr>
        <w:t>2</w:t>
      </w:r>
      <w:r w:rsidR="00C23B13">
        <w:rPr>
          <w:rStyle w:val="normaltextrun"/>
          <w:rFonts w:asciiTheme="minorHAnsi" w:eastAsiaTheme="minorEastAsia" w:hAnsiTheme="minorHAnsi" w:cstheme="minorHAnsi"/>
          <w:sz w:val="22"/>
          <w:szCs w:val="22"/>
        </w:rPr>
        <w:t> years</w:t>
      </w:r>
      <w:r w:rsidRPr="00B066E7">
        <w:rPr>
          <w:rStyle w:val="normaltextrun"/>
          <w:rFonts w:asciiTheme="minorHAnsi" w:eastAsiaTheme="minorEastAsia" w:hAnsiTheme="minorHAnsi" w:cstheme="minorHAnsi"/>
          <w:sz w:val="22"/>
          <w:szCs w:val="22"/>
        </w:rPr>
        <w:t xml:space="preserve">) or </w:t>
      </w:r>
      <w:r w:rsidRPr="007716F0">
        <w:rPr>
          <w:rStyle w:val="normaltextrun"/>
          <w:rFonts w:asciiTheme="minorHAnsi" w:eastAsiaTheme="minorEastAsia" w:hAnsiTheme="minorHAnsi" w:cstheme="minorHAnsi"/>
          <w:sz w:val="22"/>
          <w:szCs w:val="22"/>
        </w:rPr>
        <w:t xml:space="preserve">parents who were </w:t>
      </w:r>
      <w:r w:rsidRPr="00B066E7">
        <w:rPr>
          <w:rStyle w:val="normaltextrun"/>
          <w:rFonts w:asciiTheme="minorHAnsi" w:eastAsiaTheme="minorEastAsia" w:hAnsiTheme="minorHAnsi" w:cstheme="minorHAnsi"/>
          <w:sz w:val="22"/>
          <w:szCs w:val="22"/>
        </w:rPr>
        <w:t xml:space="preserve">long term unemployed (on income support for </w:t>
      </w:r>
      <w:r w:rsidR="00C23B13">
        <w:rPr>
          <w:rStyle w:val="normaltextrun"/>
          <w:rFonts w:asciiTheme="minorHAnsi" w:eastAsiaTheme="minorEastAsia" w:hAnsiTheme="minorHAnsi" w:cstheme="minorHAnsi"/>
          <w:sz w:val="22"/>
          <w:szCs w:val="22"/>
        </w:rPr>
        <w:t>2</w:t>
      </w:r>
      <w:r w:rsidR="00C23B13" w:rsidRPr="00B066E7">
        <w:rPr>
          <w:rStyle w:val="normaltextrun"/>
          <w:rFonts w:asciiTheme="minorHAnsi" w:eastAsiaTheme="minorEastAsia" w:hAnsiTheme="minorHAnsi" w:cstheme="minorHAnsi"/>
          <w:sz w:val="22"/>
          <w:szCs w:val="22"/>
        </w:rPr>
        <w:t xml:space="preserve"> </w:t>
      </w:r>
      <w:r w:rsidRPr="00B066E7">
        <w:rPr>
          <w:rStyle w:val="normaltextrun"/>
          <w:rFonts w:asciiTheme="minorHAnsi" w:eastAsiaTheme="minorEastAsia" w:hAnsiTheme="minorHAnsi" w:cstheme="minorHAnsi"/>
          <w:sz w:val="22"/>
          <w:szCs w:val="22"/>
        </w:rPr>
        <w:t>years or more) for participation in the labour market</w:t>
      </w:r>
      <w:r w:rsidRPr="007236C0">
        <w:rPr>
          <w:rStyle w:val="normaltextrun"/>
          <w:rFonts w:asciiTheme="minorHAnsi" w:eastAsiaTheme="minorEastAsia" w:hAnsiTheme="minorHAnsi" w:cstheme="minorHAnsi"/>
          <w:sz w:val="22"/>
          <w:szCs w:val="22"/>
        </w:rPr>
        <w:t xml:space="preserve"> </w:t>
      </w:r>
      <w:r w:rsidRPr="00256D18">
        <w:rPr>
          <w:rStyle w:val="normaltextrun"/>
          <w:rFonts w:asciiTheme="minorHAnsi" w:eastAsiaTheme="minorEastAsia" w:hAnsiTheme="minorHAnsi" w:cstheme="minorHAnsi"/>
          <w:sz w:val="22"/>
          <w:szCs w:val="22"/>
        </w:rPr>
        <w:t>once their youngest child</w:t>
      </w:r>
      <w:r w:rsidRPr="007236C0">
        <w:rPr>
          <w:rStyle w:val="normaltextrun"/>
          <w:rFonts w:asciiTheme="minorHAnsi" w:eastAsiaTheme="minorEastAsia" w:hAnsiTheme="minorHAnsi" w:cstheme="minorHAnsi"/>
          <w:sz w:val="22"/>
          <w:szCs w:val="22"/>
        </w:rPr>
        <w:t xml:space="preserve"> </w:t>
      </w:r>
      <w:r w:rsidRPr="00417A18">
        <w:rPr>
          <w:rStyle w:val="normaltextrun"/>
          <w:rFonts w:asciiTheme="minorHAnsi" w:eastAsiaTheme="minorEastAsia" w:hAnsiTheme="minorHAnsi" w:cstheme="minorHAnsi"/>
          <w:sz w:val="22"/>
          <w:szCs w:val="22"/>
        </w:rPr>
        <w:t>was school age</w:t>
      </w:r>
      <w:r w:rsidRPr="00B066E7">
        <w:rPr>
          <w:rStyle w:val="normaltextrun"/>
          <w:rFonts w:asciiTheme="minorHAnsi" w:eastAsiaTheme="minorEastAsia" w:hAnsiTheme="minorHAnsi" w:cstheme="minorHAnsi"/>
          <w:sz w:val="22"/>
          <w:szCs w:val="22"/>
        </w:rPr>
        <w:t>.</w:t>
      </w:r>
    </w:p>
    <w:p w14:paraId="11880831" w14:textId="7D5511E3" w:rsidR="00585326" w:rsidRPr="002F4EA5" w:rsidRDefault="00585326" w:rsidP="00A40BD4">
      <w:pPr>
        <w:pStyle w:val="paragraph"/>
        <w:numPr>
          <w:ilvl w:val="0"/>
          <w:numId w:val="12"/>
        </w:numPr>
        <w:spacing w:before="0" w:beforeAutospacing="0" w:after="200" w:afterAutospacing="0" w:line="276" w:lineRule="auto"/>
        <w:textAlignment w:val="baseline"/>
        <w:rPr>
          <w:rStyle w:val="normaltextrun"/>
          <w:rFonts w:asciiTheme="minorHAnsi" w:eastAsiaTheme="minorEastAsia" w:hAnsiTheme="minorHAnsi" w:cstheme="minorHAnsi"/>
          <w:sz w:val="22"/>
          <w:szCs w:val="22"/>
        </w:rPr>
      </w:pPr>
      <w:r w:rsidRPr="002F4EA5">
        <w:rPr>
          <w:rStyle w:val="normaltextrun"/>
          <w:rFonts w:asciiTheme="minorHAnsi" w:eastAsiaTheme="minorEastAsia" w:hAnsiTheme="minorHAnsi" w:cstheme="minorHAnsi"/>
          <w:sz w:val="22"/>
          <w:szCs w:val="22"/>
        </w:rPr>
        <w:t>ParentsNext succeeded the Helping Young Parents and Supporting Jobless Families trials in April 2016</w:t>
      </w:r>
      <w:r>
        <w:rPr>
          <w:rStyle w:val="normaltextrun"/>
          <w:rFonts w:asciiTheme="minorHAnsi" w:eastAsiaTheme="minorEastAsia" w:hAnsiTheme="minorHAnsi" w:cstheme="minorHAnsi"/>
          <w:sz w:val="22"/>
          <w:szCs w:val="22"/>
        </w:rPr>
        <w:t xml:space="preserve"> as a small scale program </w:t>
      </w:r>
      <w:r w:rsidRPr="002F4EA5">
        <w:rPr>
          <w:rStyle w:val="normaltextrun"/>
          <w:rFonts w:asciiTheme="minorHAnsi" w:eastAsiaTheme="minorEastAsia" w:hAnsiTheme="minorHAnsi" w:cstheme="minorHAnsi"/>
          <w:sz w:val="22"/>
          <w:szCs w:val="22"/>
        </w:rPr>
        <w:t xml:space="preserve">to </w:t>
      </w:r>
      <w:r w:rsidRPr="00B066E7">
        <w:rPr>
          <w:rStyle w:val="normaltextrun"/>
          <w:rFonts w:asciiTheme="minorHAnsi" w:eastAsiaTheme="minorEastAsia" w:hAnsiTheme="minorHAnsi" w:cstheme="minorHAnsi"/>
          <w:sz w:val="22"/>
          <w:szCs w:val="22"/>
        </w:rPr>
        <w:t xml:space="preserve">help eligible parents plan and prepare for employment by the time their youngest child reached school age. </w:t>
      </w:r>
      <w:r>
        <w:rPr>
          <w:rStyle w:val="normaltextrun"/>
          <w:rFonts w:asciiTheme="minorHAnsi" w:eastAsiaTheme="minorEastAsia" w:hAnsiTheme="minorHAnsi" w:cstheme="minorHAnsi"/>
          <w:sz w:val="22"/>
          <w:szCs w:val="22"/>
        </w:rPr>
        <w:t>While it</w:t>
      </w:r>
      <w:r w:rsidRPr="002F4EA5">
        <w:rPr>
          <w:rStyle w:val="normaltextrun"/>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sz w:val="22"/>
          <w:szCs w:val="22"/>
        </w:rPr>
        <w:t xml:space="preserve">was </w:t>
      </w:r>
      <w:r w:rsidRPr="002F4EA5">
        <w:rPr>
          <w:rStyle w:val="normaltextrun"/>
          <w:rFonts w:asciiTheme="minorHAnsi" w:eastAsiaTheme="minorEastAsia" w:hAnsiTheme="minorHAnsi" w:cstheme="minorHAnsi"/>
          <w:sz w:val="22"/>
          <w:szCs w:val="22"/>
        </w:rPr>
        <w:t xml:space="preserve">primarily for Parenting Payment recipients whose youngest child was between 6 months and 6 years of age, service providers could engage </w:t>
      </w:r>
      <w:r w:rsidRPr="00B066E7">
        <w:rPr>
          <w:rStyle w:val="normaltextrun"/>
          <w:rFonts w:asciiTheme="minorHAnsi" w:eastAsiaTheme="minorEastAsia" w:hAnsiTheme="minorHAnsi" w:cstheme="minorHAnsi"/>
          <w:sz w:val="22"/>
          <w:szCs w:val="22"/>
        </w:rPr>
        <w:t>voluntary participants not receiving income support</w:t>
      </w:r>
      <w:r w:rsidRPr="002F4EA5">
        <w:rPr>
          <w:rStyle w:val="normaltextrun"/>
          <w:rFonts w:asciiTheme="minorHAnsi" w:eastAsiaTheme="minorEastAsia" w:hAnsiTheme="minorHAnsi" w:cstheme="minorHAnsi"/>
          <w:sz w:val="22"/>
          <w:szCs w:val="22"/>
        </w:rPr>
        <w:t>.</w:t>
      </w:r>
    </w:p>
    <w:p w14:paraId="2AAF03C4" w14:textId="548CE81E" w:rsidR="00585326" w:rsidRDefault="00585326" w:rsidP="00585326">
      <w:pPr>
        <w:spacing w:after="160" w:line="257" w:lineRule="auto"/>
        <w:rPr>
          <w:rFonts w:ascii="Calibri" w:eastAsia="Calibri" w:hAnsi="Calibri" w:cs="Calibri"/>
        </w:rPr>
      </w:pPr>
      <w:r>
        <w:rPr>
          <w:rStyle w:val="normaltextrun"/>
          <w:rFonts w:eastAsiaTheme="minorEastAsia"/>
        </w:rPr>
        <w:t>ParentsNext was expanded across non-remote Australia in mid-2018 building on experience from the trials with 2 servicing</w:t>
      </w:r>
      <w:r>
        <w:rPr>
          <w:rStyle w:val="normaltextrun"/>
          <w:rFonts w:eastAsiaTheme="minorEastAsia" w:cstheme="minorHAnsi"/>
        </w:rPr>
        <w:t xml:space="preserve"> streams: </w:t>
      </w:r>
      <w:r w:rsidRPr="2E76135C">
        <w:rPr>
          <w:rFonts w:ascii="Calibri" w:eastAsia="Calibri" w:hAnsi="Calibri" w:cs="Calibri"/>
        </w:rPr>
        <w:t xml:space="preserve">an intensive stream in </w:t>
      </w:r>
      <w:r>
        <w:rPr>
          <w:rFonts w:ascii="Calibri" w:eastAsia="Calibri" w:hAnsi="Calibri" w:cs="Calibri"/>
        </w:rPr>
        <w:t xml:space="preserve">the 10 previous trial locations and </w:t>
      </w:r>
      <w:r w:rsidRPr="00B066E7">
        <w:t>20</w:t>
      </w:r>
      <w:r w:rsidR="00241608">
        <w:t xml:space="preserve"> </w:t>
      </w:r>
      <w:r>
        <w:t xml:space="preserve">additional </w:t>
      </w:r>
      <w:r w:rsidRPr="00B066E7">
        <w:t>locations</w:t>
      </w:r>
      <w:r>
        <w:rPr>
          <w:rFonts w:ascii="Calibri" w:eastAsia="Calibri" w:hAnsi="Calibri" w:cs="Calibri"/>
        </w:rPr>
        <w:t xml:space="preserve"> where a high proportion of Parenting Payment recipients were First Nations parents</w:t>
      </w:r>
      <w:r w:rsidRPr="2E76135C">
        <w:rPr>
          <w:rFonts w:ascii="Calibri" w:eastAsia="Calibri" w:hAnsi="Calibri" w:cs="Calibri"/>
        </w:rPr>
        <w:t xml:space="preserve">; and a targeted stream in all </w:t>
      </w:r>
      <w:r>
        <w:rPr>
          <w:rFonts w:ascii="Calibri" w:eastAsia="Calibri" w:hAnsi="Calibri" w:cs="Calibri"/>
        </w:rPr>
        <w:t xml:space="preserve">other </w:t>
      </w:r>
      <w:r w:rsidRPr="2E76135C">
        <w:rPr>
          <w:rFonts w:ascii="Calibri" w:eastAsia="Calibri" w:hAnsi="Calibri" w:cs="Calibri"/>
        </w:rPr>
        <w:t>non-remote locations.</w:t>
      </w:r>
      <w:r>
        <w:rPr>
          <w:rFonts w:ascii="Calibri" w:eastAsia="Calibri" w:hAnsi="Calibri" w:cs="Calibri"/>
        </w:rPr>
        <w:t xml:space="preserve"> Although the core services were similar, additional resources were available for providers to help participants in intensive stream locations. Implementation coincided with the introduction of the </w:t>
      </w:r>
      <w:r w:rsidRPr="08BA8C3A">
        <w:rPr>
          <w:rFonts w:ascii="Calibri" w:eastAsia="Calibri" w:hAnsi="Calibri" w:cs="Calibri"/>
        </w:rPr>
        <w:t>Targeted Compliance Framework. Participants were required to attend quarterly appointments, agree to a participation plan, and include and participate in at least one compulsory activity.</w:t>
      </w:r>
      <w:r w:rsidR="00C23B13">
        <w:rPr>
          <w:rFonts w:ascii="Calibri" w:eastAsia="Calibri" w:hAnsi="Calibri" w:cs="Calibri"/>
        </w:rPr>
        <w:t xml:space="preserve"> </w:t>
      </w:r>
      <w:r w:rsidR="00692D4D">
        <w:rPr>
          <w:rFonts w:ascii="Calibri" w:eastAsia="Calibri" w:hAnsi="Calibri" w:cs="Calibri"/>
        </w:rPr>
        <w:t>In</w:t>
      </w:r>
      <w:r w:rsidR="00C23B13">
        <w:rPr>
          <w:rFonts w:ascii="Calibri" w:eastAsia="Calibri" w:hAnsi="Calibri" w:cs="Calibri"/>
        </w:rPr>
        <w:t xml:space="preserve"> 2021, </w:t>
      </w:r>
      <w:r w:rsidR="00437EA0">
        <w:rPr>
          <w:rFonts w:ascii="Calibri" w:eastAsia="Calibri" w:hAnsi="Calibri" w:cs="Calibri"/>
        </w:rPr>
        <w:t>ParentsNext</w:t>
      </w:r>
      <w:r w:rsidR="00C23B13">
        <w:rPr>
          <w:rFonts w:ascii="Calibri" w:eastAsia="Calibri" w:hAnsi="Calibri" w:cs="Calibri"/>
        </w:rPr>
        <w:t xml:space="preserve"> was </w:t>
      </w:r>
      <w:r w:rsidR="00437EA0">
        <w:rPr>
          <w:rFonts w:ascii="Calibri" w:eastAsia="Calibri" w:hAnsi="Calibri" w:cs="Calibri"/>
        </w:rPr>
        <w:t>streamlined into a single service with consistent eligibility criteria.</w:t>
      </w:r>
    </w:p>
    <w:p w14:paraId="29A23B0A" w14:textId="5A9A59E6" w:rsidR="002E1384" w:rsidRPr="002E1384" w:rsidRDefault="00F3110F" w:rsidP="002E1384">
      <w:pPr>
        <w:pStyle w:val="paragraph"/>
        <w:spacing w:before="0" w:beforeAutospacing="0" w:after="200" w:afterAutospacing="0" w:line="276" w:lineRule="auto"/>
        <w:textAlignment w:val="baseline"/>
        <w:rPr>
          <w:rStyle w:val="normaltextrun"/>
          <w:rFonts w:asciiTheme="minorHAnsi" w:eastAsiaTheme="minorEastAsia" w:hAnsiTheme="minorHAnsi" w:cstheme="minorBidi"/>
        </w:rPr>
      </w:pPr>
      <w:r w:rsidRPr="002E1384">
        <w:rPr>
          <w:rStyle w:val="normaltextrun"/>
          <w:rFonts w:asciiTheme="minorHAnsi" w:eastAsiaTheme="minorEastAsia" w:hAnsiTheme="minorHAnsi" w:cstheme="minorBidi"/>
          <w:sz w:val="22"/>
          <w:szCs w:val="22"/>
        </w:rPr>
        <w:t xml:space="preserve">Of the </w:t>
      </w:r>
      <w:r w:rsidR="00154903" w:rsidRPr="002E1384">
        <w:rPr>
          <w:rStyle w:val="normaltextrun"/>
          <w:rFonts w:asciiTheme="minorHAnsi" w:eastAsiaTheme="minorEastAsia" w:hAnsiTheme="minorHAnsi" w:cstheme="minorBidi"/>
          <w:sz w:val="22"/>
          <w:szCs w:val="22"/>
        </w:rPr>
        <w:t xml:space="preserve">53 </w:t>
      </w:r>
      <w:r w:rsidR="0027288A" w:rsidRPr="002E1384">
        <w:rPr>
          <w:rStyle w:val="normaltextrun"/>
          <w:rFonts w:asciiTheme="minorHAnsi" w:eastAsiaTheme="minorEastAsia" w:hAnsiTheme="minorHAnsi" w:cstheme="minorBidi"/>
          <w:sz w:val="22"/>
          <w:szCs w:val="22"/>
        </w:rPr>
        <w:t>current</w:t>
      </w:r>
      <w:r w:rsidR="00154903" w:rsidRPr="002E1384">
        <w:rPr>
          <w:rStyle w:val="normaltextrun"/>
          <w:rFonts w:asciiTheme="minorHAnsi" w:eastAsiaTheme="minorEastAsia" w:hAnsiTheme="minorHAnsi" w:cstheme="minorBidi"/>
          <w:sz w:val="22"/>
          <w:szCs w:val="22"/>
        </w:rPr>
        <w:t xml:space="preserve"> providers of ParentsNext, </w:t>
      </w:r>
      <w:r w:rsidR="00ED4015" w:rsidRPr="002E1384">
        <w:rPr>
          <w:rStyle w:val="normaltextrun"/>
          <w:rFonts w:asciiTheme="minorHAnsi" w:eastAsiaTheme="minorEastAsia" w:hAnsiTheme="minorHAnsi" w:cstheme="minorBidi"/>
          <w:sz w:val="22"/>
          <w:szCs w:val="22"/>
        </w:rPr>
        <w:t xml:space="preserve">42 </w:t>
      </w:r>
      <w:r w:rsidR="001C65BA" w:rsidRPr="002E1384">
        <w:rPr>
          <w:rStyle w:val="normaltextrun"/>
          <w:rFonts w:asciiTheme="minorHAnsi" w:eastAsiaTheme="minorEastAsia" w:hAnsiTheme="minorHAnsi" w:cstheme="minorBidi"/>
          <w:sz w:val="22"/>
          <w:szCs w:val="22"/>
        </w:rPr>
        <w:t xml:space="preserve">deliver </w:t>
      </w:r>
      <w:r w:rsidR="00330827" w:rsidRPr="002E1384">
        <w:rPr>
          <w:rStyle w:val="normaltextrun"/>
          <w:rFonts w:asciiTheme="minorHAnsi" w:eastAsiaTheme="minorEastAsia" w:hAnsiTheme="minorHAnsi" w:cstheme="minorBidi"/>
          <w:sz w:val="22"/>
          <w:szCs w:val="22"/>
        </w:rPr>
        <w:t>services</w:t>
      </w:r>
      <w:r w:rsidR="001C65BA" w:rsidRPr="002E1384">
        <w:rPr>
          <w:rStyle w:val="normaltextrun"/>
          <w:rFonts w:asciiTheme="minorHAnsi" w:eastAsiaTheme="minorEastAsia" w:hAnsiTheme="minorHAnsi" w:cstheme="minorBidi"/>
          <w:sz w:val="22"/>
          <w:szCs w:val="22"/>
        </w:rPr>
        <w:t xml:space="preserve"> across </w:t>
      </w:r>
      <w:r w:rsidR="00ED4015" w:rsidRPr="002E1384">
        <w:rPr>
          <w:rStyle w:val="normaltextrun"/>
          <w:rFonts w:asciiTheme="minorHAnsi" w:eastAsiaTheme="minorEastAsia" w:hAnsiTheme="minorHAnsi" w:cstheme="minorBidi"/>
          <w:sz w:val="22"/>
          <w:szCs w:val="22"/>
        </w:rPr>
        <w:t>entire Employment Regions</w:t>
      </w:r>
      <w:r w:rsidR="00330827" w:rsidRPr="002E1384">
        <w:rPr>
          <w:rStyle w:val="normaltextrun"/>
          <w:rFonts w:asciiTheme="minorHAnsi" w:eastAsiaTheme="minorEastAsia" w:hAnsiTheme="minorHAnsi" w:cstheme="minorBidi"/>
          <w:sz w:val="22"/>
          <w:szCs w:val="22"/>
        </w:rPr>
        <w:t xml:space="preserve">, </w:t>
      </w:r>
      <w:r w:rsidR="001C65BA" w:rsidRPr="002E1384">
        <w:rPr>
          <w:rStyle w:val="normaltextrun"/>
          <w:rFonts w:asciiTheme="minorHAnsi" w:eastAsiaTheme="minorEastAsia" w:hAnsiTheme="minorHAnsi" w:cstheme="minorBidi"/>
          <w:sz w:val="22"/>
          <w:szCs w:val="22"/>
        </w:rPr>
        <w:t>while 11 provider</w:t>
      </w:r>
      <w:r w:rsidR="00330827" w:rsidRPr="002E1384">
        <w:rPr>
          <w:rStyle w:val="normaltextrun"/>
          <w:rFonts w:asciiTheme="minorHAnsi" w:eastAsiaTheme="minorEastAsia" w:hAnsiTheme="minorHAnsi" w:cstheme="minorBidi"/>
          <w:sz w:val="22"/>
          <w:szCs w:val="22"/>
        </w:rPr>
        <w:t xml:space="preserve">s </w:t>
      </w:r>
      <w:r w:rsidR="00477CE9" w:rsidRPr="002E1384">
        <w:rPr>
          <w:rStyle w:val="normaltextrun"/>
          <w:rFonts w:asciiTheme="minorHAnsi" w:eastAsiaTheme="minorEastAsia" w:hAnsiTheme="minorHAnsi" w:cstheme="minorBidi"/>
          <w:sz w:val="22"/>
          <w:szCs w:val="22"/>
        </w:rPr>
        <w:t>deliver services</w:t>
      </w:r>
      <w:r w:rsidR="001C65BA" w:rsidRPr="002E1384">
        <w:rPr>
          <w:rStyle w:val="normaltextrun"/>
          <w:rFonts w:asciiTheme="minorHAnsi" w:eastAsiaTheme="minorEastAsia" w:hAnsiTheme="minorHAnsi" w:cstheme="minorBidi"/>
          <w:sz w:val="22"/>
          <w:szCs w:val="22"/>
        </w:rPr>
        <w:t xml:space="preserve"> in part of an </w:t>
      </w:r>
      <w:r w:rsidR="00477CE9" w:rsidRPr="002E1384">
        <w:rPr>
          <w:rStyle w:val="normaltextrun"/>
          <w:rFonts w:asciiTheme="minorHAnsi" w:eastAsiaTheme="minorEastAsia" w:hAnsiTheme="minorHAnsi" w:cstheme="minorBidi"/>
          <w:sz w:val="22"/>
          <w:szCs w:val="22"/>
        </w:rPr>
        <w:t>Employment</w:t>
      </w:r>
      <w:r w:rsidR="001C65BA" w:rsidRPr="002E1384">
        <w:rPr>
          <w:rStyle w:val="normaltextrun"/>
          <w:rFonts w:asciiTheme="minorHAnsi" w:eastAsiaTheme="minorEastAsia" w:hAnsiTheme="minorHAnsi" w:cstheme="minorBidi"/>
          <w:sz w:val="22"/>
          <w:szCs w:val="22"/>
        </w:rPr>
        <w:t xml:space="preserve"> Region.</w:t>
      </w:r>
      <w:r w:rsidR="0062263A" w:rsidRPr="002E1384">
        <w:rPr>
          <w:rStyle w:val="normaltextrun"/>
          <w:rFonts w:asciiTheme="minorHAnsi" w:eastAsiaTheme="minorEastAsia" w:hAnsiTheme="minorHAnsi" w:cstheme="minorBidi"/>
          <w:sz w:val="22"/>
          <w:szCs w:val="22"/>
        </w:rPr>
        <w:t xml:space="preserve"> </w:t>
      </w:r>
      <w:r w:rsidR="009F44E9" w:rsidRPr="002E1384">
        <w:rPr>
          <w:rStyle w:val="normaltextrun"/>
          <w:rFonts w:asciiTheme="minorHAnsi" w:eastAsiaTheme="minorEastAsia" w:hAnsiTheme="minorHAnsi" w:cstheme="minorBidi"/>
          <w:sz w:val="22"/>
          <w:szCs w:val="22"/>
        </w:rPr>
        <w:t>There are 28 providers delivering ParentsNext in 2 or more Employment Regions.</w:t>
      </w:r>
      <w:r w:rsidR="003320D5" w:rsidRPr="002E1384">
        <w:rPr>
          <w:rStyle w:val="normaltextrun"/>
          <w:rFonts w:asciiTheme="minorHAnsi" w:eastAsiaTheme="minorEastAsia" w:hAnsiTheme="minorHAnsi" w:cstheme="minorBidi"/>
          <w:sz w:val="22"/>
          <w:szCs w:val="22"/>
        </w:rPr>
        <w:t xml:space="preserve"> </w:t>
      </w:r>
      <w:r w:rsidR="00EF53C3" w:rsidRPr="002E1384">
        <w:rPr>
          <w:rStyle w:val="normaltextrun"/>
          <w:rFonts w:asciiTheme="minorHAnsi" w:eastAsiaTheme="minorEastAsia" w:hAnsiTheme="minorHAnsi" w:cstheme="minorBidi"/>
          <w:sz w:val="22"/>
          <w:szCs w:val="22"/>
        </w:rPr>
        <w:t>All ParentsNext providers deliver other services</w:t>
      </w:r>
      <w:r w:rsidR="00D913CC" w:rsidRPr="002E1384">
        <w:rPr>
          <w:rStyle w:val="normaltextrun"/>
          <w:rFonts w:asciiTheme="minorHAnsi" w:eastAsiaTheme="minorEastAsia" w:hAnsiTheme="minorHAnsi" w:cstheme="minorBidi"/>
          <w:sz w:val="22"/>
          <w:szCs w:val="22"/>
        </w:rPr>
        <w:t xml:space="preserve"> and programs</w:t>
      </w:r>
      <w:r w:rsidR="00EF53C3" w:rsidRPr="002E1384">
        <w:rPr>
          <w:rStyle w:val="normaltextrun"/>
          <w:rFonts w:asciiTheme="minorHAnsi" w:eastAsiaTheme="minorEastAsia" w:hAnsiTheme="minorHAnsi" w:cstheme="minorBidi"/>
          <w:sz w:val="22"/>
          <w:szCs w:val="22"/>
        </w:rPr>
        <w:t xml:space="preserve"> in the community</w:t>
      </w:r>
      <w:r w:rsidR="00D913CC" w:rsidRPr="002E1384">
        <w:rPr>
          <w:rStyle w:val="normaltextrun"/>
          <w:rFonts w:asciiTheme="minorHAnsi" w:eastAsiaTheme="minorEastAsia" w:hAnsiTheme="minorHAnsi" w:cstheme="minorBidi"/>
          <w:sz w:val="22"/>
          <w:szCs w:val="22"/>
        </w:rPr>
        <w:t>,</w:t>
      </w:r>
      <w:r w:rsidR="00EF53C3" w:rsidRPr="002E1384">
        <w:rPr>
          <w:rStyle w:val="normaltextrun"/>
          <w:rFonts w:asciiTheme="minorHAnsi" w:eastAsiaTheme="minorEastAsia" w:hAnsiTheme="minorHAnsi" w:cstheme="minorBidi"/>
          <w:sz w:val="22"/>
          <w:szCs w:val="22"/>
        </w:rPr>
        <w:t xml:space="preserve"> </w:t>
      </w:r>
      <w:r w:rsidR="002A6B94" w:rsidRPr="002E1384">
        <w:rPr>
          <w:rStyle w:val="normaltextrun"/>
          <w:rFonts w:asciiTheme="minorHAnsi" w:eastAsiaTheme="minorEastAsia" w:hAnsiTheme="minorHAnsi" w:cstheme="minorBidi"/>
          <w:sz w:val="22"/>
          <w:szCs w:val="22"/>
        </w:rPr>
        <w:t xml:space="preserve">variously in areas </w:t>
      </w:r>
      <w:r w:rsidR="008028DE" w:rsidRPr="002E1384">
        <w:rPr>
          <w:rStyle w:val="normaltextrun"/>
          <w:rFonts w:asciiTheme="minorHAnsi" w:eastAsiaTheme="minorEastAsia" w:hAnsiTheme="minorHAnsi" w:cstheme="minorBidi"/>
          <w:sz w:val="22"/>
          <w:szCs w:val="22"/>
        </w:rPr>
        <w:t xml:space="preserve">such as </w:t>
      </w:r>
      <w:r w:rsidR="00732D03" w:rsidRPr="002E1384">
        <w:rPr>
          <w:rStyle w:val="normaltextrun"/>
          <w:rFonts w:asciiTheme="minorHAnsi" w:eastAsiaTheme="minorEastAsia" w:hAnsiTheme="minorHAnsi" w:cstheme="minorBidi"/>
          <w:sz w:val="22"/>
          <w:szCs w:val="22"/>
        </w:rPr>
        <w:t>recruitment</w:t>
      </w:r>
      <w:r w:rsidR="00D16B7D" w:rsidRPr="002E1384">
        <w:rPr>
          <w:rStyle w:val="normaltextrun"/>
          <w:rFonts w:asciiTheme="minorHAnsi" w:eastAsiaTheme="minorEastAsia" w:hAnsiTheme="minorHAnsi" w:cstheme="minorBidi"/>
          <w:sz w:val="22"/>
          <w:szCs w:val="22"/>
        </w:rPr>
        <w:t xml:space="preserve">, employment, health, disability, </w:t>
      </w:r>
      <w:r w:rsidR="00D55D39" w:rsidRPr="002E1384">
        <w:rPr>
          <w:rStyle w:val="normaltextrun"/>
          <w:rFonts w:asciiTheme="minorHAnsi" w:eastAsiaTheme="minorEastAsia" w:hAnsiTheme="minorHAnsi" w:cstheme="minorBidi"/>
          <w:sz w:val="22"/>
          <w:szCs w:val="22"/>
        </w:rPr>
        <w:t xml:space="preserve">migrant, </w:t>
      </w:r>
      <w:r w:rsidR="00D16B7D" w:rsidRPr="002E1384">
        <w:rPr>
          <w:rStyle w:val="normaltextrun"/>
          <w:rFonts w:asciiTheme="minorHAnsi" w:eastAsiaTheme="minorEastAsia" w:hAnsiTheme="minorHAnsi" w:cstheme="minorBidi"/>
          <w:sz w:val="22"/>
          <w:szCs w:val="22"/>
        </w:rPr>
        <w:t>youth and family services</w:t>
      </w:r>
      <w:r w:rsidR="007712BD" w:rsidRPr="002E1384">
        <w:rPr>
          <w:rStyle w:val="normaltextrun"/>
          <w:rFonts w:asciiTheme="minorHAnsi" w:eastAsiaTheme="minorEastAsia" w:hAnsiTheme="minorHAnsi" w:cstheme="minorBidi"/>
          <w:sz w:val="22"/>
          <w:szCs w:val="22"/>
        </w:rPr>
        <w:t xml:space="preserve">. </w:t>
      </w:r>
      <w:r w:rsidR="00EF53C3" w:rsidRPr="002E1384">
        <w:rPr>
          <w:rStyle w:val="normaltextrun"/>
          <w:rFonts w:asciiTheme="minorHAnsi" w:eastAsiaTheme="minorEastAsia" w:hAnsiTheme="minorHAnsi" w:cstheme="minorBidi"/>
          <w:sz w:val="22"/>
          <w:szCs w:val="22"/>
        </w:rPr>
        <w:t>This includes</w:t>
      </w:r>
      <w:r w:rsidR="0062263A" w:rsidRPr="002E1384">
        <w:rPr>
          <w:rStyle w:val="normaltextrun"/>
          <w:rFonts w:asciiTheme="minorHAnsi" w:eastAsiaTheme="minorEastAsia" w:hAnsiTheme="minorHAnsi" w:cstheme="minorBidi"/>
          <w:sz w:val="22"/>
          <w:szCs w:val="22"/>
        </w:rPr>
        <w:t xml:space="preserve"> </w:t>
      </w:r>
      <w:r w:rsidR="00A85C7A" w:rsidRPr="002E1384">
        <w:rPr>
          <w:rStyle w:val="normaltextrun"/>
          <w:rFonts w:asciiTheme="minorHAnsi" w:eastAsiaTheme="minorEastAsia" w:hAnsiTheme="minorHAnsi" w:cstheme="minorBidi"/>
          <w:sz w:val="22"/>
          <w:szCs w:val="22"/>
        </w:rPr>
        <w:t>30</w:t>
      </w:r>
      <w:r w:rsidR="00477CE9" w:rsidRPr="002E1384">
        <w:rPr>
          <w:rStyle w:val="normaltextrun"/>
          <w:rFonts w:asciiTheme="minorHAnsi" w:eastAsiaTheme="minorEastAsia" w:hAnsiTheme="minorHAnsi" w:cstheme="minorBidi"/>
          <w:sz w:val="22"/>
          <w:szCs w:val="22"/>
        </w:rPr>
        <w:t xml:space="preserve"> </w:t>
      </w:r>
      <w:r w:rsidR="00A518A9">
        <w:rPr>
          <w:rStyle w:val="normaltextrun"/>
          <w:rFonts w:asciiTheme="minorHAnsi" w:eastAsiaTheme="minorEastAsia" w:hAnsiTheme="minorHAnsi" w:cstheme="minorBidi"/>
          <w:sz w:val="22"/>
          <w:szCs w:val="22"/>
        </w:rPr>
        <w:t xml:space="preserve">ParentsNext </w:t>
      </w:r>
      <w:r w:rsidR="00477CE9" w:rsidRPr="002E1384">
        <w:rPr>
          <w:rStyle w:val="normaltextrun"/>
          <w:rFonts w:asciiTheme="minorHAnsi" w:eastAsiaTheme="minorEastAsia" w:hAnsiTheme="minorHAnsi" w:cstheme="minorBidi"/>
          <w:sz w:val="22"/>
          <w:szCs w:val="22"/>
        </w:rPr>
        <w:t xml:space="preserve">providers </w:t>
      </w:r>
      <w:r w:rsidR="00A518A9">
        <w:rPr>
          <w:rStyle w:val="normaltextrun"/>
          <w:rFonts w:asciiTheme="minorHAnsi" w:eastAsiaTheme="minorEastAsia" w:hAnsiTheme="minorHAnsi" w:cstheme="minorBidi"/>
          <w:sz w:val="22"/>
          <w:szCs w:val="22"/>
        </w:rPr>
        <w:t xml:space="preserve">also </w:t>
      </w:r>
      <w:r w:rsidR="00477CE9" w:rsidRPr="002E1384">
        <w:rPr>
          <w:rStyle w:val="normaltextrun"/>
          <w:rFonts w:asciiTheme="minorHAnsi" w:eastAsiaTheme="minorEastAsia" w:hAnsiTheme="minorHAnsi" w:cstheme="minorBidi"/>
          <w:sz w:val="22"/>
          <w:szCs w:val="22"/>
        </w:rPr>
        <w:t>delivering other</w:t>
      </w:r>
      <w:r w:rsidR="006939F5" w:rsidRPr="002E1384">
        <w:rPr>
          <w:rStyle w:val="normaltextrun"/>
          <w:rFonts w:asciiTheme="minorHAnsi" w:eastAsiaTheme="minorEastAsia" w:hAnsiTheme="minorHAnsi" w:cstheme="minorBidi"/>
          <w:sz w:val="22"/>
          <w:szCs w:val="22"/>
        </w:rPr>
        <w:t xml:space="preserve"> </w:t>
      </w:r>
      <w:r w:rsidR="005A0D9C" w:rsidRPr="002E1384">
        <w:rPr>
          <w:rStyle w:val="normaltextrun"/>
          <w:rFonts w:asciiTheme="minorHAnsi" w:eastAsiaTheme="minorEastAsia" w:hAnsiTheme="minorHAnsi" w:cstheme="minorBidi"/>
          <w:sz w:val="22"/>
          <w:szCs w:val="22"/>
        </w:rPr>
        <w:t>employment</w:t>
      </w:r>
      <w:r w:rsidR="006939F5" w:rsidRPr="002E1384">
        <w:rPr>
          <w:rStyle w:val="normaltextrun"/>
          <w:rFonts w:asciiTheme="minorHAnsi" w:eastAsiaTheme="minorEastAsia" w:hAnsiTheme="minorHAnsi" w:cstheme="minorBidi"/>
          <w:sz w:val="22"/>
          <w:szCs w:val="22"/>
        </w:rPr>
        <w:t xml:space="preserve"> </w:t>
      </w:r>
      <w:r w:rsidR="005A0D9C" w:rsidRPr="002E1384">
        <w:rPr>
          <w:rStyle w:val="normaltextrun"/>
          <w:rFonts w:asciiTheme="minorHAnsi" w:eastAsiaTheme="minorEastAsia" w:hAnsiTheme="minorHAnsi" w:cstheme="minorBidi"/>
          <w:sz w:val="22"/>
          <w:szCs w:val="22"/>
        </w:rPr>
        <w:t>services</w:t>
      </w:r>
      <w:r w:rsidR="006939F5" w:rsidRPr="002E1384">
        <w:rPr>
          <w:rStyle w:val="normaltextrun"/>
          <w:rFonts w:asciiTheme="minorHAnsi" w:eastAsiaTheme="minorEastAsia" w:hAnsiTheme="minorHAnsi" w:cstheme="minorBidi"/>
          <w:sz w:val="22"/>
          <w:szCs w:val="22"/>
        </w:rPr>
        <w:t xml:space="preserve"> and related</w:t>
      </w:r>
      <w:r w:rsidR="00477CE9" w:rsidRPr="002E1384">
        <w:rPr>
          <w:rStyle w:val="normaltextrun"/>
          <w:rFonts w:asciiTheme="minorHAnsi" w:eastAsiaTheme="minorEastAsia" w:hAnsiTheme="minorHAnsi" w:cstheme="minorBidi"/>
          <w:sz w:val="22"/>
          <w:szCs w:val="22"/>
        </w:rPr>
        <w:t xml:space="preserve"> programs </w:t>
      </w:r>
      <w:r w:rsidR="005A0D9C" w:rsidRPr="002E1384">
        <w:rPr>
          <w:rStyle w:val="normaltextrun"/>
          <w:rFonts w:asciiTheme="minorHAnsi" w:eastAsiaTheme="minorEastAsia" w:hAnsiTheme="minorHAnsi" w:cstheme="minorBidi"/>
          <w:sz w:val="22"/>
          <w:szCs w:val="22"/>
        </w:rPr>
        <w:t>administered</w:t>
      </w:r>
      <w:r w:rsidR="006939F5" w:rsidRPr="002E1384">
        <w:rPr>
          <w:rStyle w:val="normaltextrun"/>
          <w:rFonts w:asciiTheme="minorHAnsi" w:eastAsiaTheme="minorEastAsia" w:hAnsiTheme="minorHAnsi" w:cstheme="minorBidi"/>
          <w:sz w:val="22"/>
          <w:szCs w:val="22"/>
        </w:rPr>
        <w:t xml:space="preserve"> by the Department of </w:t>
      </w:r>
      <w:r w:rsidR="005A0D9C" w:rsidRPr="002E1384">
        <w:rPr>
          <w:rStyle w:val="normaltextrun"/>
          <w:rFonts w:asciiTheme="minorHAnsi" w:eastAsiaTheme="minorEastAsia" w:hAnsiTheme="minorHAnsi" w:cstheme="minorBidi"/>
          <w:sz w:val="22"/>
          <w:szCs w:val="22"/>
        </w:rPr>
        <w:t>Employment</w:t>
      </w:r>
      <w:r w:rsidR="006939F5" w:rsidRPr="002E1384">
        <w:rPr>
          <w:rStyle w:val="normaltextrun"/>
          <w:rFonts w:asciiTheme="minorHAnsi" w:eastAsiaTheme="minorEastAsia" w:hAnsiTheme="minorHAnsi" w:cstheme="minorBidi"/>
          <w:sz w:val="22"/>
          <w:szCs w:val="22"/>
        </w:rPr>
        <w:t xml:space="preserve"> </w:t>
      </w:r>
      <w:r w:rsidR="005A0D9C" w:rsidRPr="002E1384">
        <w:rPr>
          <w:rStyle w:val="normaltextrun"/>
          <w:rFonts w:asciiTheme="minorHAnsi" w:eastAsiaTheme="minorEastAsia" w:hAnsiTheme="minorHAnsi" w:cstheme="minorBidi"/>
          <w:sz w:val="22"/>
          <w:szCs w:val="22"/>
        </w:rPr>
        <w:t>and</w:t>
      </w:r>
      <w:r w:rsidR="006939F5" w:rsidRPr="002E1384">
        <w:rPr>
          <w:rStyle w:val="normaltextrun"/>
          <w:rFonts w:asciiTheme="minorHAnsi" w:eastAsiaTheme="minorEastAsia" w:hAnsiTheme="minorHAnsi" w:cstheme="minorBidi"/>
          <w:sz w:val="22"/>
          <w:szCs w:val="22"/>
        </w:rPr>
        <w:t xml:space="preserve"> Workplace </w:t>
      </w:r>
      <w:r w:rsidR="005A0D9C" w:rsidRPr="002E1384">
        <w:rPr>
          <w:rStyle w:val="normaltextrun"/>
          <w:rFonts w:asciiTheme="minorHAnsi" w:eastAsiaTheme="minorEastAsia" w:hAnsiTheme="minorHAnsi" w:cstheme="minorBidi"/>
          <w:sz w:val="22"/>
          <w:szCs w:val="22"/>
        </w:rPr>
        <w:t>Relations</w:t>
      </w:r>
      <w:r w:rsidR="008359EC" w:rsidRPr="002E1384">
        <w:rPr>
          <w:rStyle w:val="normaltextrun"/>
          <w:rFonts w:asciiTheme="minorHAnsi" w:eastAsiaTheme="minorEastAsia" w:hAnsiTheme="minorHAnsi" w:cstheme="minorBidi"/>
          <w:sz w:val="22"/>
          <w:szCs w:val="22"/>
        </w:rPr>
        <w:t>.</w:t>
      </w:r>
    </w:p>
    <w:p w14:paraId="17303705" w14:textId="77777777" w:rsidR="00585326" w:rsidRPr="00B066E7" w:rsidRDefault="00585326" w:rsidP="00585326">
      <w:pPr>
        <w:pStyle w:val="paragraph"/>
        <w:spacing w:before="0" w:beforeAutospacing="0" w:after="200" w:afterAutospacing="0" w:line="276" w:lineRule="auto"/>
        <w:textAlignment w:val="baseline"/>
        <w:rPr>
          <w:rStyle w:val="normaltextrun"/>
          <w:rFonts w:asciiTheme="minorHAnsi" w:eastAsiaTheme="minorEastAsia" w:hAnsiTheme="minorHAnsi" w:cstheme="minorBidi"/>
          <w:sz w:val="22"/>
          <w:szCs w:val="22"/>
        </w:rPr>
      </w:pPr>
      <w:r w:rsidRPr="00B066E7">
        <w:rPr>
          <w:rStyle w:val="normaltextrun"/>
          <w:rFonts w:asciiTheme="minorHAnsi" w:eastAsiaTheme="minorEastAsia" w:hAnsiTheme="minorHAnsi" w:cstheme="minorBidi"/>
          <w:sz w:val="22"/>
          <w:szCs w:val="22"/>
        </w:rPr>
        <w:lastRenderedPageBreak/>
        <w:t xml:space="preserve">Since its national rollout, continuous improvements have been made to ParentsNext based on stakeholder feedback, recommendations from parliamentary committee inquiries and program </w:t>
      </w:r>
      <w:r w:rsidRPr="00153239">
        <w:rPr>
          <w:rStyle w:val="normaltextrun"/>
          <w:rFonts w:asciiTheme="minorHAnsi" w:eastAsiaTheme="minorEastAsia" w:hAnsiTheme="minorHAnsi" w:cstheme="minorBidi"/>
          <w:sz w:val="22"/>
          <w:szCs w:val="22"/>
        </w:rPr>
        <w:t>evaluations as well as internal assessment of program performance. However, the Select Committee also noted that, notwithstanding significant changes made to the program, many issues identified in previous inquiries persisted. Subsequent changes included pausing compulsory</w:t>
      </w:r>
      <w:r w:rsidRPr="00B066E7">
        <w:rPr>
          <w:rStyle w:val="normaltextrun"/>
          <w:rFonts w:asciiTheme="minorHAnsi" w:eastAsiaTheme="minorEastAsia" w:hAnsiTheme="minorHAnsi" w:cstheme="minorBidi"/>
          <w:sz w:val="22"/>
          <w:szCs w:val="22"/>
        </w:rPr>
        <w:t xml:space="preserve"> participation in May 2023 and improvements to program information and referral processes from October 2023</w:t>
      </w:r>
      <w:r>
        <w:rPr>
          <w:rStyle w:val="normaltextrun"/>
          <w:rFonts w:asciiTheme="minorHAnsi" w:eastAsiaTheme="minorEastAsia" w:hAnsiTheme="minorHAnsi" w:cstheme="minorBidi"/>
          <w:sz w:val="22"/>
          <w:szCs w:val="22"/>
        </w:rPr>
        <w:t xml:space="preserve"> pending the design and implementation of replacement arrangements.</w:t>
      </w:r>
    </w:p>
    <w:bookmarkEnd w:id="20"/>
    <w:p w14:paraId="44788F71" w14:textId="3B49E977" w:rsidR="009E728E" w:rsidRPr="006C007D" w:rsidDel="0035699E" w:rsidRDefault="00585326" w:rsidP="00585326">
      <w:r w:rsidRPr="7CD6266A">
        <w:t xml:space="preserve">Providing effective </w:t>
      </w:r>
      <w:r>
        <w:t>pre-employment</w:t>
      </w:r>
      <w:r w:rsidRPr="7CD6266A">
        <w:t xml:space="preserve"> support to parents of young children who are experiencing disadvantage, most of whom are women and single parents, will help to reduce barriers to education and work</w:t>
      </w:r>
      <w:r>
        <w:t>.</w:t>
      </w:r>
      <w:r w:rsidRPr="7CD6266A">
        <w:t xml:space="preserve"> </w:t>
      </w:r>
      <w:r w:rsidRPr="006C007D" w:rsidDel="0035699E">
        <w:t xml:space="preserve">Parents </w:t>
      </w:r>
      <w:r>
        <w:t>will</w:t>
      </w:r>
      <w:r w:rsidRPr="006C007D" w:rsidDel="0035699E">
        <w:t xml:space="preserve"> then in a better position to participate in the workforce when they are ready, or by the time their child is in primary school</w:t>
      </w:r>
      <w:r w:rsidDel="0035699E">
        <w:t>.</w:t>
      </w:r>
    </w:p>
    <w:p w14:paraId="169ED237" w14:textId="77777777" w:rsidR="0025054B" w:rsidRDefault="00F8199E" w:rsidP="00A40BD4">
      <w:pPr>
        <w:pStyle w:val="Heading1"/>
        <w:numPr>
          <w:ilvl w:val="0"/>
          <w:numId w:val="11"/>
        </w:numPr>
        <w:ind w:left="357" w:hanging="357"/>
      </w:pPr>
      <w:bookmarkStart w:id="21" w:name="_Toc151123103"/>
      <w:bookmarkStart w:id="22" w:name="_Hlk145676217"/>
      <w:bookmarkStart w:id="23" w:name="_Toc96326922"/>
      <w:r>
        <w:t>W</w:t>
      </w:r>
      <w:r w:rsidR="008F71EF">
        <w:t xml:space="preserve">hy is government </w:t>
      </w:r>
      <w:r>
        <w:t>action</w:t>
      </w:r>
      <w:r w:rsidR="008F71EF">
        <w:t xml:space="preserve"> needed</w:t>
      </w:r>
      <w:r>
        <w:t>?</w:t>
      </w:r>
      <w:bookmarkEnd w:id="21"/>
      <w:r w:rsidR="008F71EF">
        <w:t xml:space="preserve"> </w:t>
      </w:r>
    </w:p>
    <w:bookmarkEnd w:id="22"/>
    <w:p w14:paraId="52A6A919" w14:textId="3751B062" w:rsidR="0072461A" w:rsidRDefault="00E16F22" w:rsidP="009523AA">
      <w:r>
        <w:t xml:space="preserve">Government action is needed </w:t>
      </w:r>
      <w:r w:rsidR="00891E02">
        <w:t xml:space="preserve">to address </w:t>
      </w:r>
      <w:r w:rsidR="006362D1">
        <w:t xml:space="preserve">economic </w:t>
      </w:r>
      <w:r w:rsidR="00E3507A">
        <w:t>and entrenched disadvantage</w:t>
      </w:r>
      <w:r w:rsidR="006362D1">
        <w:t xml:space="preserve"> faced by </w:t>
      </w:r>
      <w:r w:rsidR="00E3507A">
        <w:t xml:space="preserve">many </w:t>
      </w:r>
      <w:r w:rsidR="006362D1">
        <w:t xml:space="preserve">vulnerable </w:t>
      </w:r>
      <w:r w:rsidR="000E7E85">
        <w:t xml:space="preserve">parents and </w:t>
      </w:r>
      <w:r w:rsidR="00E3507A">
        <w:t>the</w:t>
      </w:r>
      <w:r w:rsidR="000E7E85">
        <w:t xml:space="preserve"> impact on their families. </w:t>
      </w:r>
      <w:r w:rsidR="00E3507A">
        <w:t>Government intervention can also contribute to improving parents’ participation in the labour market and</w:t>
      </w:r>
      <w:r w:rsidR="009B071E">
        <w:t>, as a consequence</w:t>
      </w:r>
      <w:r w:rsidR="00243E28">
        <w:t>,</w:t>
      </w:r>
      <w:r w:rsidR="009B071E">
        <w:t xml:space="preserve"> </w:t>
      </w:r>
      <w:r w:rsidR="00E3507A">
        <w:t>the</w:t>
      </w:r>
      <w:r w:rsidR="009B071E">
        <w:t>ir</w:t>
      </w:r>
      <w:r w:rsidR="00E3507A">
        <w:t xml:space="preserve"> </w:t>
      </w:r>
      <w:r w:rsidR="009B071E">
        <w:t xml:space="preserve">retirement savings and </w:t>
      </w:r>
      <w:r w:rsidR="00E3507A">
        <w:t>long</w:t>
      </w:r>
      <w:r w:rsidR="009B071E">
        <w:t>-</w:t>
      </w:r>
      <w:r w:rsidR="00E3507A">
        <w:t xml:space="preserve">term economic </w:t>
      </w:r>
      <w:r w:rsidR="009B071E">
        <w:t>security.</w:t>
      </w:r>
    </w:p>
    <w:p w14:paraId="5C82315F" w14:textId="0586A197" w:rsidR="009523AA" w:rsidRDefault="001D3479" w:rsidP="009523AA">
      <w:r>
        <w:t xml:space="preserve">The </w:t>
      </w:r>
      <w:r w:rsidR="00CB26FB">
        <w:t>g</w:t>
      </w:r>
      <w:r>
        <w:t xml:space="preserve">overnment has a strong commitment to addressing disadvantage, promoting economic participation and </w:t>
      </w:r>
      <w:r w:rsidR="005E357D">
        <w:t>s</w:t>
      </w:r>
      <w:r>
        <w:t>upporting all members of the community to participate economically and socially to the full extent they</w:t>
      </w:r>
      <w:r w:rsidR="00C10F97">
        <w:t xml:space="preserve"> are able</w:t>
      </w:r>
      <w:r>
        <w:t xml:space="preserve">. </w:t>
      </w:r>
      <w:r w:rsidR="009523AA">
        <w:t xml:space="preserve">In </w:t>
      </w:r>
      <w:r w:rsidR="00CB26FB">
        <w:t xml:space="preserve">particular, </w:t>
      </w:r>
      <w:r w:rsidR="009523AA">
        <w:t xml:space="preserve">the </w:t>
      </w:r>
      <w:r w:rsidR="00CB26FB">
        <w:t>government</w:t>
      </w:r>
      <w:r w:rsidR="009523AA">
        <w:t xml:space="preserve"> </w:t>
      </w:r>
      <w:r w:rsidR="00A576E8">
        <w:t xml:space="preserve">has </w:t>
      </w:r>
      <w:r w:rsidR="00CB26FB">
        <w:t xml:space="preserve">identified </w:t>
      </w:r>
      <w:r w:rsidR="008E24BA">
        <w:t>achieving</w:t>
      </w:r>
      <w:r w:rsidR="009523AA">
        <w:t xml:space="preserve"> women’s economic equality </w:t>
      </w:r>
      <w:r w:rsidR="00A576E8">
        <w:t>as</w:t>
      </w:r>
      <w:r w:rsidR="009523AA">
        <w:t xml:space="preserve"> a</w:t>
      </w:r>
      <w:r w:rsidR="00CB26FB">
        <w:t xml:space="preserve"> </w:t>
      </w:r>
      <w:r w:rsidR="009523AA">
        <w:t>priority</w:t>
      </w:r>
      <w:r w:rsidR="0008183D">
        <w:t xml:space="preserve"> which </w:t>
      </w:r>
      <w:r w:rsidR="009523AA">
        <w:t>will require a focus on women who face complex and intersecting forms of disadvantage</w:t>
      </w:r>
      <w:r w:rsidR="001665F1">
        <w:t>.</w:t>
      </w:r>
      <w:r w:rsidR="00FD5589">
        <w:rPr>
          <w:rStyle w:val="FootnoteReference"/>
        </w:rPr>
        <w:footnoteReference w:id="24"/>
      </w:r>
    </w:p>
    <w:p w14:paraId="40FE9EA3" w14:textId="443B68D2" w:rsidR="00BD049B" w:rsidRDefault="009657FB" w:rsidP="00075596">
      <w:r>
        <w:t>While many parents will have the confidence and capacity to plan</w:t>
      </w:r>
      <w:r w:rsidR="00B143D9">
        <w:t xml:space="preserve"> themselves</w:t>
      </w:r>
      <w:r>
        <w:t xml:space="preserve"> for their return to the workforce, some need guidance and support to </w:t>
      </w:r>
      <w:r w:rsidR="005A6A86">
        <w:t xml:space="preserve">reconnect, </w:t>
      </w:r>
      <w:r>
        <w:t>develop their skills</w:t>
      </w:r>
      <w:r w:rsidR="00B143D9">
        <w:t xml:space="preserve">, </w:t>
      </w:r>
      <w:r>
        <w:t xml:space="preserve">navigate the labour market and prepare for work as their children grow. </w:t>
      </w:r>
      <w:r w:rsidR="00BD049B" w:rsidRPr="006C007D">
        <w:t>The Select Committee stated</w:t>
      </w:r>
      <w:r w:rsidR="00BD049B">
        <w:t xml:space="preserve"> in its Interim Report</w:t>
      </w:r>
      <w:r w:rsidR="00BD049B" w:rsidRPr="006C007D">
        <w:t xml:space="preserve"> that </w:t>
      </w:r>
      <w:r w:rsidR="00BD049B" w:rsidRPr="006C007D">
        <w:rPr>
          <w:i/>
          <w:iCs/>
        </w:rPr>
        <w:t xml:space="preserve">‘the Australian Government has a responsibility to support and empower parents to achieve full social and economic participation. This is not merely a moral imperative but an economic priority.’ </w:t>
      </w:r>
      <w:r w:rsidR="00BD049B" w:rsidRPr="006C007D">
        <w:t>The Select Committee concluded that a program to support vulnerable parents is essential.</w:t>
      </w:r>
      <w:r w:rsidR="00BD049B" w:rsidRPr="006C007D">
        <w:rPr>
          <w:vertAlign w:val="superscript"/>
        </w:rPr>
        <w:footnoteReference w:id="25"/>
      </w:r>
    </w:p>
    <w:p w14:paraId="642DA6C7" w14:textId="48D8C263" w:rsidR="00BA2675" w:rsidRDefault="00BA2675" w:rsidP="00BA2675">
      <w:pPr>
        <w:pStyle w:val="paragraph"/>
        <w:spacing w:before="0" w:beforeAutospacing="0" w:after="200" w:afterAutospacing="0" w:line="276" w:lineRule="auto"/>
        <w:textAlignment w:val="baseline"/>
        <w:rPr>
          <w:rStyle w:val="normaltextrun"/>
          <w:rFonts w:asciiTheme="minorHAnsi" w:eastAsiaTheme="minorEastAsia" w:hAnsiTheme="minorHAnsi" w:cstheme="minorBidi"/>
          <w:sz w:val="22"/>
          <w:szCs w:val="22"/>
        </w:rPr>
      </w:pPr>
      <w:r w:rsidRPr="00B066E7">
        <w:rPr>
          <w:rStyle w:val="normaltextrun"/>
          <w:rFonts w:asciiTheme="minorHAnsi" w:eastAsiaTheme="minorEastAsia" w:hAnsiTheme="minorHAnsi" w:cstheme="minorBidi"/>
          <w:sz w:val="22"/>
          <w:szCs w:val="22"/>
        </w:rPr>
        <w:t xml:space="preserve">Evaluations have demonstrated the government’s capacity to </w:t>
      </w:r>
      <w:r w:rsidRPr="00E55E46">
        <w:rPr>
          <w:rStyle w:val="normaltextrun"/>
          <w:rFonts w:asciiTheme="minorHAnsi" w:eastAsiaTheme="minorEastAsia" w:hAnsiTheme="minorHAnsi" w:cstheme="minorBidi"/>
          <w:sz w:val="22"/>
          <w:szCs w:val="22"/>
        </w:rPr>
        <w:t xml:space="preserve">intervene positively to support parents to access education, training, childcare and other services and </w:t>
      </w:r>
      <w:r w:rsidR="00146835">
        <w:rPr>
          <w:rStyle w:val="normaltextrun"/>
          <w:rFonts w:asciiTheme="minorHAnsi" w:eastAsiaTheme="minorEastAsia" w:hAnsiTheme="minorHAnsi" w:cstheme="minorBidi"/>
          <w:sz w:val="22"/>
          <w:szCs w:val="22"/>
        </w:rPr>
        <w:t xml:space="preserve">to </w:t>
      </w:r>
      <w:r w:rsidRPr="00E55E46">
        <w:rPr>
          <w:rStyle w:val="normaltextrun"/>
          <w:rFonts w:asciiTheme="minorHAnsi" w:eastAsiaTheme="minorEastAsia" w:hAnsiTheme="minorHAnsi" w:cstheme="minorBidi"/>
          <w:sz w:val="22"/>
          <w:szCs w:val="22"/>
        </w:rPr>
        <w:t>prepare to enter or re-enter the workforce.</w:t>
      </w:r>
      <w:r>
        <w:rPr>
          <w:rStyle w:val="normaltextrun"/>
          <w:rFonts w:asciiTheme="minorHAnsi" w:eastAsiaTheme="minorEastAsia" w:hAnsiTheme="minorHAnsi" w:cstheme="minorBidi"/>
          <w:sz w:val="22"/>
          <w:szCs w:val="22"/>
        </w:rPr>
        <w:t xml:space="preserve"> </w:t>
      </w:r>
      <w:r w:rsidRPr="215B284A">
        <w:rPr>
          <w:rStyle w:val="normaltextrun"/>
          <w:rFonts w:asciiTheme="minorHAnsi" w:eastAsiaTheme="minorEastAsia" w:hAnsiTheme="minorHAnsi" w:cstheme="minorBidi"/>
          <w:sz w:val="22"/>
          <w:szCs w:val="22"/>
        </w:rPr>
        <w:t>This includes evaluation evidence from the Helping Young Parents and Supporting Jobless Families trials, the 2016</w:t>
      </w:r>
      <w:r w:rsidR="00175938">
        <w:rPr>
          <w:rStyle w:val="normaltextrun"/>
          <w:rFonts w:asciiTheme="minorHAnsi" w:eastAsiaTheme="minorEastAsia" w:hAnsiTheme="minorHAnsi" w:cstheme="minorBidi"/>
          <w:sz w:val="22"/>
          <w:szCs w:val="22"/>
        </w:rPr>
        <w:t>–20</w:t>
      </w:r>
      <w:r w:rsidRPr="215B284A">
        <w:rPr>
          <w:rStyle w:val="normaltextrun"/>
          <w:rFonts w:asciiTheme="minorHAnsi" w:eastAsiaTheme="minorEastAsia" w:hAnsiTheme="minorHAnsi" w:cstheme="minorBidi"/>
          <w:sz w:val="22"/>
          <w:szCs w:val="22"/>
        </w:rPr>
        <w:t>18 ParentsNext Evaluation, and the 2018</w:t>
      </w:r>
      <w:r w:rsidR="00175938">
        <w:rPr>
          <w:rStyle w:val="normaltextrun"/>
          <w:rFonts w:asciiTheme="minorHAnsi" w:eastAsiaTheme="minorEastAsia" w:hAnsiTheme="minorHAnsi" w:cstheme="minorBidi"/>
          <w:sz w:val="22"/>
          <w:szCs w:val="22"/>
        </w:rPr>
        <w:t>–20</w:t>
      </w:r>
      <w:r w:rsidRPr="215B284A">
        <w:rPr>
          <w:rStyle w:val="normaltextrun"/>
          <w:rFonts w:asciiTheme="minorHAnsi" w:eastAsiaTheme="minorEastAsia" w:hAnsiTheme="minorHAnsi" w:cstheme="minorBidi"/>
          <w:sz w:val="22"/>
          <w:szCs w:val="22"/>
        </w:rPr>
        <w:t>21 ParentsNext Evaluation.</w:t>
      </w:r>
      <w:r w:rsidRPr="215B284A">
        <w:rPr>
          <w:rStyle w:val="FootnoteReference"/>
          <w:rFonts w:asciiTheme="minorHAnsi" w:eastAsiaTheme="minorEastAsia" w:hAnsiTheme="minorHAnsi" w:cstheme="minorBidi"/>
          <w:sz w:val="22"/>
          <w:szCs w:val="22"/>
        </w:rPr>
        <w:footnoteReference w:id="26"/>
      </w:r>
      <w:r w:rsidR="005E2076">
        <w:rPr>
          <w:rStyle w:val="normaltextrun"/>
          <w:rFonts w:asciiTheme="minorHAnsi" w:eastAsiaTheme="minorEastAsia" w:hAnsiTheme="minorHAnsi" w:cstheme="minorBidi"/>
          <w:sz w:val="22"/>
          <w:szCs w:val="22"/>
        </w:rPr>
        <w:t xml:space="preserve"> </w:t>
      </w:r>
      <w:r w:rsidRPr="00B066E7">
        <w:rPr>
          <w:rStyle w:val="normaltextrun"/>
          <w:rFonts w:asciiTheme="minorHAnsi" w:eastAsiaTheme="minorEastAsia" w:hAnsiTheme="minorHAnsi" w:cstheme="minorBidi"/>
          <w:sz w:val="22"/>
          <w:szCs w:val="22"/>
        </w:rPr>
        <w:lastRenderedPageBreak/>
        <w:t>These evaluations showed an increase in participants’ work readiness and included impact analyses that found participants generally achieved better education and employment outcomes than a similar cohort of parents who did not participate in those services.</w:t>
      </w:r>
    </w:p>
    <w:p w14:paraId="19F020B8" w14:textId="6F931E18" w:rsidR="00B31FD2" w:rsidRPr="00B066E7" w:rsidRDefault="00243E28" w:rsidP="00BA2675">
      <w:pPr>
        <w:pStyle w:val="paragraph"/>
        <w:spacing w:before="0" w:beforeAutospacing="0" w:after="200" w:afterAutospacing="0" w:line="276" w:lineRule="auto"/>
        <w:textAlignment w:val="baseline"/>
        <w:rPr>
          <w:rStyle w:val="normaltextrun"/>
          <w:rFonts w:asciiTheme="minorHAnsi" w:eastAsiaTheme="minorEastAsia" w:hAnsiTheme="minorHAnsi" w:cstheme="minorBidi"/>
        </w:rPr>
      </w:pPr>
      <w:r>
        <w:rPr>
          <w:rStyle w:val="normaltextrun"/>
          <w:rFonts w:asciiTheme="minorHAnsi" w:eastAsiaTheme="minorEastAsia" w:hAnsiTheme="minorHAnsi" w:cstheme="minorBidi"/>
          <w:sz w:val="22"/>
          <w:szCs w:val="22"/>
        </w:rPr>
        <w:t>F</w:t>
      </w:r>
      <w:r w:rsidR="00BA2675" w:rsidRPr="00B066E7">
        <w:rPr>
          <w:rStyle w:val="normaltextrun"/>
          <w:rFonts w:asciiTheme="minorHAnsi" w:eastAsiaTheme="minorEastAsia" w:hAnsiTheme="minorHAnsi" w:cstheme="minorBidi"/>
          <w:sz w:val="22"/>
          <w:szCs w:val="22"/>
        </w:rPr>
        <w:t xml:space="preserve">rom 1 July 2018 when ParentsNext </w:t>
      </w:r>
      <w:r w:rsidR="00BA2675">
        <w:rPr>
          <w:rStyle w:val="normaltextrun"/>
          <w:rFonts w:asciiTheme="minorHAnsi" w:eastAsiaTheme="minorEastAsia" w:hAnsiTheme="minorHAnsi" w:cstheme="minorBidi"/>
          <w:sz w:val="22"/>
          <w:szCs w:val="22"/>
        </w:rPr>
        <w:t>wa</w:t>
      </w:r>
      <w:r w:rsidR="00BA2675" w:rsidRPr="00090B94">
        <w:rPr>
          <w:rStyle w:val="normaltextrun"/>
          <w:rFonts w:asciiTheme="minorHAnsi" w:eastAsiaTheme="minorEastAsia" w:hAnsiTheme="minorHAnsi" w:cstheme="minorBidi"/>
          <w:sz w:val="22"/>
          <w:szCs w:val="22"/>
        </w:rPr>
        <w:t>s</w:t>
      </w:r>
      <w:r w:rsidR="00BA2675" w:rsidRPr="00B066E7">
        <w:rPr>
          <w:rStyle w:val="normaltextrun"/>
          <w:rFonts w:asciiTheme="minorHAnsi" w:eastAsiaTheme="minorEastAsia" w:hAnsiTheme="minorHAnsi" w:cstheme="minorBidi"/>
          <w:sz w:val="22"/>
          <w:szCs w:val="22"/>
        </w:rPr>
        <w:t xml:space="preserve"> rolled out nationally to 30 June 2023, </w:t>
      </w:r>
      <w:r w:rsidR="00BA2675">
        <w:rPr>
          <w:rStyle w:val="normaltextrun"/>
          <w:rFonts w:asciiTheme="minorHAnsi" w:eastAsiaTheme="minorEastAsia" w:hAnsiTheme="minorHAnsi" w:cstheme="minorBidi"/>
          <w:sz w:val="22"/>
          <w:szCs w:val="22"/>
        </w:rPr>
        <w:t>m</w:t>
      </w:r>
      <w:r w:rsidR="00BA2675" w:rsidRPr="00B066E7">
        <w:rPr>
          <w:rStyle w:val="normaltextrun"/>
          <w:rFonts w:asciiTheme="minorHAnsi" w:eastAsiaTheme="minorEastAsia" w:hAnsiTheme="minorHAnsi" w:cstheme="minorBidi"/>
          <w:sz w:val="22"/>
          <w:szCs w:val="22"/>
        </w:rPr>
        <w:t>ore than half of participants (123,900 parents) commenced education.</w:t>
      </w:r>
      <w:r w:rsidR="00BA2675" w:rsidRPr="00B066E7">
        <w:rPr>
          <w:rStyle w:val="FootnoteReference"/>
          <w:rFonts w:asciiTheme="minorHAnsi" w:eastAsiaTheme="minorEastAsia" w:hAnsiTheme="minorHAnsi" w:cstheme="minorBidi"/>
          <w:sz w:val="22"/>
          <w:szCs w:val="22"/>
        </w:rPr>
        <w:footnoteReference w:id="27"/>
      </w:r>
      <w:r w:rsidR="00BA2675" w:rsidRPr="00B066E7">
        <w:rPr>
          <w:rStyle w:val="normaltextrun"/>
          <w:rFonts w:asciiTheme="minorHAnsi" w:eastAsiaTheme="minorEastAsia" w:hAnsiTheme="minorHAnsi" w:cstheme="minorBidi"/>
          <w:sz w:val="22"/>
          <w:szCs w:val="22"/>
        </w:rPr>
        <w:t xml:space="preserve"> Over the same period, a third of participants (78,200 parents</w:t>
      </w:r>
      <w:r w:rsidR="00915A71">
        <w:rPr>
          <w:rStyle w:val="normaltextrun"/>
          <w:rFonts w:asciiTheme="minorHAnsi" w:eastAsiaTheme="minorEastAsia" w:hAnsiTheme="minorHAnsi" w:cstheme="minorBidi"/>
          <w:sz w:val="22"/>
          <w:szCs w:val="22"/>
        </w:rPr>
        <w:t>)</w:t>
      </w:r>
      <w:r w:rsidR="00BA2675" w:rsidRPr="00B066E7">
        <w:rPr>
          <w:rStyle w:val="normaltextrun"/>
          <w:rFonts w:asciiTheme="minorHAnsi" w:eastAsiaTheme="minorEastAsia" w:hAnsiTheme="minorHAnsi" w:cstheme="minorBidi"/>
          <w:sz w:val="22"/>
          <w:szCs w:val="22"/>
        </w:rPr>
        <w:t xml:space="preserve"> declared earnings and almost 5% (11,200 parents) exited the program due to employment.</w:t>
      </w:r>
    </w:p>
    <w:p w14:paraId="24C1A7D4" w14:textId="3FE2B5AB" w:rsidR="002C5D7B" w:rsidRPr="0099707F" w:rsidRDefault="002C5D7B" w:rsidP="0099707F">
      <w:pPr>
        <w:pStyle w:val="paragraph"/>
        <w:spacing w:before="0" w:beforeAutospacing="0" w:after="200" w:afterAutospacing="0" w:line="276" w:lineRule="auto"/>
        <w:textAlignment w:val="baseline"/>
        <w:rPr>
          <w:rStyle w:val="normaltextrun"/>
          <w:rFonts w:asciiTheme="minorHAnsi" w:eastAsiaTheme="minorEastAsia" w:hAnsiTheme="minorHAnsi" w:cstheme="minorBidi"/>
          <w:sz w:val="22"/>
          <w:szCs w:val="22"/>
        </w:rPr>
      </w:pPr>
      <w:bookmarkStart w:id="24" w:name="_Hlk148353919"/>
      <w:bookmarkStart w:id="25" w:name="_Hlk148353836"/>
      <w:r w:rsidRPr="0099707F">
        <w:rPr>
          <w:rStyle w:val="normaltextrun"/>
          <w:rFonts w:asciiTheme="minorHAnsi" w:eastAsiaTheme="minorEastAsia" w:hAnsiTheme="minorHAnsi" w:cstheme="minorBidi"/>
          <w:sz w:val="22"/>
          <w:szCs w:val="22"/>
        </w:rPr>
        <w:t xml:space="preserve">The objectives </w:t>
      </w:r>
      <w:r w:rsidR="001D1EFC" w:rsidRPr="0099707F">
        <w:rPr>
          <w:rStyle w:val="normaltextrun"/>
          <w:rFonts w:asciiTheme="minorHAnsi" w:eastAsiaTheme="minorEastAsia" w:hAnsiTheme="minorHAnsi" w:cstheme="minorBidi"/>
          <w:sz w:val="22"/>
          <w:szCs w:val="22"/>
        </w:rPr>
        <w:t xml:space="preserve">of </w:t>
      </w:r>
      <w:r w:rsidR="001E4C3B" w:rsidRPr="0099707F">
        <w:rPr>
          <w:rStyle w:val="normaltextrun"/>
          <w:rFonts w:asciiTheme="minorHAnsi" w:eastAsiaTheme="minorEastAsia" w:hAnsiTheme="minorHAnsi" w:cstheme="minorBidi"/>
          <w:sz w:val="22"/>
          <w:szCs w:val="22"/>
        </w:rPr>
        <w:t xml:space="preserve">early </w:t>
      </w:r>
      <w:r w:rsidR="00081526" w:rsidRPr="0099707F">
        <w:rPr>
          <w:rStyle w:val="normaltextrun"/>
          <w:rFonts w:asciiTheme="minorHAnsi" w:eastAsiaTheme="minorEastAsia" w:hAnsiTheme="minorHAnsi" w:cstheme="minorBidi"/>
          <w:sz w:val="22"/>
          <w:szCs w:val="22"/>
        </w:rPr>
        <w:t>pre-</w:t>
      </w:r>
      <w:r w:rsidR="005C5C80" w:rsidRPr="0099707F">
        <w:rPr>
          <w:rStyle w:val="normaltextrun"/>
          <w:rFonts w:asciiTheme="minorHAnsi" w:eastAsiaTheme="minorEastAsia" w:hAnsiTheme="minorHAnsi" w:cstheme="minorBidi"/>
          <w:sz w:val="22"/>
          <w:szCs w:val="22"/>
        </w:rPr>
        <w:t>employment</w:t>
      </w:r>
      <w:r w:rsidR="00081526" w:rsidRPr="0099707F">
        <w:rPr>
          <w:rStyle w:val="normaltextrun"/>
          <w:rFonts w:asciiTheme="minorHAnsi" w:eastAsiaTheme="minorEastAsia" w:hAnsiTheme="minorHAnsi" w:cstheme="minorBidi"/>
          <w:sz w:val="22"/>
          <w:szCs w:val="22"/>
        </w:rPr>
        <w:t xml:space="preserve"> </w:t>
      </w:r>
      <w:r w:rsidR="005C5C80" w:rsidRPr="0099707F">
        <w:rPr>
          <w:rStyle w:val="normaltextrun"/>
          <w:rFonts w:asciiTheme="minorHAnsi" w:eastAsiaTheme="minorEastAsia" w:hAnsiTheme="minorHAnsi" w:cstheme="minorBidi"/>
          <w:sz w:val="22"/>
          <w:szCs w:val="22"/>
        </w:rPr>
        <w:t>support</w:t>
      </w:r>
      <w:r w:rsidR="001E4C3B" w:rsidRPr="0099707F">
        <w:rPr>
          <w:rStyle w:val="normaltextrun"/>
          <w:rFonts w:asciiTheme="minorHAnsi" w:eastAsiaTheme="minorEastAsia" w:hAnsiTheme="minorHAnsi" w:cstheme="minorBidi"/>
          <w:sz w:val="22"/>
          <w:szCs w:val="22"/>
        </w:rPr>
        <w:t xml:space="preserve"> </w:t>
      </w:r>
      <w:r w:rsidR="001975D5" w:rsidRPr="0099707F">
        <w:rPr>
          <w:rStyle w:val="normaltextrun"/>
          <w:rFonts w:asciiTheme="minorHAnsi" w:eastAsiaTheme="minorEastAsia" w:hAnsiTheme="minorHAnsi" w:cstheme="minorBidi"/>
          <w:sz w:val="22"/>
          <w:szCs w:val="22"/>
        </w:rPr>
        <w:t xml:space="preserve">for vulnerable parents, many of whom are women and single </w:t>
      </w:r>
      <w:r w:rsidR="009D4924" w:rsidRPr="0099707F">
        <w:rPr>
          <w:rStyle w:val="normaltextrun"/>
          <w:rFonts w:asciiTheme="minorHAnsi" w:eastAsiaTheme="minorEastAsia" w:hAnsiTheme="minorHAnsi" w:cstheme="minorBidi"/>
          <w:sz w:val="22"/>
          <w:szCs w:val="22"/>
        </w:rPr>
        <w:t>parents</w:t>
      </w:r>
      <w:r w:rsidR="001975D5" w:rsidRPr="0099707F">
        <w:rPr>
          <w:rStyle w:val="normaltextrun"/>
          <w:rFonts w:asciiTheme="minorHAnsi" w:eastAsiaTheme="minorEastAsia" w:hAnsiTheme="minorHAnsi" w:cstheme="minorBidi"/>
          <w:sz w:val="22"/>
          <w:szCs w:val="22"/>
        </w:rPr>
        <w:t xml:space="preserve">, </w:t>
      </w:r>
      <w:bookmarkEnd w:id="24"/>
      <w:r w:rsidR="00396FC1" w:rsidRPr="0099707F">
        <w:rPr>
          <w:rStyle w:val="normaltextrun"/>
          <w:rFonts w:asciiTheme="minorHAnsi" w:eastAsiaTheme="minorEastAsia" w:hAnsiTheme="minorHAnsi" w:cstheme="minorBidi"/>
          <w:sz w:val="22"/>
          <w:szCs w:val="22"/>
        </w:rPr>
        <w:t>would be</w:t>
      </w:r>
      <w:r w:rsidRPr="0099707F">
        <w:rPr>
          <w:rStyle w:val="normaltextrun"/>
          <w:rFonts w:asciiTheme="minorHAnsi" w:eastAsiaTheme="minorEastAsia" w:hAnsiTheme="minorHAnsi" w:cstheme="minorBidi"/>
          <w:sz w:val="22"/>
          <w:szCs w:val="22"/>
        </w:rPr>
        <w:t xml:space="preserve"> to:</w:t>
      </w:r>
    </w:p>
    <w:p w14:paraId="34502909" w14:textId="6FB33B1E" w:rsidR="002C5D7B" w:rsidRPr="005176A2" w:rsidRDefault="002C5D7B" w:rsidP="00A40BD4">
      <w:pPr>
        <w:pStyle w:val="ListParagraph"/>
        <w:numPr>
          <w:ilvl w:val="0"/>
          <w:numId w:val="13"/>
        </w:numPr>
        <w:rPr>
          <w:rFonts w:cstheme="minorHAnsi"/>
        </w:rPr>
      </w:pPr>
      <w:bookmarkStart w:id="26" w:name="_Hlk148361688"/>
      <w:r w:rsidRPr="005176A2">
        <w:rPr>
          <w:rFonts w:cstheme="minorHAnsi"/>
        </w:rPr>
        <w:t>improve the</w:t>
      </w:r>
      <w:r w:rsidR="00110675">
        <w:rPr>
          <w:rFonts w:cstheme="minorHAnsi"/>
        </w:rPr>
        <w:t xml:space="preserve"> </w:t>
      </w:r>
      <w:r w:rsidRPr="005176A2">
        <w:rPr>
          <w:rFonts w:cstheme="minorHAnsi"/>
        </w:rPr>
        <w:t>longer-term economic security of parents</w:t>
      </w:r>
    </w:p>
    <w:bookmarkEnd w:id="26"/>
    <w:p w14:paraId="024320E1" w14:textId="77777777" w:rsidR="002C5D7B" w:rsidRPr="005176A2" w:rsidRDefault="002C5D7B" w:rsidP="00A40BD4">
      <w:pPr>
        <w:pStyle w:val="ListParagraph"/>
        <w:numPr>
          <w:ilvl w:val="0"/>
          <w:numId w:val="13"/>
        </w:numPr>
        <w:rPr>
          <w:rFonts w:cstheme="minorHAnsi"/>
        </w:rPr>
      </w:pPr>
      <w:r w:rsidRPr="005176A2">
        <w:rPr>
          <w:rFonts w:cstheme="minorHAnsi"/>
        </w:rPr>
        <w:t xml:space="preserve">support parents to progress towards their skills and education goals </w:t>
      </w:r>
    </w:p>
    <w:p w14:paraId="64510CB6" w14:textId="2E730A7A" w:rsidR="002C5D7B" w:rsidRPr="005176A2" w:rsidRDefault="002C5D7B" w:rsidP="00A40BD4">
      <w:pPr>
        <w:pStyle w:val="ListParagraph"/>
        <w:numPr>
          <w:ilvl w:val="0"/>
          <w:numId w:val="13"/>
        </w:numPr>
        <w:rPr>
          <w:rFonts w:cstheme="minorHAnsi"/>
        </w:rPr>
      </w:pPr>
      <w:r w:rsidRPr="005176A2">
        <w:rPr>
          <w:rFonts w:cstheme="minorHAnsi"/>
        </w:rPr>
        <w:t>help parents access</w:t>
      </w:r>
      <w:r w:rsidR="00110675">
        <w:rPr>
          <w:rFonts w:cstheme="minorHAnsi"/>
        </w:rPr>
        <w:t xml:space="preserve"> </w:t>
      </w:r>
      <w:r w:rsidRPr="005176A2">
        <w:rPr>
          <w:rFonts w:cstheme="minorHAnsi"/>
        </w:rPr>
        <w:t>suitable employment opportunities</w:t>
      </w:r>
    </w:p>
    <w:p w14:paraId="14618C12" w14:textId="48C4CA8D" w:rsidR="002C5D7B" w:rsidRPr="005176A2" w:rsidRDefault="002C5D7B" w:rsidP="00A40BD4">
      <w:pPr>
        <w:pStyle w:val="ListParagraph"/>
        <w:numPr>
          <w:ilvl w:val="0"/>
          <w:numId w:val="13"/>
        </w:numPr>
        <w:rPr>
          <w:rFonts w:cstheme="minorHAnsi"/>
        </w:rPr>
      </w:pPr>
      <w:r w:rsidRPr="005176A2">
        <w:rPr>
          <w:rFonts w:cstheme="minorHAnsi"/>
        </w:rPr>
        <w:t>assist parents to identify their future aspirations and education and employment goals that will lead to secure and decent work that fits with their caring responsibilities</w:t>
      </w:r>
    </w:p>
    <w:p w14:paraId="7D4752DF" w14:textId="130CFE86" w:rsidR="002C5D7B" w:rsidRPr="005176A2" w:rsidRDefault="002C5D7B" w:rsidP="00A40BD4">
      <w:pPr>
        <w:pStyle w:val="ListParagraph"/>
        <w:numPr>
          <w:ilvl w:val="0"/>
          <w:numId w:val="13"/>
        </w:numPr>
        <w:rPr>
          <w:rFonts w:cstheme="minorHAnsi"/>
        </w:rPr>
      </w:pPr>
      <w:r w:rsidRPr="005176A2">
        <w:rPr>
          <w:rFonts w:cstheme="minorHAnsi"/>
        </w:rPr>
        <w:t>support parents to access other services and supports to help them to care for their family and address barriers to their education and career goals.</w:t>
      </w:r>
    </w:p>
    <w:bookmarkEnd w:id="25"/>
    <w:p w14:paraId="28FF44F1" w14:textId="79F68284" w:rsidR="00463362" w:rsidRPr="0084027B" w:rsidRDefault="00463362" w:rsidP="00463362">
      <w:r w:rsidRPr="0082427F">
        <w:t xml:space="preserve">Changes in the long-term economic security of parents cannot be measured in a few years. However, evidence shows that supportive programs that help address vocational and non-vocational barriers </w:t>
      </w:r>
      <w:r w:rsidRPr="00A66353">
        <w:t>and encourage participation in education and training lead to increased work readiness and workforce participation which improves parents’ financial wellbeing and economic and social security going forward</w:t>
      </w:r>
      <w:r w:rsidRPr="0084027B">
        <w:t>.</w:t>
      </w:r>
    </w:p>
    <w:p w14:paraId="64049E33" w14:textId="77777777" w:rsidR="00463362" w:rsidRPr="0084027B" w:rsidRDefault="00463362" w:rsidP="00463362">
      <w:r w:rsidRPr="00A66353">
        <w:t>Indicators of success would include</w:t>
      </w:r>
      <w:r w:rsidRPr="0084027B">
        <w:t xml:space="preserve">: </w:t>
      </w:r>
    </w:p>
    <w:p w14:paraId="203603C3" w14:textId="77777777" w:rsidR="00463362" w:rsidRPr="005176A2" w:rsidRDefault="00463362" w:rsidP="00A40BD4">
      <w:pPr>
        <w:pStyle w:val="ListParagraph"/>
        <w:numPr>
          <w:ilvl w:val="0"/>
          <w:numId w:val="13"/>
        </w:numPr>
        <w:rPr>
          <w:rFonts w:cstheme="minorHAnsi"/>
        </w:rPr>
      </w:pPr>
      <w:r w:rsidRPr="005176A2">
        <w:rPr>
          <w:rFonts w:cstheme="minorHAnsi"/>
        </w:rPr>
        <w:t>improvement in the human capability of parents, including parents’ wellbeing, motivation and confidence</w:t>
      </w:r>
    </w:p>
    <w:p w14:paraId="533B25A2" w14:textId="756689A5" w:rsidR="00463362" w:rsidRPr="005176A2" w:rsidRDefault="00396FC1" w:rsidP="00A40BD4">
      <w:pPr>
        <w:pStyle w:val="ListParagraph"/>
        <w:numPr>
          <w:ilvl w:val="0"/>
          <w:numId w:val="13"/>
        </w:numPr>
        <w:rPr>
          <w:rFonts w:cstheme="minorHAnsi"/>
        </w:rPr>
      </w:pPr>
      <w:r w:rsidRPr="005176A2">
        <w:rPr>
          <w:rFonts w:cstheme="minorHAnsi"/>
        </w:rPr>
        <w:t>i</w:t>
      </w:r>
      <w:r w:rsidR="00463362" w:rsidRPr="005176A2">
        <w:rPr>
          <w:rFonts w:cstheme="minorHAnsi"/>
        </w:rPr>
        <w:t>mprovement in the pre-employment skills of parents (such as reading and writing skills, numeracy, computer skills and job-specific skills)</w:t>
      </w:r>
    </w:p>
    <w:p w14:paraId="1F1F90DE" w14:textId="77777777" w:rsidR="00463362" w:rsidRPr="005176A2" w:rsidRDefault="00463362" w:rsidP="00A40BD4">
      <w:pPr>
        <w:pStyle w:val="ListParagraph"/>
        <w:numPr>
          <w:ilvl w:val="0"/>
          <w:numId w:val="13"/>
        </w:numPr>
        <w:rPr>
          <w:rFonts w:cstheme="minorHAnsi"/>
        </w:rPr>
      </w:pPr>
      <w:r w:rsidRPr="005176A2">
        <w:rPr>
          <w:rFonts w:cstheme="minorHAnsi"/>
        </w:rPr>
        <w:t xml:space="preserve">parents’ progress in addressing barriers to education and employment </w:t>
      </w:r>
    </w:p>
    <w:p w14:paraId="19056666" w14:textId="77777777" w:rsidR="00463362" w:rsidRPr="005176A2" w:rsidRDefault="00463362" w:rsidP="00A40BD4">
      <w:pPr>
        <w:pStyle w:val="ListParagraph"/>
        <w:numPr>
          <w:ilvl w:val="0"/>
          <w:numId w:val="13"/>
        </w:numPr>
        <w:rPr>
          <w:rFonts w:cstheme="minorHAnsi"/>
        </w:rPr>
      </w:pPr>
      <w:r w:rsidRPr="005176A2">
        <w:rPr>
          <w:rFonts w:cstheme="minorHAnsi"/>
        </w:rPr>
        <w:t>attainment of education and training (vocational) qualifications</w:t>
      </w:r>
    </w:p>
    <w:p w14:paraId="7F36110C" w14:textId="77777777" w:rsidR="00463362" w:rsidRPr="005176A2" w:rsidRDefault="00463362" w:rsidP="00A40BD4">
      <w:pPr>
        <w:pStyle w:val="ListParagraph"/>
        <w:numPr>
          <w:ilvl w:val="0"/>
          <w:numId w:val="13"/>
        </w:numPr>
        <w:rPr>
          <w:rFonts w:cstheme="minorHAnsi"/>
        </w:rPr>
      </w:pPr>
      <w:r w:rsidRPr="005176A2">
        <w:rPr>
          <w:rFonts w:cstheme="minorHAnsi"/>
        </w:rPr>
        <w:t>participation in work experience and employment</w:t>
      </w:r>
    </w:p>
    <w:p w14:paraId="5838E9D3" w14:textId="77777777" w:rsidR="00463362" w:rsidRPr="005176A2" w:rsidRDefault="00463362" w:rsidP="00A40BD4">
      <w:pPr>
        <w:pStyle w:val="ListParagraph"/>
        <w:numPr>
          <w:ilvl w:val="0"/>
          <w:numId w:val="13"/>
        </w:numPr>
        <w:rPr>
          <w:rFonts w:cstheme="minorHAnsi"/>
        </w:rPr>
      </w:pPr>
      <w:r w:rsidRPr="005176A2">
        <w:rPr>
          <w:rFonts w:cstheme="minorHAnsi"/>
        </w:rPr>
        <w:t>reduced reliance on income support.</w:t>
      </w:r>
    </w:p>
    <w:p w14:paraId="4EC5C95D" w14:textId="51A0F399" w:rsidR="00FB0C86" w:rsidRPr="00A66353" w:rsidRDefault="00563542" w:rsidP="0035699E">
      <w:pPr>
        <w:rPr>
          <w:rFonts w:cstheme="minorHAnsi"/>
        </w:rPr>
      </w:pPr>
      <w:r w:rsidRPr="00A66353">
        <w:rPr>
          <w:rFonts w:cstheme="minorHAnsi"/>
        </w:rPr>
        <w:t xml:space="preserve">Outside of </w:t>
      </w:r>
      <w:r w:rsidR="00107AB9" w:rsidRPr="00A66353">
        <w:rPr>
          <w:rFonts w:cstheme="minorHAnsi"/>
        </w:rPr>
        <w:t xml:space="preserve">government </w:t>
      </w:r>
      <w:r w:rsidR="00922F10" w:rsidRPr="00A66353">
        <w:rPr>
          <w:rFonts w:cstheme="minorHAnsi"/>
        </w:rPr>
        <w:t>measures, there are</w:t>
      </w:r>
      <w:r w:rsidR="00E22861" w:rsidRPr="00A66353">
        <w:rPr>
          <w:rFonts w:cstheme="minorHAnsi"/>
        </w:rPr>
        <w:t xml:space="preserve"> not coordinated support </w:t>
      </w:r>
      <w:r w:rsidR="000A4CF1" w:rsidRPr="00A66353">
        <w:rPr>
          <w:rFonts w:cstheme="minorHAnsi"/>
        </w:rPr>
        <w:t>service</w:t>
      </w:r>
      <w:r w:rsidR="00922F10" w:rsidRPr="00A66353">
        <w:rPr>
          <w:rFonts w:cstheme="minorHAnsi"/>
        </w:rPr>
        <w:t>s</w:t>
      </w:r>
      <w:r w:rsidR="00E22861" w:rsidRPr="00A66353">
        <w:rPr>
          <w:rFonts w:cstheme="minorHAnsi"/>
        </w:rPr>
        <w:t xml:space="preserve"> available </w:t>
      </w:r>
      <w:r w:rsidR="00F354C1">
        <w:rPr>
          <w:rFonts w:cstheme="minorHAnsi"/>
        </w:rPr>
        <w:t xml:space="preserve">nationally </w:t>
      </w:r>
      <w:r w:rsidR="005F070E" w:rsidRPr="00A66353">
        <w:rPr>
          <w:rFonts w:cstheme="minorHAnsi"/>
        </w:rPr>
        <w:t xml:space="preserve">to </w:t>
      </w:r>
      <w:r w:rsidR="006F0B22" w:rsidRPr="00A66353">
        <w:rPr>
          <w:rFonts w:cstheme="minorHAnsi"/>
        </w:rPr>
        <w:t xml:space="preserve">freely </w:t>
      </w:r>
      <w:r w:rsidR="00164F1A" w:rsidRPr="00A66353">
        <w:rPr>
          <w:rFonts w:cstheme="minorHAnsi"/>
        </w:rPr>
        <w:t>assist</w:t>
      </w:r>
      <w:r w:rsidR="005F070E" w:rsidRPr="00A66353">
        <w:rPr>
          <w:rFonts w:cstheme="minorHAnsi"/>
        </w:rPr>
        <w:t xml:space="preserve"> </w:t>
      </w:r>
      <w:r w:rsidR="000A4CF1" w:rsidRPr="00A66353">
        <w:rPr>
          <w:rFonts w:cstheme="minorHAnsi"/>
        </w:rPr>
        <w:t xml:space="preserve">vulnerable parents </w:t>
      </w:r>
      <w:r w:rsidR="001915BD" w:rsidRPr="00A66353">
        <w:rPr>
          <w:rFonts w:cstheme="minorHAnsi"/>
        </w:rPr>
        <w:t xml:space="preserve">to </w:t>
      </w:r>
      <w:r w:rsidR="00164F1A" w:rsidRPr="00A66353">
        <w:rPr>
          <w:rFonts w:cstheme="minorHAnsi"/>
        </w:rPr>
        <w:t xml:space="preserve">overcome </w:t>
      </w:r>
      <w:r w:rsidR="00AC4A68" w:rsidRPr="00A66353">
        <w:rPr>
          <w:rFonts w:cstheme="minorHAnsi"/>
        </w:rPr>
        <w:t xml:space="preserve">barriers to </w:t>
      </w:r>
      <w:r w:rsidR="00BE24E3" w:rsidRPr="00A66353">
        <w:rPr>
          <w:rFonts w:cstheme="minorHAnsi"/>
        </w:rPr>
        <w:t>education and employment</w:t>
      </w:r>
      <w:r w:rsidR="00AA303F" w:rsidRPr="00A66353">
        <w:rPr>
          <w:rFonts w:cstheme="minorHAnsi"/>
        </w:rPr>
        <w:t xml:space="preserve">, including </w:t>
      </w:r>
      <w:r w:rsidR="00724A47" w:rsidRPr="00A66353">
        <w:rPr>
          <w:rFonts w:cstheme="minorHAnsi"/>
        </w:rPr>
        <w:t xml:space="preserve">by </w:t>
      </w:r>
      <w:r w:rsidR="00AA303F" w:rsidRPr="00A66353">
        <w:rPr>
          <w:rFonts w:cstheme="minorHAnsi"/>
        </w:rPr>
        <w:lastRenderedPageBreak/>
        <w:t xml:space="preserve">providing financial </w:t>
      </w:r>
      <w:r w:rsidR="00724A47" w:rsidRPr="00A66353">
        <w:rPr>
          <w:rFonts w:cstheme="minorHAnsi"/>
        </w:rPr>
        <w:t>assistance</w:t>
      </w:r>
      <w:r w:rsidR="00BE24E3" w:rsidRPr="00A66353">
        <w:rPr>
          <w:rFonts w:cstheme="minorHAnsi"/>
        </w:rPr>
        <w:t xml:space="preserve">. </w:t>
      </w:r>
      <w:r w:rsidR="00724A47" w:rsidRPr="00A66353">
        <w:rPr>
          <w:rFonts w:cstheme="minorHAnsi"/>
        </w:rPr>
        <w:t>Private sector intervention is not a viable option</w:t>
      </w:r>
      <w:r w:rsidR="00DA16AD">
        <w:rPr>
          <w:rFonts w:cstheme="minorHAnsi"/>
        </w:rPr>
        <w:t xml:space="preserve"> for vulnerable parents</w:t>
      </w:r>
      <w:r w:rsidR="00724A47" w:rsidRPr="00A66353">
        <w:rPr>
          <w:rFonts w:cstheme="minorHAnsi"/>
        </w:rPr>
        <w:t xml:space="preserve">, other than where </w:t>
      </w:r>
      <w:r w:rsidR="00A638EF" w:rsidRPr="00A66353">
        <w:rPr>
          <w:rFonts w:cstheme="minorHAnsi"/>
        </w:rPr>
        <w:t>bu</w:t>
      </w:r>
      <w:r w:rsidR="00F41C5E" w:rsidRPr="00A66353">
        <w:rPr>
          <w:rFonts w:cstheme="minorHAnsi"/>
        </w:rPr>
        <w:t xml:space="preserve">sinesses may be contracted to provide outsourced </w:t>
      </w:r>
      <w:r w:rsidR="00121C76" w:rsidRPr="00A66353">
        <w:rPr>
          <w:rFonts w:cstheme="minorHAnsi"/>
        </w:rPr>
        <w:t>services.</w:t>
      </w:r>
    </w:p>
    <w:p w14:paraId="29D036FD" w14:textId="1EA832BB" w:rsidR="00AB3AD8" w:rsidRDefault="008F71EF" w:rsidP="00A40BD4">
      <w:pPr>
        <w:pStyle w:val="Heading1"/>
        <w:numPr>
          <w:ilvl w:val="0"/>
          <w:numId w:val="11"/>
        </w:numPr>
        <w:ind w:left="357" w:hanging="357"/>
      </w:pPr>
      <w:bookmarkStart w:id="27" w:name="_Toc147863162"/>
      <w:bookmarkStart w:id="28" w:name="_Toc147863163"/>
      <w:bookmarkStart w:id="29" w:name="_Toc147863164"/>
      <w:bookmarkStart w:id="30" w:name="_Toc147863165"/>
      <w:bookmarkStart w:id="31" w:name="_Toc147863166"/>
      <w:bookmarkStart w:id="32" w:name="_Toc147863167"/>
      <w:bookmarkStart w:id="33" w:name="_Toc147863168"/>
      <w:bookmarkStart w:id="34" w:name="_Toc147863169"/>
      <w:bookmarkStart w:id="35" w:name="_Toc147863170"/>
      <w:bookmarkStart w:id="36" w:name="_Toc147863171"/>
      <w:bookmarkStart w:id="37" w:name="_Toc147863172"/>
      <w:bookmarkStart w:id="38" w:name="_Toc147863173"/>
      <w:bookmarkStart w:id="39" w:name="_Toc147863174"/>
      <w:bookmarkStart w:id="40" w:name="_Toc147863175"/>
      <w:bookmarkStart w:id="41" w:name="_Toc147863176"/>
      <w:bookmarkStart w:id="42" w:name="_Toc151123104"/>
      <w:bookmarkStart w:id="43" w:name="_Toc96326924"/>
      <w:bookmarkEnd w:id="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What policy options are you considering?</w:t>
      </w:r>
      <w:bookmarkEnd w:id="42"/>
    </w:p>
    <w:p w14:paraId="7A84A20C" w14:textId="0703A7A5" w:rsidR="008F12A3" w:rsidRDefault="00B25B45" w:rsidP="00B25B45">
      <w:r>
        <w:t xml:space="preserve">Three policy options are considered in this Impact Analysis for </w:t>
      </w:r>
      <w:r w:rsidR="00541956">
        <w:t xml:space="preserve">pre-employment assistance to </w:t>
      </w:r>
      <w:r>
        <w:t>replace the ParentsNext program.</w:t>
      </w:r>
    </w:p>
    <w:p w14:paraId="4EBA3C29" w14:textId="16BED207" w:rsidR="00F27CD7" w:rsidRPr="00F25814" w:rsidRDefault="00F27CD7" w:rsidP="00A40BD4">
      <w:pPr>
        <w:pStyle w:val="ListParagraph"/>
        <w:numPr>
          <w:ilvl w:val="0"/>
          <w:numId w:val="13"/>
        </w:numPr>
        <w:rPr>
          <w:rFonts w:cstheme="minorHAnsi"/>
        </w:rPr>
      </w:pPr>
      <w:r w:rsidRPr="00F25814">
        <w:rPr>
          <w:rFonts w:cstheme="minorHAnsi"/>
        </w:rPr>
        <w:t>Opti</w:t>
      </w:r>
      <w:r w:rsidR="00592C68" w:rsidRPr="00F25814">
        <w:rPr>
          <w:rFonts w:cstheme="minorHAnsi"/>
        </w:rPr>
        <w:t xml:space="preserve">on 1 </w:t>
      </w:r>
      <w:r w:rsidR="005B139D" w:rsidRPr="00F25814">
        <w:rPr>
          <w:rFonts w:cstheme="minorHAnsi"/>
        </w:rPr>
        <w:t>– no pre-</w:t>
      </w:r>
      <w:r w:rsidR="00EE6CC3" w:rsidRPr="00F25814">
        <w:rPr>
          <w:rFonts w:cstheme="minorHAnsi"/>
        </w:rPr>
        <w:t>employment</w:t>
      </w:r>
      <w:r w:rsidR="005B139D" w:rsidRPr="00F25814">
        <w:rPr>
          <w:rFonts w:cstheme="minorHAnsi"/>
        </w:rPr>
        <w:t xml:space="preserve"> </w:t>
      </w:r>
      <w:r w:rsidR="00EE6CC3" w:rsidRPr="00F25814">
        <w:rPr>
          <w:rFonts w:cstheme="minorHAnsi"/>
        </w:rPr>
        <w:t>service</w:t>
      </w:r>
      <w:r w:rsidR="005B139D" w:rsidRPr="00F25814">
        <w:rPr>
          <w:rFonts w:cstheme="minorHAnsi"/>
        </w:rPr>
        <w:t xml:space="preserve"> for pa</w:t>
      </w:r>
      <w:r w:rsidR="00AB06F2" w:rsidRPr="00F25814">
        <w:rPr>
          <w:rFonts w:cstheme="minorHAnsi"/>
        </w:rPr>
        <w:t>r</w:t>
      </w:r>
      <w:r w:rsidR="005B139D" w:rsidRPr="00F25814">
        <w:rPr>
          <w:rFonts w:cstheme="minorHAnsi"/>
        </w:rPr>
        <w:t>ents</w:t>
      </w:r>
    </w:p>
    <w:p w14:paraId="79106E51" w14:textId="152B07BB" w:rsidR="005B139D" w:rsidRPr="00F25814" w:rsidRDefault="005B139D" w:rsidP="00A40BD4">
      <w:pPr>
        <w:pStyle w:val="ListParagraph"/>
        <w:numPr>
          <w:ilvl w:val="0"/>
          <w:numId w:val="13"/>
        </w:numPr>
        <w:rPr>
          <w:rFonts w:cstheme="minorHAnsi"/>
        </w:rPr>
      </w:pPr>
      <w:r w:rsidRPr="00F25814">
        <w:rPr>
          <w:rFonts w:cstheme="minorHAnsi"/>
        </w:rPr>
        <w:t>Opt</w:t>
      </w:r>
      <w:r w:rsidR="00EE6CC3" w:rsidRPr="00F25814">
        <w:rPr>
          <w:rFonts w:cstheme="minorHAnsi"/>
        </w:rPr>
        <w:t>ion</w:t>
      </w:r>
      <w:r w:rsidRPr="00F25814">
        <w:rPr>
          <w:rFonts w:cstheme="minorHAnsi"/>
        </w:rPr>
        <w:t xml:space="preserve"> 2 </w:t>
      </w:r>
      <w:r w:rsidR="00EE6CC3" w:rsidRPr="00F25814">
        <w:rPr>
          <w:rFonts w:cstheme="minorHAnsi"/>
        </w:rPr>
        <w:t>– new voluntary pre-employment service for vulnerable parents</w:t>
      </w:r>
    </w:p>
    <w:p w14:paraId="244221D8" w14:textId="6B17E102" w:rsidR="00EE6CC3" w:rsidRPr="00F25814" w:rsidRDefault="00EE6CC3" w:rsidP="00A40BD4">
      <w:pPr>
        <w:pStyle w:val="ListParagraph"/>
        <w:numPr>
          <w:ilvl w:val="0"/>
          <w:numId w:val="13"/>
        </w:numPr>
        <w:rPr>
          <w:rFonts w:cstheme="minorHAnsi"/>
        </w:rPr>
      </w:pPr>
      <w:r w:rsidRPr="00F25814">
        <w:rPr>
          <w:rFonts w:cstheme="minorHAnsi"/>
        </w:rPr>
        <w:t>Option 3 – new voluntary pre-employment service for Parenting Payment recipients.</w:t>
      </w:r>
    </w:p>
    <w:p w14:paraId="26761A67" w14:textId="14C53971" w:rsidR="006A6206" w:rsidRDefault="00273AA0" w:rsidP="00B25B45">
      <w:r>
        <w:t>G</w:t>
      </w:r>
      <w:r w:rsidR="00134525">
        <w:t>i</w:t>
      </w:r>
      <w:r>
        <w:t xml:space="preserve">ven the government’s announcement in </w:t>
      </w:r>
      <w:r w:rsidR="006A6206">
        <w:t>the 2023</w:t>
      </w:r>
      <w:r w:rsidR="00332C59">
        <w:t xml:space="preserve">–24 </w:t>
      </w:r>
      <w:r w:rsidR="006A6206">
        <w:t xml:space="preserve">Budget that </w:t>
      </w:r>
      <w:r>
        <w:t xml:space="preserve">ParentsNext would be replaced by </w:t>
      </w:r>
      <w:r w:rsidR="006A6206">
        <w:t>a</w:t>
      </w:r>
      <w:r>
        <w:t xml:space="preserve"> </w:t>
      </w:r>
      <w:r w:rsidR="006A6206">
        <w:t>voluntary</w:t>
      </w:r>
      <w:r>
        <w:t xml:space="preserve"> </w:t>
      </w:r>
      <w:r w:rsidR="006A6206">
        <w:t>program, none of the options features compulsory participation.</w:t>
      </w:r>
    </w:p>
    <w:p w14:paraId="227F3D4B" w14:textId="6D24B552" w:rsidR="008F12A3" w:rsidRDefault="008F12A3" w:rsidP="00A40BD4">
      <w:pPr>
        <w:pStyle w:val="Heading2"/>
        <w:numPr>
          <w:ilvl w:val="1"/>
          <w:numId w:val="11"/>
        </w:numPr>
        <w:spacing w:before="40" w:line="259" w:lineRule="auto"/>
        <w:ind w:left="720"/>
      </w:pPr>
      <w:bookmarkStart w:id="44" w:name="_Toc147863178"/>
      <w:bookmarkStart w:id="45" w:name="_Toc151123105"/>
      <w:bookmarkEnd w:id="44"/>
      <w:r w:rsidRPr="00405232">
        <w:t>Option 1 –</w:t>
      </w:r>
      <w:r w:rsidR="007C394E">
        <w:t xml:space="preserve"> no </w:t>
      </w:r>
      <w:r>
        <w:t>pre-employment service for parents</w:t>
      </w:r>
      <w:bookmarkEnd w:id="45"/>
    </w:p>
    <w:p w14:paraId="0C13E13B" w14:textId="367D359C" w:rsidR="008F12A3" w:rsidRDefault="008F12A3" w:rsidP="008F12A3">
      <w:r>
        <w:t>Existing contracts with ParentsNext</w:t>
      </w:r>
      <w:r w:rsidR="00350514">
        <w:t xml:space="preserve"> providers</w:t>
      </w:r>
      <w:r>
        <w:t xml:space="preserve"> conclude on 30 June 2024. </w:t>
      </w:r>
      <w:r w:rsidR="00C27869">
        <w:t xml:space="preserve">Under this option </w:t>
      </w:r>
      <w:r>
        <w:t>ParentsNext</w:t>
      </w:r>
      <w:r w:rsidR="00350514">
        <w:t xml:space="preserve"> </w:t>
      </w:r>
      <w:r w:rsidR="0070097D">
        <w:t>w</w:t>
      </w:r>
      <w:r w:rsidR="00C27869">
        <w:t>ould</w:t>
      </w:r>
      <w:r w:rsidR="0070097D">
        <w:t xml:space="preserve"> not be </w:t>
      </w:r>
      <w:r w:rsidR="00BE472F">
        <w:t>replaced when it ends in Ju</w:t>
      </w:r>
      <w:r w:rsidR="00F7764E">
        <w:t>ne</w:t>
      </w:r>
      <w:r w:rsidR="00BE472F">
        <w:t xml:space="preserve"> 2024 by another </w:t>
      </w:r>
      <w:r w:rsidR="009077CF">
        <w:t xml:space="preserve">government </w:t>
      </w:r>
      <w:r w:rsidR="007574E6">
        <w:t xml:space="preserve">pre-employment </w:t>
      </w:r>
      <w:r>
        <w:t xml:space="preserve">service </w:t>
      </w:r>
      <w:r w:rsidR="007574E6">
        <w:t xml:space="preserve">dedicated to helping </w:t>
      </w:r>
      <w:r w:rsidR="003016E0">
        <w:t>vulnerable</w:t>
      </w:r>
      <w:r>
        <w:t xml:space="preserve"> parents of young children to</w:t>
      </w:r>
      <w:r w:rsidR="007574E6">
        <w:t xml:space="preserve">wards their </w:t>
      </w:r>
      <w:r>
        <w:t xml:space="preserve">education and employment </w:t>
      </w:r>
      <w:r w:rsidR="007574E6">
        <w:t>objectives so that they can return to the workforce when they are ready.</w:t>
      </w:r>
      <w:r w:rsidR="3F392066">
        <w:t xml:space="preserve"> Those parents who s</w:t>
      </w:r>
      <w:r w:rsidR="032F66C0">
        <w:t xml:space="preserve">tarted participating in education or other activities </w:t>
      </w:r>
      <w:r w:rsidR="0BF1FB7D">
        <w:t xml:space="preserve">with program assistance </w:t>
      </w:r>
      <w:r w:rsidR="032F66C0">
        <w:t xml:space="preserve">would no longer have access to </w:t>
      </w:r>
      <w:r w:rsidR="00D016D2">
        <w:t>mentoring or financial support</w:t>
      </w:r>
      <w:r w:rsidR="032F66C0">
        <w:t xml:space="preserve"> they may need to continu</w:t>
      </w:r>
      <w:r w:rsidR="51A1FFF1">
        <w:t>e their participation.</w:t>
      </w:r>
    </w:p>
    <w:p w14:paraId="7F05378E" w14:textId="0046A962" w:rsidR="007574E6" w:rsidRDefault="006767EA" w:rsidP="001A3375">
      <w:r>
        <w:t xml:space="preserve">Depending on their circumstances, interests and eligibility, parents </w:t>
      </w:r>
      <w:r w:rsidR="007574E6">
        <w:t>may be</w:t>
      </w:r>
      <w:r w:rsidR="00B6711C">
        <w:t xml:space="preserve"> </w:t>
      </w:r>
      <w:r>
        <w:t>able to participate in</w:t>
      </w:r>
      <w:r w:rsidR="007574E6">
        <w:t xml:space="preserve"> other programs such as Workforce Australia – Transition to Work, Workforce Australia </w:t>
      </w:r>
      <w:r w:rsidR="003B4166">
        <w:t xml:space="preserve">– </w:t>
      </w:r>
      <w:r w:rsidR="007574E6">
        <w:t xml:space="preserve">Self-Employment Assistance, </w:t>
      </w:r>
      <w:r>
        <w:t>Workforce Australia</w:t>
      </w:r>
      <w:r w:rsidR="007D49CC">
        <w:t xml:space="preserve"> – Career </w:t>
      </w:r>
      <w:r>
        <w:t>Transition Assistance and Workforce Australia Online for Individuals.</w:t>
      </w:r>
      <w:r w:rsidR="0016525C">
        <w:t xml:space="preserve"> However, </w:t>
      </w:r>
      <w:r w:rsidR="00D30F11">
        <w:t xml:space="preserve">these programs </w:t>
      </w:r>
      <w:r w:rsidR="005B6552">
        <w:t xml:space="preserve">are not designed for parents of young children and </w:t>
      </w:r>
      <w:r w:rsidR="00D30F11">
        <w:t xml:space="preserve">generally focus on people who are ready </w:t>
      </w:r>
      <w:r w:rsidR="009208CC">
        <w:t>f</w:t>
      </w:r>
      <w:r w:rsidR="003C173D">
        <w:t>or</w:t>
      </w:r>
      <w:r w:rsidR="009208CC">
        <w:t xml:space="preserve"> work</w:t>
      </w:r>
      <w:r w:rsidR="00171710">
        <w:t xml:space="preserve">. </w:t>
      </w:r>
      <w:r w:rsidR="00785CB0">
        <w:t xml:space="preserve">Parents may have access to </w:t>
      </w:r>
      <w:r w:rsidR="00D27423">
        <w:t xml:space="preserve">programs </w:t>
      </w:r>
      <w:r w:rsidR="00C562F3">
        <w:t xml:space="preserve">where they are </w:t>
      </w:r>
      <w:r w:rsidR="00D27423">
        <w:t>offered by state and territory government</w:t>
      </w:r>
      <w:r w:rsidR="00B82735">
        <w:t>s and non-government</w:t>
      </w:r>
      <w:r w:rsidR="00D27423">
        <w:t xml:space="preserve"> organisations, however, these services are not </w:t>
      </w:r>
      <w:r w:rsidR="00DA16AD">
        <w:t xml:space="preserve">widely </w:t>
      </w:r>
      <w:r w:rsidR="00D27423">
        <w:t>available or accessible nationally.</w:t>
      </w:r>
    </w:p>
    <w:p w14:paraId="2080FC90" w14:textId="3466FAC2" w:rsidR="00E1003B" w:rsidDel="00CB5096" w:rsidRDefault="00E1003B" w:rsidP="001A3375">
      <w:r w:rsidDel="00CB5096">
        <w:t>This option would not fulfil the overall aim of supporting vulnerable parents, most of whom are women and single parents, to achieve their</w:t>
      </w:r>
      <w:r w:rsidRPr="00E85E75" w:rsidDel="00CB5096">
        <w:t xml:space="preserve"> </w:t>
      </w:r>
      <w:r w:rsidDel="00CB5096">
        <w:t>full social and economic participation potential. It is also inconsistent with strong feedback from parents that they need support to access and navigate government assistance.</w:t>
      </w:r>
      <w:bookmarkStart w:id="46" w:name="_Toc148683425"/>
      <w:bookmarkEnd w:id="46"/>
    </w:p>
    <w:p w14:paraId="0EC43878" w14:textId="30A1A885" w:rsidR="008F12A3" w:rsidRDefault="001C6BBD" w:rsidP="00A40BD4">
      <w:pPr>
        <w:pStyle w:val="Heading2"/>
        <w:numPr>
          <w:ilvl w:val="1"/>
          <w:numId w:val="11"/>
        </w:numPr>
        <w:spacing w:before="40" w:line="259" w:lineRule="auto"/>
        <w:ind w:left="720"/>
      </w:pPr>
      <w:bookmarkStart w:id="47" w:name="_Toc151123106"/>
      <w:bookmarkStart w:id="48" w:name="_Hlk145591349"/>
      <w:r>
        <w:t>Option 2</w:t>
      </w:r>
      <w:r w:rsidR="00B25B45">
        <w:t xml:space="preserve"> – </w:t>
      </w:r>
      <w:bookmarkStart w:id="49" w:name="_Hlk147763936"/>
      <w:r w:rsidR="00B25B45">
        <w:t xml:space="preserve">new </w:t>
      </w:r>
      <w:r>
        <w:t xml:space="preserve">voluntary </w:t>
      </w:r>
      <w:r w:rsidR="00B25B45">
        <w:t xml:space="preserve">pre-employment service </w:t>
      </w:r>
      <w:r w:rsidR="00FF7C5E">
        <w:t>for vulnerable parents</w:t>
      </w:r>
      <w:bookmarkEnd w:id="47"/>
    </w:p>
    <w:bookmarkEnd w:id="48"/>
    <w:bookmarkEnd w:id="49"/>
    <w:p w14:paraId="4F9E7872" w14:textId="16613E6A" w:rsidR="00D330AB" w:rsidRDefault="005E706C" w:rsidP="00B25B45">
      <w:r>
        <w:t xml:space="preserve">Under this option a new voluntary pre-employment service for </w:t>
      </w:r>
      <w:r w:rsidR="00FF7C5E">
        <w:t xml:space="preserve">vulnerable </w:t>
      </w:r>
      <w:r>
        <w:t xml:space="preserve">parents </w:t>
      </w:r>
      <w:r w:rsidR="00F22807">
        <w:t xml:space="preserve">of young children </w:t>
      </w:r>
      <w:r w:rsidR="00345F55">
        <w:t xml:space="preserve">will start </w:t>
      </w:r>
      <w:r>
        <w:t xml:space="preserve">in </w:t>
      </w:r>
      <w:r w:rsidR="00DB3C93">
        <w:t>November 2024</w:t>
      </w:r>
      <w:r w:rsidR="00345F55">
        <w:t>. The service will be delivered by organisations chosen for the</w:t>
      </w:r>
      <w:r w:rsidR="00E924EA">
        <w:t>ir</w:t>
      </w:r>
      <w:r w:rsidR="00345F55">
        <w:t xml:space="preserve"> capacity to deliver the new, parent</w:t>
      </w:r>
      <w:r w:rsidR="00E924EA">
        <w:noBreakHyphen/>
      </w:r>
      <w:r w:rsidR="00345F55">
        <w:t>centric service</w:t>
      </w:r>
      <w:r w:rsidR="00F22807">
        <w:t xml:space="preserve"> </w:t>
      </w:r>
      <w:r w:rsidR="00CF62A3">
        <w:t xml:space="preserve">except in one </w:t>
      </w:r>
      <w:r w:rsidR="00F22807">
        <w:t xml:space="preserve">location </w:t>
      </w:r>
      <w:r w:rsidR="00074839">
        <w:t xml:space="preserve">where </w:t>
      </w:r>
      <w:r w:rsidR="00F22807">
        <w:t>delivery</w:t>
      </w:r>
      <w:r w:rsidR="001B615D">
        <w:t xml:space="preserve"> by the Australian Public Service </w:t>
      </w:r>
      <w:r w:rsidR="00942325">
        <w:t xml:space="preserve">(APS) </w:t>
      </w:r>
      <w:r w:rsidR="00E924EA">
        <w:t xml:space="preserve">will be </w:t>
      </w:r>
      <w:r w:rsidR="00FC2ACD">
        <w:t>piloted</w:t>
      </w:r>
      <w:r w:rsidR="00B25B45">
        <w:t xml:space="preserve">. </w:t>
      </w:r>
      <w:r w:rsidR="00E924EA">
        <w:t xml:space="preserve">To ensure that there is no gap in support for </w:t>
      </w:r>
      <w:r w:rsidR="00D330AB">
        <w:t>eligible</w:t>
      </w:r>
      <w:r w:rsidR="00E924EA">
        <w:t xml:space="preserve"> parents, the ParentsNext program and </w:t>
      </w:r>
      <w:r w:rsidR="008018DC">
        <w:t xml:space="preserve">existing </w:t>
      </w:r>
      <w:r w:rsidR="00E924EA">
        <w:t>contracts will be extended</w:t>
      </w:r>
      <w:r w:rsidR="00D330AB" w:rsidRPr="00D330AB">
        <w:t xml:space="preserve"> </w:t>
      </w:r>
      <w:r w:rsidR="5C09F75C" w:rsidRPr="00D330AB">
        <w:t xml:space="preserve">for </w:t>
      </w:r>
      <w:r w:rsidR="00DB3C93">
        <w:t>4</w:t>
      </w:r>
      <w:r w:rsidR="00DB3C93" w:rsidRPr="00D330AB">
        <w:t xml:space="preserve"> </w:t>
      </w:r>
      <w:r w:rsidR="5C09F75C" w:rsidRPr="00D330AB">
        <w:t xml:space="preserve">months </w:t>
      </w:r>
      <w:r w:rsidR="003C74B2">
        <w:t xml:space="preserve">until </w:t>
      </w:r>
      <w:r w:rsidR="00D330AB">
        <w:t xml:space="preserve">the new service </w:t>
      </w:r>
      <w:r w:rsidR="003C74B2">
        <w:t>commences</w:t>
      </w:r>
      <w:r w:rsidR="00D330AB">
        <w:t>.</w:t>
      </w:r>
    </w:p>
    <w:p w14:paraId="732CEA7D" w14:textId="43729B7D" w:rsidR="008B3592" w:rsidRPr="006C007D" w:rsidDel="0035699E" w:rsidRDefault="00781AE0" w:rsidP="008B3592">
      <w:pPr>
        <w:rPr>
          <w:rFonts w:cstheme="minorHAnsi"/>
        </w:rPr>
      </w:pPr>
      <w:r>
        <w:rPr>
          <w:rFonts w:cstheme="minorHAnsi"/>
        </w:rPr>
        <w:lastRenderedPageBreak/>
        <w:t>The</w:t>
      </w:r>
      <w:r w:rsidR="00222AF9">
        <w:rPr>
          <w:rFonts w:cstheme="minorHAnsi"/>
        </w:rPr>
        <w:t xml:space="preserve"> </w:t>
      </w:r>
      <w:r>
        <w:rPr>
          <w:rFonts w:cstheme="minorHAnsi"/>
        </w:rPr>
        <w:t xml:space="preserve">design </w:t>
      </w:r>
      <w:r w:rsidR="00222AF9">
        <w:rPr>
          <w:rFonts w:cstheme="minorHAnsi"/>
        </w:rPr>
        <w:t>principles</w:t>
      </w:r>
      <w:r>
        <w:rPr>
          <w:rFonts w:cstheme="minorHAnsi"/>
        </w:rPr>
        <w:t xml:space="preserve"> for this option</w:t>
      </w:r>
      <w:r w:rsidR="00A55F97">
        <w:rPr>
          <w:rFonts w:cstheme="minorHAnsi"/>
        </w:rPr>
        <w:t>,</w:t>
      </w:r>
      <w:r>
        <w:rPr>
          <w:rFonts w:cstheme="minorHAnsi"/>
        </w:rPr>
        <w:t xml:space="preserve"> </w:t>
      </w:r>
      <w:r w:rsidR="00222AF9">
        <w:rPr>
          <w:rFonts w:cstheme="minorHAnsi"/>
        </w:rPr>
        <w:t xml:space="preserve">which </w:t>
      </w:r>
      <w:r w:rsidR="00D506BC" w:rsidRPr="008018DC">
        <w:rPr>
          <w:rFonts w:cstheme="minorHAnsi"/>
        </w:rPr>
        <w:t xml:space="preserve">were informed by the </w:t>
      </w:r>
      <w:r w:rsidR="00C05F11" w:rsidRPr="008018DC">
        <w:rPr>
          <w:rFonts w:cstheme="minorHAnsi"/>
        </w:rPr>
        <w:t xml:space="preserve">Select Committee’s interim report </w:t>
      </w:r>
      <w:r w:rsidR="009075BC" w:rsidRPr="008018DC">
        <w:rPr>
          <w:rFonts w:cstheme="minorHAnsi"/>
        </w:rPr>
        <w:t xml:space="preserve">and </w:t>
      </w:r>
      <w:r w:rsidR="00154F21" w:rsidRPr="008018DC">
        <w:rPr>
          <w:rFonts w:cstheme="minorHAnsi"/>
        </w:rPr>
        <w:t xml:space="preserve">guided the department’s </w:t>
      </w:r>
      <w:r w:rsidR="00583CCB" w:rsidRPr="008018DC">
        <w:rPr>
          <w:rFonts w:cstheme="minorHAnsi"/>
        </w:rPr>
        <w:t>consultations</w:t>
      </w:r>
      <w:r w:rsidR="00A55F97">
        <w:rPr>
          <w:rFonts w:cstheme="minorHAnsi"/>
        </w:rPr>
        <w:t>,</w:t>
      </w:r>
      <w:r w:rsidR="00154F21" w:rsidRPr="008018DC">
        <w:rPr>
          <w:rFonts w:cstheme="minorHAnsi"/>
        </w:rPr>
        <w:t xml:space="preserve"> </w:t>
      </w:r>
      <w:r w:rsidR="0009177B">
        <w:rPr>
          <w:rFonts w:cstheme="minorHAnsi"/>
        </w:rPr>
        <w:t>are</w:t>
      </w:r>
      <w:r w:rsidR="008018DC" w:rsidRPr="008018DC">
        <w:rPr>
          <w:rFonts w:cstheme="minorHAnsi"/>
        </w:rPr>
        <w:t>:</w:t>
      </w:r>
    </w:p>
    <w:p w14:paraId="1D2CACAE" w14:textId="3EA620AA" w:rsidR="008B3592" w:rsidRPr="00F25814" w:rsidDel="0035699E" w:rsidRDefault="00DE4E4B" w:rsidP="00A40BD4">
      <w:pPr>
        <w:pStyle w:val="ListParagraph"/>
        <w:numPr>
          <w:ilvl w:val="0"/>
          <w:numId w:val="13"/>
        </w:numPr>
        <w:rPr>
          <w:rFonts w:cstheme="minorHAnsi"/>
        </w:rPr>
      </w:pPr>
      <w:r w:rsidRPr="00F25814">
        <w:rPr>
          <w:rFonts w:cstheme="minorHAnsi"/>
        </w:rPr>
        <w:t>t</w:t>
      </w:r>
      <w:r w:rsidR="006D2ACF" w:rsidRPr="00F25814">
        <w:rPr>
          <w:rFonts w:cstheme="minorHAnsi"/>
        </w:rPr>
        <w:t xml:space="preserve">argeted services which </w:t>
      </w:r>
      <w:r w:rsidR="008B3592" w:rsidRPr="00F25814" w:rsidDel="0035699E">
        <w:rPr>
          <w:rFonts w:cstheme="minorHAnsi"/>
        </w:rPr>
        <w:t>respond to individual needs, build confidence, combat isolation and support aspirations</w:t>
      </w:r>
    </w:p>
    <w:p w14:paraId="55E95F02" w14:textId="063FE54A" w:rsidR="008B3592" w:rsidRPr="00F25814" w:rsidDel="0035699E" w:rsidRDefault="008B3592" w:rsidP="00A40BD4">
      <w:pPr>
        <w:pStyle w:val="ListParagraph"/>
        <w:numPr>
          <w:ilvl w:val="0"/>
          <w:numId w:val="13"/>
        </w:numPr>
        <w:rPr>
          <w:rFonts w:cstheme="minorHAnsi"/>
        </w:rPr>
      </w:pPr>
      <w:r w:rsidRPr="00F25814" w:rsidDel="0035699E">
        <w:rPr>
          <w:rFonts w:cstheme="minorHAnsi"/>
        </w:rPr>
        <w:t>valu</w:t>
      </w:r>
      <w:r w:rsidR="006D2ACF" w:rsidRPr="00F25814">
        <w:rPr>
          <w:rFonts w:cstheme="minorHAnsi"/>
        </w:rPr>
        <w:t xml:space="preserve">ing </w:t>
      </w:r>
      <w:r w:rsidRPr="00F25814" w:rsidDel="0035699E">
        <w:rPr>
          <w:rFonts w:cstheme="minorHAnsi"/>
        </w:rPr>
        <w:t>unpaid care (caring for and raising children) as legitimate, important work</w:t>
      </w:r>
    </w:p>
    <w:p w14:paraId="2BCA1F37" w14:textId="338F1BAA" w:rsidR="006D2ACF" w:rsidRPr="00F25814" w:rsidDel="0035699E" w:rsidRDefault="006D2ACF" w:rsidP="00A40BD4">
      <w:pPr>
        <w:pStyle w:val="ListParagraph"/>
        <w:numPr>
          <w:ilvl w:val="0"/>
          <w:numId w:val="13"/>
        </w:numPr>
        <w:rPr>
          <w:rFonts w:cstheme="minorHAnsi"/>
        </w:rPr>
      </w:pPr>
      <w:r w:rsidRPr="00F25814">
        <w:rPr>
          <w:rFonts w:cstheme="minorHAnsi"/>
        </w:rPr>
        <w:t xml:space="preserve">a </w:t>
      </w:r>
      <w:r w:rsidRPr="00F25814" w:rsidDel="0035699E">
        <w:rPr>
          <w:rFonts w:cstheme="minorHAnsi"/>
        </w:rPr>
        <w:t>focus on participants’ strengths, on addressing barriers to social and economic participation, and on achieving financial security</w:t>
      </w:r>
    </w:p>
    <w:p w14:paraId="74EEBAB9" w14:textId="7ABEE8CF" w:rsidR="008B3592" w:rsidRPr="005A6D83" w:rsidDel="0035699E" w:rsidRDefault="006D2ACF" w:rsidP="00A40BD4">
      <w:pPr>
        <w:pStyle w:val="ListParagraph"/>
        <w:numPr>
          <w:ilvl w:val="0"/>
          <w:numId w:val="13"/>
        </w:numPr>
        <w:rPr>
          <w:rFonts w:cstheme="minorHAnsi"/>
        </w:rPr>
      </w:pPr>
      <w:r w:rsidRPr="00F25814">
        <w:rPr>
          <w:rFonts w:cstheme="minorHAnsi"/>
        </w:rPr>
        <w:t xml:space="preserve">a </w:t>
      </w:r>
      <w:r w:rsidR="008B3592" w:rsidRPr="00F25814" w:rsidDel="0035699E">
        <w:rPr>
          <w:rFonts w:cstheme="minorHAnsi"/>
        </w:rPr>
        <w:t>focus on job quality and security, as well as intersections between employment and social</w:t>
      </w:r>
      <w:r w:rsidR="008B3592" w:rsidRPr="005A6D83" w:rsidDel="0035699E">
        <w:rPr>
          <w:rFonts w:cstheme="minorHAnsi"/>
        </w:rPr>
        <w:t xml:space="preserve"> security, where a participant has employment as a goal</w:t>
      </w:r>
      <w:r w:rsidR="00583CCB">
        <w:rPr>
          <w:rFonts w:cstheme="minorHAnsi"/>
        </w:rPr>
        <w:t>.</w:t>
      </w:r>
    </w:p>
    <w:p w14:paraId="2AF26FB7" w14:textId="76105E20" w:rsidR="003F35DB" w:rsidRDefault="0009177B" w:rsidP="00B25B45">
      <w:r>
        <w:t>This</w:t>
      </w:r>
      <w:r w:rsidR="00910FA8">
        <w:t xml:space="preserve"> </w:t>
      </w:r>
      <w:r w:rsidR="00363EB3">
        <w:t xml:space="preserve">option </w:t>
      </w:r>
      <w:r w:rsidR="00910FA8">
        <w:t xml:space="preserve">directly addresses </w:t>
      </w:r>
      <w:r w:rsidR="000E77AD">
        <w:t xml:space="preserve">the </w:t>
      </w:r>
      <w:r w:rsidR="007969C2">
        <w:t xml:space="preserve">policy </w:t>
      </w:r>
      <w:r w:rsidR="000E77AD" w:rsidRPr="007969C2">
        <w:t>objectives</w:t>
      </w:r>
      <w:r w:rsidR="002D30A3" w:rsidRPr="007969C2">
        <w:t xml:space="preserve"> </w:t>
      </w:r>
      <w:r w:rsidR="00A119B5" w:rsidRPr="007969C2">
        <w:t xml:space="preserve">described at section </w:t>
      </w:r>
      <w:r w:rsidR="007969C2" w:rsidRPr="007969C2">
        <w:t>4</w:t>
      </w:r>
      <w:r w:rsidR="00DD6B43" w:rsidRPr="007969C2">
        <w:t xml:space="preserve"> by incorporating </w:t>
      </w:r>
      <w:r w:rsidR="003825A0" w:rsidRPr="007969C2">
        <w:t>support</w:t>
      </w:r>
      <w:r w:rsidR="003825A0">
        <w:t xml:space="preserve"> for</w:t>
      </w:r>
      <w:r w:rsidR="00DD6B43">
        <w:t xml:space="preserve"> parents </w:t>
      </w:r>
      <w:r w:rsidR="000331FD">
        <w:t>to identify and ach</w:t>
      </w:r>
      <w:r w:rsidR="00BC620E">
        <w:t>ieve</w:t>
      </w:r>
      <w:r w:rsidR="000331FD">
        <w:t xml:space="preserve"> their aspirations and</w:t>
      </w:r>
      <w:r w:rsidR="00A63145" w:rsidRPr="00A63145">
        <w:rPr>
          <w:rFonts w:eastAsia="Arial" w:cs="Arial"/>
        </w:rPr>
        <w:t xml:space="preserve"> </w:t>
      </w:r>
      <w:r w:rsidR="00A63145" w:rsidRPr="30EB8222">
        <w:rPr>
          <w:rFonts w:eastAsia="Arial" w:cs="Arial"/>
        </w:rPr>
        <w:t>education and employment</w:t>
      </w:r>
      <w:r w:rsidR="00805D2E">
        <w:rPr>
          <w:rFonts w:eastAsia="Arial" w:cs="Arial"/>
        </w:rPr>
        <w:t xml:space="preserve"> </w:t>
      </w:r>
      <w:r w:rsidR="00A63145" w:rsidRPr="30EB8222">
        <w:rPr>
          <w:rFonts w:eastAsia="Arial" w:cs="Arial"/>
        </w:rPr>
        <w:t>goals</w:t>
      </w:r>
      <w:r w:rsidR="00BC620E">
        <w:t xml:space="preserve"> while caring for their</w:t>
      </w:r>
      <w:r w:rsidR="00A63145">
        <w:t xml:space="preserve"> </w:t>
      </w:r>
      <w:r w:rsidR="00BC620E">
        <w:t>family.</w:t>
      </w:r>
      <w:r w:rsidR="00A63145">
        <w:t xml:space="preserve"> </w:t>
      </w:r>
      <w:r w:rsidR="00B709BC">
        <w:t>P</w:t>
      </w:r>
      <w:r w:rsidR="008C3D24">
        <w:t xml:space="preserve">re-employment support that </w:t>
      </w:r>
      <w:r w:rsidR="00B709BC">
        <w:t>leads</w:t>
      </w:r>
      <w:r w:rsidR="008C3D24">
        <w:t xml:space="preserve"> </w:t>
      </w:r>
      <w:r w:rsidR="00B709BC">
        <w:t xml:space="preserve">to </w:t>
      </w:r>
      <w:r w:rsidR="008C3D24">
        <w:t xml:space="preserve">vulnerable parents </w:t>
      </w:r>
      <w:r w:rsidR="00B709BC">
        <w:t xml:space="preserve">obtaining secure and suitable work will </w:t>
      </w:r>
      <w:r w:rsidR="002E1F2C">
        <w:t>improve their economic security in the longer term.</w:t>
      </w:r>
    </w:p>
    <w:p w14:paraId="1462B571" w14:textId="5C4BFEF4" w:rsidR="00B627A0" w:rsidRDefault="00F40796" w:rsidP="00B25B45">
      <w:r w:rsidRPr="008019C9">
        <w:t>The features of the new pre-</w:t>
      </w:r>
      <w:r w:rsidR="0007005A" w:rsidRPr="008019C9">
        <w:t>employment</w:t>
      </w:r>
      <w:r w:rsidRPr="008019C9">
        <w:t xml:space="preserve"> service </w:t>
      </w:r>
      <w:r w:rsidR="0007005A" w:rsidRPr="008019C9">
        <w:t>align with the feedback from parents and stakeholders during the consultations, as well as</w:t>
      </w:r>
      <w:r w:rsidR="00752C93" w:rsidRPr="008019C9">
        <w:t xml:space="preserve"> </w:t>
      </w:r>
      <w:r w:rsidR="002B6392" w:rsidRPr="008019C9">
        <w:t xml:space="preserve">drawing on </w:t>
      </w:r>
      <w:r w:rsidR="008D6CB7" w:rsidRPr="008019C9">
        <w:t xml:space="preserve">priorities outlined in </w:t>
      </w:r>
      <w:r w:rsidR="002B6392" w:rsidRPr="008019C9">
        <w:t>submissions to the Select Committee</w:t>
      </w:r>
      <w:r w:rsidR="008D6CB7" w:rsidRPr="008019C9">
        <w:t xml:space="preserve"> and included in its recommendations</w:t>
      </w:r>
      <w:r w:rsidR="002B6392" w:rsidRPr="008019C9">
        <w:t>.</w:t>
      </w:r>
    </w:p>
    <w:p w14:paraId="70E14088" w14:textId="479E40FD" w:rsidR="00526C16" w:rsidRDefault="00AA7548" w:rsidP="0031751F">
      <w:pPr>
        <w:pStyle w:val="Heading3"/>
      </w:pPr>
      <w:bookmarkStart w:id="50" w:name="_Toc151123107"/>
      <w:r>
        <w:t>Features of this option</w:t>
      </w:r>
      <w:bookmarkEnd w:id="50"/>
    </w:p>
    <w:p w14:paraId="2934EF72" w14:textId="01F7E976" w:rsidR="002B7A8E" w:rsidRDefault="002B7A8E" w:rsidP="00B305EF">
      <w:r>
        <w:t xml:space="preserve">The new service </w:t>
      </w:r>
      <w:r w:rsidR="00B305EF">
        <w:t xml:space="preserve">will be available across non-remote Australia </w:t>
      </w:r>
      <w:r w:rsidR="00B305EF" w:rsidRPr="00114916">
        <w:t>but adapted and delivered locally in partnership with parents and other local community service organisations</w:t>
      </w:r>
      <w:r w:rsidR="00B305EF">
        <w:t xml:space="preserve">. </w:t>
      </w:r>
      <w:r>
        <w:t xml:space="preserve">Services will be </w:t>
      </w:r>
      <w:r w:rsidRPr="00114916">
        <w:t>culturally responsive, recognising the cultural diversity of parents and ensuring inclusive service provision.</w:t>
      </w:r>
      <w:r>
        <w:t xml:space="preserve"> Continuous improvement will be a priority, </w:t>
      </w:r>
      <w:r w:rsidRPr="002B7A8E">
        <w:t>including listening and incorporating feedback from parents, measuring outcomes and evaluating effectiveness to improve service delivery.</w:t>
      </w:r>
    </w:p>
    <w:p w14:paraId="352A749F" w14:textId="0F5D2ADF" w:rsidR="00B305EF" w:rsidRPr="00B305EF" w:rsidRDefault="00114916" w:rsidP="002B7A8E">
      <w:r w:rsidRPr="0031751F">
        <w:t xml:space="preserve">The new service will provide strength-based and client-directed support, referrals and activities to assist </w:t>
      </w:r>
      <w:r w:rsidR="00B61B3E">
        <w:t xml:space="preserve">each </w:t>
      </w:r>
      <w:r w:rsidRPr="0031751F">
        <w:t xml:space="preserve">parent along their personal journey to paid employment. </w:t>
      </w:r>
      <w:r w:rsidR="00B305EF">
        <w:t>R</w:t>
      </w:r>
      <w:r w:rsidR="00B305EF" w:rsidRPr="00B305EF">
        <w:t xml:space="preserve">aising children will be valued as important work for parents. </w:t>
      </w:r>
    </w:p>
    <w:p w14:paraId="378FD675" w14:textId="6A80C3E2" w:rsidR="00114916" w:rsidRPr="0031751F" w:rsidRDefault="00B305EF" w:rsidP="00114916">
      <w:pPr>
        <w:spacing w:line="288" w:lineRule="auto"/>
      </w:pPr>
      <w:r>
        <w:t xml:space="preserve">Services will be flexible and responsive with the service offering tailored to each parent. </w:t>
      </w:r>
      <w:r w:rsidR="00114916" w:rsidRPr="0031751F">
        <w:t xml:space="preserve">Depending on a parent’s circumstances, experience and barriers, </w:t>
      </w:r>
      <w:r>
        <w:t>services</w:t>
      </w:r>
      <w:r w:rsidR="00114916" w:rsidRPr="0031751F">
        <w:t xml:space="preserve"> could involve:</w:t>
      </w:r>
    </w:p>
    <w:p w14:paraId="242324B1" w14:textId="044269B5" w:rsidR="00114916" w:rsidRPr="00F25814" w:rsidRDefault="00114916" w:rsidP="00A40BD4">
      <w:pPr>
        <w:pStyle w:val="ListBullet"/>
        <w:numPr>
          <w:ilvl w:val="0"/>
          <w:numId w:val="10"/>
        </w:numPr>
        <w:ind w:left="357" w:hanging="357"/>
        <w:rPr>
          <w:rFonts w:cstheme="minorHAnsi"/>
        </w:rPr>
      </w:pPr>
      <w:r w:rsidRPr="00F25814">
        <w:rPr>
          <w:rFonts w:cstheme="minorHAnsi"/>
        </w:rPr>
        <w:t>support in gaining confidence and capabilities such as through education attainment, career guidance or referral to complementary programs to build language, literacy and financial management skills</w:t>
      </w:r>
    </w:p>
    <w:p w14:paraId="73435A23" w14:textId="1E450449" w:rsidR="00114916" w:rsidRPr="00F25814" w:rsidRDefault="00114916" w:rsidP="00A40BD4">
      <w:pPr>
        <w:pStyle w:val="ListBullet"/>
        <w:numPr>
          <w:ilvl w:val="0"/>
          <w:numId w:val="10"/>
        </w:numPr>
        <w:ind w:left="357" w:hanging="357"/>
        <w:rPr>
          <w:rFonts w:cstheme="minorHAnsi"/>
        </w:rPr>
      </w:pPr>
      <w:r w:rsidRPr="00F25814">
        <w:rPr>
          <w:rFonts w:cstheme="minorHAnsi"/>
        </w:rPr>
        <w:t>help with complex challenges including assistance to connect with local support services</w:t>
      </w:r>
      <w:r w:rsidR="00933EA0">
        <w:rPr>
          <w:rFonts w:cstheme="minorHAnsi"/>
        </w:rPr>
        <w:t xml:space="preserve">, including </w:t>
      </w:r>
      <w:r w:rsidR="00065993">
        <w:rPr>
          <w:rFonts w:cstheme="minorHAnsi"/>
        </w:rPr>
        <w:t>organisations</w:t>
      </w:r>
      <w:r w:rsidR="00165670">
        <w:rPr>
          <w:rFonts w:cstheme="minorHAnsi"/>
        </w:rPr>
        <w:t xml:space="preserve"> delivering</w:t>
      </w:r>
      <w:r w:rsidR="00065993">
        <w:rPr>
          <w:rFonts w:cstheme="minorHAnsi"/>
        </w:rPr>
        <w:t xml:space="preserve"> programs</w:t>
      </w:r>
      <w:r w:rsidR="00165670">
        <w:rPr>
          <w:rFonts w:cstheme="minorHAnsi"/>
        </w:rPr>
        <w:t xml:space="preserve"> for </w:t>
      </w:r>
      <w:r w:rsidR="00065993">
        <w:rPr>
          <w:rFonts w:cstheme="minorHAnsi"/>
        </w:rPr>
        <w:t xml:space="preserve">the </w:t>
      </w:r>
      <w:r w:rsidR="00E5021A">
        <w:rPr>
          <w:rFonts w:cstheme="minorHAnsi"/>
        </w:rPr>
        <w:t>D</w:t>
      </w:r>
      <w:r w:rsidR="00065993">
        <w:rPr>
          <w:rFonts w:cstheme="minorHAnsi"/>
        </w:rPr>
        <w:t xml:space="preserve">epartment </w:t>
      </w:r>
      <w:r w:rsidR="00E5021A">
        <w:rPr>
          <w:rFonts w:cstheme="minorHAnsi"/>
        </w:rPr>
        <w:t>of</w:t>
      </w:r>
      <w:r w:rsidR="00065993">
        <w:rPr>
          <w:rFonts w:cstheme="minorHAnsi"/>
        </w:rPr>
        <w:t xml:space="preserve"> Social </w:t>
      </w:r>
      <w:r w:rsidR="00E5021A">
        <w:rPr>
          <w:rFonts w:cstheme="minorHAnsi"/>
        </w:rPr>
        <w:t>Services,</w:t>
      </w:r>
      <w:r w:rsidRPr="00F25814">
        <w:rPr>
          <w:rFonts w:cstheme="minorHAnsi"/>
        </w:rPr>
        <w:t xml:space="preserve"> and address issues that may prevent them engaging in service</w:t>
      </w:r>
      <w:r w:rsidR="002B7A8E" w:rsidRPr="00F25814">
        <w:rPr>
          <w:rFonts w:cstheme="minorHAnsi"/>
        </w:rPr>
        <w:t>s</w:t>
      </w:r>
      <w:r w:rsidRPr="00F25814">
        <w:rPr>
          <w:rFonts w:cstheme="minorHAnsi"/>
        </w:rPr>
        <w:t xml:space="preserve"> and activities</w:t>
      </w:r>
    </w:p>
    <w:p w14:paraId="79E5E79F" w14:textId="77777777" w:rsidR="00114916" w:rsidRPr="00F25814" w:rsidRDefault="00114916" w:rsidP="00A40BD4">
      <w:pPr>
        <w:pStyle w:val="ListBullet"/>
        <w:numPr>
          <w:ilvl w:val="0"/>
          <w:numId w:val="10"/>
        </w:numPr>
        <w:ind w:left="357" w:hanging="357"/>
        <w:rPr>
          <w:rFonts w:cstheme="minorHAnsi"/>
        </w:rPr>
      </w:pPr>
      <w:r w:rsidRPr="00F25814">
        <w:rPr>
          <w:rFonts w:cstheme="minorHAnsi"/>
        </w:rPr>
        <w:t>practical assistance including with transport and navigating the income support system and early childhood education and care arrangements</w:t>
      </w:r>
    </w:p>
    <w:p w14:paraId="03F3C929" w14:textId="016630E4" w:rsidR="00114916" w:rsidRPr="00F25814" w:rsidRDefault="00114916" w:rsidP="00A40BD4">
      <w:pPr>
        <w:pStyle w:val="ListBullet"/>
        <w:numPr>
          <w:ilvl w:val="0"/>
          <w:numId w:val="10"/>
        </w:numPr>
        <w:ind w:left="357" w:hanging="357"/>
        <w:rPr>
          <w:rFonts w:cstheme="minorHAnsi"/>
        </w:rPr>
      </w:pPr>
      <w:r w:rsidRPr="00F25814">
        <w:rPr>
          <w:rFonts w:cstheme="minorHAnsi"/>
        </w:rPr>
        <w:lastRenderedPageBreak/>
        <w:t xml:space="preserve">support in taking up paid work for those parents wanting to work such as advice on resumes and job pitches, interview coaching and access </w:t>
      </w:r>
      <w:r w:rsidR="00665FEA" w:rsidRPr="00F25814">
        <w:rPr>
          <w:rFonts w:cstheme="minorHAnsi"/>
        </w:rPr>
        <w:t xml:space="preserve">to </w:t>
      </w:r>
      <w:r w:rsidRPr="00F25814">
        <w:rPr>
          <w:rFonts w:cstheme="minorHAnsi"/>
        </w:rPr>
        <w:t>wage subsidies</w:t>
      </w:r>
    </w:p>
    <w:p w14:paraId="3A78C9E4" w14:textId="6483E956" w:rsidR="00114916" w:rsidRPr="00F25814" w:rsidRDefault="00114916" w:rsidP="00A40BD4">
      <w:pPr>
        <w:pStyle w:val="ListBullet"/>
        <w:numPr>
          <w:ilvl w:val="0"/>
          <w:numId w:val="10"/>
        </w:numPr>
        <w:ind w:left="357" w:hanging="357"/>
        <w:rPr>
          <w:rFonts w:cstheme="minorHAnsi"/>
        </w:rPr>
      </w:pPr>
      <w:r w:rsidRPr="00F25814">
        <w:rPr>
          <w:rFonts w:cstheme="minorHAnsi"/>
        </w:rPr>
        <w:t>post</w:t>
      </w:r>
      <w:r w:rsidR="000E05FA" w:rsidRPr="00F25814">
        <w:rPr>
          <w:rFonts w:cstheme="minorHAnsi"/>
        </w:rPr>
        <w:t>-</w:t>
      </w:r>
      <w:r w:rsidRPr="00F25814">
        <w:rPr>
          <w:rFonts w:cstheme="minorHAnsi"/>
        </w:rPr>
        <w:t>placement support for parents in education and/or employment</w:t>
      </w:r>
    </w:p>
    <w:p w14:paraId="46E5F8CF" w14:textId="77777777" w:rsidR="00114916" w:rsidRPr="00F25814" w:rsidRDefault="00114916" w:rsidP="00A40BD4">
      <w:pPr>
        <w:pStyle w:val="ListBullet"/>
        <w:numPr>
          <w:ilvl w:val="0"/>
          <w:numId w:val="10"/>
        </w:numPr>
        <w:ind w:left="357" w:hanging="357"/>
        <w:rPr>
          <w:rFonts w:cstheme="minorHAnsi"/>
        </w:rPr>
      </w:pPr>
      <w:r w:rsidRPr="00F25814">
        <w:rPr>
          <w:rFonts w:cstheme="minorHAnsi"/>
        </w:rPr>
        <w:t>transitional support where parents move to other employment services for example when their youngest child turns 6 years of age.</w:t>
      </w:r>
    </w:p>
    <w:p w14:paraId="7F86F3E3" w14:textId="02DE08AE" w:rsidR="00114916" w:rsidRDefault="00F40E7E" w:rsidP="00114916">
      <w:r>
        <w:t>Suitably skilled and experienced</w:t>
      </w:r>
      <w:r w:rsidRPr="0031751F">
        <w:t xml:space="preserve"> </w:t>
      </w:r>
      <w:r w:rsidR="00114916" w:rsidRPr="0031751F">
        <w:t>frontline staff, ideally with lived experience, will operate as ‘mentors’</w:t>
      </w:r>
      <w:r w:rsidR="00114916">
        <w:t xml:space="preserve">. </w:t>
      </w:r>
      <w:r w:rsidR="002E78FB">
        <w:t>Preferably</w:t>
      </w:r>
      <w:r w:rsidR="00B305EF">
        <w:t>,</w:t>
      </w:r>
      <w:r w:rsidR="00114916">
        <w:t xml:space="preserve"> </w:t>
      </w:r>
      <w:r w:rsidR="00114916" w:rsidRPr="0031751F">
        <w:t xml:space="preserve">parents </w:t>
      </w:r>
      <w:r w:rsidR="00114916">
        <w:t xml:space="preserve">will </w:t>
      </w:r>
      <w:r w:rsidR="00114916" w:rsidRPr="0031751F">
        <w:t>have the same mentor for an extended period so they can establish a respectful and trusted relationship without the need to tell their story often.</w:t>
      </w:r>
      <w:r w:rsidR="00114916">
        <w:t xml:space="preserve"> </w:t>
      </w:r>
      <w:r w:rsidR="001674FC">
        <w:t>Mentors</w:t>
      </w:r>
      <w:r w:rsidR="00114916">
        <w:t xml:space="preserve"> delivering the service will </w:t>
      </w:r>
      <w:r w:rsidR="00951DBF">
        <w:t xml:space="preserve">be </w:t>
      </w:r>
      <w:r w:rsidR="00F61A6B">
        <w:t xml:space="preserve">trained in </w:t>
      </w:r>
      <w:r w:rsidR="001674FC">
        <w:t xml:space="preserve">areas </w:t>
      </w:r>
      <w:r w:rsidR="00951DBF">
        <w:t xml:space="preserve">such as </w:t>
      </w:r>
      <w:r w:rsidR="00114916">
        <w:t>family and domestic violence, cultural competency, child safety and trauma informed service provision</w:t>
      </w:r>
      <w:r w:rsidR="001674FC">
        <w:t>.</w:t>
      </w:r>
    </w:p>
    <w:p w14:paraId="292166D1" w14:textId="68E7AEDC" w:rsidR="002C3811" w:rsidRDefault="002C3811" w:rsidP="002C3811">
      <w:pPr>
        <w:rPr>
          <w:rFonts w:eastAsia="Arial" w:cs="Arial"/>
        </w:rPr>
      </w:pPr>
      <w:r>
        <w:rPr>
          <w:rFonts w:eastAsia="Arial" w:cs="Arial"/>
        </w:rPr>
        <w:t>The</w:t>
      </w:r>
      <w:r w:rsidRPr="670A68DC">
        <w:rPr>
          <w:rFonts w:eastAsia="Arial" w:cs="Arial"/>
        </w:rPr>
        <w:t xml:space="preserve"> new service </w:t>
      </w:r>
      <w:r>
        <w:rPr>
          <w:rFonts w:eastAsia="Arial" w:cs="Arial"/>
        </w:rPr>
        <w:t xml:space="preserve">will not </w:t>
      </w:r>
      <w:r w:rsidRPr="670A68DC">
        <w:rPr>
          <w:rFonts w:eastAsia="Arial" w:cs="Arial"/>
        </w:rPr>
        <w:t>duplicate the role of existing community or social services. Rather, it will help parents who need these supports to connect and access them. This may include providing financial help with any associated fees charged by those services where funds are available.</w:t>
      </w:r>
    </w:p>
    <w:p w14:paraId="77159358" w14:textId="77777777" w:rsidR="00530EA8" w:rsidRPr="0031751F" w:rsidRDefault="00530EA8" w:rsidP="00530EA8">
      <w:pPr>
        <w:pStyle w:val="Heading3"/>
      </w:pPr>
      <w:bookmarkStart w:id="51" w:name="_Toc151123108"/>
      <w:r>
        <w:t>Eligibility and engagement</w:t>
      </w:r>
      <w:bookmarkEnd w:id="51"/>
    </w:p>
    <w:p w14:paraId="11C27FDF" w14:textId="1B2C0E22" w:rsidR="00530EA8" w:rsidRDefault="00530EA8" w:rsidP="00530EA8">
      <w:r>
        <w:t>Parents would be referred to the service through Services Australia or make contact directly with a service which would assess their eligibility and register them for assistance.</w:t>
      </w:r>
    </w:p>
    <w:p w14:paraId="6DB04CE0" w14:textId="77777777" w:rsidR="00530EA8" w:rsidRDefault="00530EA8" w:rsidP="00530EA8">
      <w:r>
        <w:t xml:space="preserve">To be eligible to start in the new service, a parent would need to have a youngest child aged under 6 years, live in a non-remote Employment Region </w:t>
      </w:r>
      <w:r w:rsidRPr="0031751F">
        <w:t>and</w:t>
      </w:r>
      <w:r>
        <w:t xml:space="preserve"> not currently be in paid employment </w:t>
      </w:r>
      <w:r w:rsidRPr="0031751F">
        <w:rPr>
          <w:u w:val="single"/>
        </w:rPr>
        <w:t>and</w:t>
      </w:r>
      <w:r>
        <w:t xml:space="preserve"> meet at least one of the following criteria:</w:t>
      </w:r>
    </w:p>
    <w:p w14:paraId="1F82166D" w14:textId="25A6D5B2" w:rsidR="00530EA8" w:rsidRPr="00984726" w:rsidRDefault="00530EA8" w:rsidP="00A40BD4">
      <w:pPr>
        <w:pStyle w:val="ListBullet"/>
        <w:numPr>
          <w:ilvl w:val="0"/>
          <w:numId w:val="10"/>
        </w:numPr>
        <w:ind w:left="357" w:hanging="357"/>
        <w:rPr>
          <w:rFonts w:cstheme="minorHAnsi"/>
        </w:rPr>
      </w:pPr>
      <w:r w:rsidRPr="00984726">
        <w:rPr>
          <w:rFonts w:cstheme="minorHAnsi"/>
        </w:rPr>
        <w:t xml:space="preserve">be </w:t>
      </w:r>
      <w:r w:rsidR="002E78FB">
        <w:rPr>
          <w:rFonts w:cstheme="minorHAnsi"/>
        </w:rPr>
        <w:t>receiving</w:t>
      </w:r>
      <w:r w:rsidRPr="00984726">
        <w:rPr>
          <w:rFonts w:cstheme="minorHAnsi"/>
        </w:rPr>
        <w:t xml:space="preserve"> Parenting Payment Single</w:t>
      </w:r>
      <w:r w:rsidR="002E78FB">
        <w:rPr>
          <w:rFonts w:cstheme="minorHAnsi"/>
        </w:rPr>
        <w:t>,</w:t>
      </w:r>
      <w:r w:rsidRPr="00984726">
        <w:rPr>
          <w:rFonts w:cstheme="minorHAnsi"/>
        </w:rPr>
        <w:t xml:space="preserve"> Parenting Payment Partnered</w:t>
      </w:r>
      <w:r w:rsidR="002E78FB">
        <w:rPr>
          <w:rFonts w:cstheme="minorHAnsi"/>
        </w:rPr>
        <w:t xml:space="preserve">, </w:t>
      </w:r>
      <w:r w:rsidRPr="00984726">
        <w:rPr>
          <w:rFonts w:cstheme="minorHAnsi"/>
        </w:rPr>
        <w:t>Carer Payment or Special Benefit Payment</w:t>
      </w:r>
    </w:p>
    <w:p w14:paraId="5CA3208C" w14:textId="77777777" w:rsidR="00530EA8" w:rsidRPr="00984726" w:rsidRDefault="00530EA8" w:rsidP="00A40BD4">
      <w:pPr>
        <w:pStyle w:val="ListBullet"/>
        <w:numPr>
          <w:ilvl w:val="0"/>
          <w:numId w:val="10"/>
        </w:numPr>
        <w:ind w:left="357" w:hanging="357"/>
      </w:pPr>
      <w:r w:rsidRPr="68DA66F5">
        <w:t>be a young parent (aged under 22 years)</w:t>
      </w:r>
    </w:p>
    <w:p w14:paraId="7924899A" w14:textId="437601E4" w:rsidR="00530EA8" w:rsidRPr="00984726" w:rsidRDefault="00530EA8" w:rsidP="00A40BD4">
      <w:pPr>
        <w:pStyle w:val="ListBullet"/>
        <w:numPr>
          <w:ilvl w:val="0"/>
          <w:numId w:val="10"/>
        </w:numPr>
        <w:ind w:left="357" w:hanging="357"/>
        <w:rPr>
          <w:rFonts w:cstheme="minorHAnsi"/>
        </w:rPr>
      </w:pPr>
      <w:r w:rsidRPr="00984726">
        <w:rPr>
          <w:rFonts w:cstheme="minorHAnsi"/>
        </w:rPr>
        <w:t xml:space="preserve">not be receiving </w:t>
      </w:r>
      <w:r w:rsidR="005300F4">
        <w:rPr>
          <w:rFonts w:cstheme="minorHAnsi"/>
        </w:rPr>
        <w:t>one of the</w:t>
      </w:r>
      <w:r w:rsidR="005300F4" w:rsidRPr="00984726">
        <w:rPr>
          <w:rFonts w:cstheme="minorHAnsi"/>
        </w:rPr>
        <w:t xml:space="preserve"> </w:t>
      </w:r>
      <w:r w:rsidRPr="00984726">
        <w:rPr>
          <w:rFonts w:cstheme="minorHAnsi"/>
        </w:rPr>
        <w:t>income support payment</w:t>
      </w:r>
      <w:r w:rsidR="005300F4">
        <w:rPr>
          <w:rFonts w:cstheme="minorHAnsi"/>
        </w:rPr>
        <w:t xml:space="preserve">s </w:t>
      </w:r>
      <w:r w:rsidR="00645BE4">
        <w:rPr>
          <w:rFonts w:cstheme="minorHAnsi"/>
        </w:rPr>
        <w:t>listed</w:t>
      </w:r>
      <w:r w:rsidR="005300F4">
        <w:rPr>
          <w:rFonts w:cstheme="minorHAnsi"/>
        </w:rPr>
        <w:t xml:space="preserve"> above</w:t>
      </w:r>
      <w:r w:rsidRPr="00984726">
        <w:rPr>
          <w:rFonts w:cstheme="minorHAnsi"/>
        </w:rPr>
        <w:t xml:space="preserve"> and have lower than a Year 12 or Certificate III qualification</w:t>
      </w:r>
    </w:p>
    <w:p w14:paraId="09BFC49F" w14:textId="0DD30EB1" w:rsidR="00530EA8" w:rsidRPr="00984726" w:rsidRDefault="00530EA8" w:rsidP="00A40BD4">
      <w:pPr>
        <w:pStyle w:val="ListBullet"/>
        <w:numPr>
          <w:ilvl w:val="0"/>
          <w:numId w:val="10"/>
        </w:numPr>
        <w:ind w:left="357" w:hanging="357"/>
        <w:rPr>
          <w:rFonts w:cstheme="minorHAnsi"/>
        </w:rPr>
      </w:pPr>
      <w:r w:rsidRPr="1A016B37">
        <w:t xml:space="preserve">not be receiving </w:t>
      </w:r>
      <w:r w:rsidR="005300F4" w:rsidRPr="1A016B37">
        <w:t xml:space="preserve">one of the income support payments </w:t>
      </w:r>
      <w:r w:rsidR="00645BE4" w:rsidRPr="1A016B37">
        <w:t xml:space="preserve">listed above </w:t>
      </w:r>
      <w:r w:rsidRPr="1A016B37">
        <w:t>and be a First Nations parent.</w:t>
      </w:r>
      <w:r w:rsidR="004A2DB4" w:rsidRPr="1A016B37">
        <w:rPr>
          <w:rStyle w:val="FootnoteReference"/>
        </w:rPr>
        <w:footnoteReference w:id="28"/>
      </w:r>
    </w:p>
    <w:p w14:paraId="0CD6F196" w14:textId="61438DAD" w:rsidR="004F6509" w:rsidRDefault="00B26D66" w:rsidP="00B956A4">
      <w:r>
        <w:t>Eligibility</w:t>
      </w:r>
      <w:r w:rsidR="00DA6B4C">
        <w:t xml:space="preserve"> would be broader than </w:t>
      </w:r>
      <w:r w:rsidR="0049475C">
        <w:t>Parenting</w:t>
      </w:r>
      <w:r w:rsidR="00673A89">
        <w:t xml:space="preserve"> Payment recipients who have been the main </w:t>
      </w:r>
      <w:r w:rsidR="0049475C">
        <w:t>participants</w:t>
      </w:r>
      <w:r w:rsidR="00673A89">
        <w:t xml:space="preserve"> </w:t>
      </w:r>
      <w:r w:rsidR="0049475C">
        <w:t>i</w:t>
      </w:r>
      <w:r w:rsidR="00673A89">
        <w:t xml:space="preserve">n ParentsNext and </w:t>
      </w:r>
      <w:r w:rsidR="0049475C">
        <w:t>prior</w:t>
      </w:r>
      <w:r w:rsidR="00673A89">
        <w:t xml:space="preserve"> trials of pre-</w:t>
      </w:r>
      <w:r w:rsidR="0049475C">
        <w:t>employment</w:t>
      </w:r>
      <w:r w:rsidR="00673A89">
        <w:t xml:space="preserve"> </w:t>
      </w:r>
      <w:r w:rsidR="0049475C">
        <w:t xml:space="preserve">initiatives. This </w:t>
      </w:r>
      <w:r w:rsidR="00806886">
        <w:t xml:space="preserve">is </w:t>
      </w:r>
      <w:r w:rsidR="001775E3">
        <w:t>consistent</w:t>
      </w:r>
      <w:r w:rsidR="00806886">
        <w:t xml:space="preserve"> with evidence of the </w:t>
      </w:r>
      <w:r w:rsidR="001775E3">
        <w:t xml:space="preserve">challenges facing vulnerable parents, not only </w:t>
      </w:r>
      <w:r w:rsidR="00D36CBA">
        <w:t>those</w:t>
      </w:r>
      <w:r w:rsidR="001775E3">
        <w:t xml:space="preserve"> receiving Parenting Pa</w:t>
      </w:r>
      <w:r w:rsidR="00D36CBA">
        <w:t>yment</w:t>
      </w:r>
      <w:r w:rsidR="001775E3">
        <w:t>,</w:t>
      </w:r>
      <w:r w:rsidR="00D36CBA">
        <w:t xml:space="preserve"> in preparing to return to the </w:t>
      </w:r>
      <w:r w:rsidR="00B37011">
        <w:t>workforce</w:t>
      </w:r>
      <w:r w:rsidR="00843817">
        <w:t>.</w:t>
      </w:r>
      <w:r w:rsidR="001775E3">
        <w:t xml:space="preserve"> </w:t>
      </w:r>
      <w:r w:rsidR="00843817">
        <w:t xml:space="preserve">It also </w:t>
      </w:r>
      <w:r w:rsidR="00806886">
        <w:t>reflects</w:t>
      </w:r>
      <w:r w:rsidR="00D26F03">
        <w:t xml:space="preserve"> feedback from parents </w:t>
      </w:r>
      <w:r w:rsidR="00F61BD5">
        <w:t xml:space="preserve">that the service should not be limited </w:t>
      </w:r>
      <w:r w:rsidR="00F61BD5">
        <w:lastRenderedPageBreak/>
        <w:t xml:space="preserve">to Parenting Payment </w:t>
      </w:r>
      <w:r w:rsidR="00E12219">
        <w:t>recipients</w:t>
      </w:r>
      <w:r w:rsidR="005E0977">
        <w:t xml:space="preserve">. The </w:t>
      </w:r>
      <w:r w:rsidR="004A28B4">
        <w:t>Select</w:t>
      </w:r>
      <w:r w:rsidR="0049475C">
        <w:t xml:space="preserve"> </w:t>
      </w:r>
      <w:r w:rsidR="004A28B4">
        <w:t>Committee</w:t>
      </w:r>
      <w:r w:rsidR="00023664">
        <w:t xml:space="preserve"> also recommended </w:t>
      </w:r>
      <w:r w:rsidR="00B37011">
        <w:t xml:space="preserve">that </w:t>
      </w:r>
      <w:r w:rsidR="004F6509">
        <w:t xml:space="preserve">eligibility </w:t>
      </w:r>
      <w:r w:rsidR="00CF6E78">
        <w:t>include</w:t>
      </w:r>
      <w:r w:rsidR="00C959F1">
        <w:t>s</w:t>
      </w:r>
      <w:r w:rsidR="00CF6E78">
        <w:t xml:space="preserve"> a wider range of people who might </w:t>
      </w:r>
      <w:r w:rsidR="00806886">
        <w:t>benefit</w:t>
      </w:r>
      <w:r w:rsidR="00CF6E78">
        <w:t xml:space="preserve"> from a pre-vocational or pre-</w:t>
      </w:r>
      <w:r w:rsidR="00806886">
        <w:t>employment</w:t>
      </w:r>
      <w:r w:rsidR="00CF6E78">
        <w:t xml:space="preserve"> program.</w:t>
      </w:r>
    </w:p>
    <w:p w14:paraId="1CE6BBFD" w14:textId="779F10D8" w:rsidR="00530EA8" w:rsidRDefault="00977073" w:rsidP="00984726">
      <w:r>
        <w:t>There</w:t>
      </w:r>
      <w:r w:rsidR="009934C9">
        <w:t xml:space="preserve"> is no minimum child’s age </w:t>
      </w:r>
      <w:r w:rsidR="00781D11">
        <w:t xml:space="preserve">linked to eligibility. </w:t>
      </w:r>
      <w:r>
        <w:t>Parents</w:t>
      </w:r>
      <w:r w:rsidR="00F52D62">
        <w:t xml:space="preserve"> will decide when they are </w:t>
      </w:r>
      <w:r w:rsidR="000F7E93">
        <w:t>ready</w:t>
      </w:r>
      <w:r w:rsidR="00F52D62">
        <w:t xml:space="preserve"> to </w:t>
      </w:r>
      <w:r w:rsidR="00781D11">
        <w:t>participate</w:t>
      </w:r>
      <w:r w:rsidR="00F52D62">
        <w:t xml:space="preserve"> as long as their </w:t>
      </w:r>
      <w:r w:rsidR="00781D11">
        <w:t>youngest</w:t>
      </w:r>
      <w:r w:rsidR="000F7E93">
        <w:t xml:space="preserve"> </w:t>
      </w:r>
      <w:r w:rsidR="00F52D62">
        <w:t xml:space="preserve">child is </w:t>
      </w:r>
      <w:r w:rsidR="00781D11">
        <w:t>not yet</w:t>
      </w:r>
      <w:r w:rsidR="00F52D62">
        <w:t xml:space="preserve"> 6 </w:t>
      </w:r>
      <w:r w:rsidR="00781D11">
        <w:t>y</w:t>
      </w:r>
      <w:r w:rsidR="00F52D62">
        <w:t>ears old</w:t>
      </w:r>
      <w:r w:rsidR="00843817">
        <w:rPr>
          <w:b/>
          <w:bCs/>
        </w:rPr>
        <w:t xml:space="preserve">. </w:t>
      </w:r>
      <w:r w:rsidR="00530EA8" w:rsidRPr="00DB6CE3">
        <w:t xml:space="preserve">There </w:t>
      </w:r>
      <w:r w:rsidR="00023664">
        <w:t>is also no</w:t>
      </w:r>
      <w:r w:rsidR="00530EA8" w:rsidRPr="00DB6CE3">
        <w:t xml:space="preserve"> limitation on duration of support </w:t>
      </w:r>
      <w:r w:rsidR="00530EA8">
        <w:t>while the parent has a child aged under 6 years</w:t>
      </w:r>
      <w:r w:rsidR="00ED5F20">
        <w:t xml:space="preserve"> and remains eligible for the service</w:t>
      </w:r>
      <w:r w:rsidR="00530EA8">
        <w:t xml:space="preserve">. </w:t>
      </w:r>
      <w:r w:rsidR="00ED5F20">
        <w:t xml:space="preserve">When </w:t>
      </w:r>
      <w:r w:rsidR="00A74011">
        <w:t xml:space="preserve">their youngest child </w:t>
      </w:r>
      <w:r w:rsidR="00DE074D">
        <w:t xml:space="preserve">turns </w:t>
      </w:r>
      <w:r w:rsidR="00A74011">
        <w:t>6 years old,</w:t>
      </w:r>
      <w:r w:rsidR="00530EA8">
        <w:t xml:space="preserve"> parents </w:t>
      </w:r>
      <w:r w:rsidR="00F33986">
        <w:t xml:space="preserve">who are still in the service will </w:t>
      </w:r>
      <w:r w:rsidR="00DB125D">
        <w:t xml:space="preserve">exit and those </w:t>
      </w:r>
      <w:r w:rsidR="00530EA8">
        <w:t xml:space="preserve">who are receiving income support </w:t>
      </w:r>
      <w:r w:rsidR="00F25814">
        <w:t xml:space="preserve">will </w:t>
      </w:r>
      <w:r w:rsidR="00530EA8">
        <w:t xml:space="preserve">usually </w:t>
      </w:r>
      <w:r w:rsidR="00F25814">
        <w:t xml:space="preserve">be </w:t>
      </w:r>
      <w:r w:rsidR="00530EA8">
        <w:t>required to enter Workforce Australia</w:t>
      </w:r>
      <w:r w:rsidR="06972C32">
        <w:t xml:space="preserve"> or other employment services</w:t>
      </w:r>
      <w:r w:rsidR="00530EA8">
        <w:t>.</w:t>
      </w:r>
    </w:p>
    <w:p w14:paraId="5D9D693A" w14:textId="34CBAD4A" w:rsidR="00AA7548" w:rsidRDefault="00AA7548" w:rsidP="00AA7548">
      <w:pPr>
        <w:pStyle w:val="Heading3"/>
      </w:pPr>
      <w:bookmarkStart w:id="52" w:name="_Toc151123109"/>
      <w:r>
        <w:t>Servicing arrangements</w:t>
      </w:r>
      <w:bookmarkEnd w:id="52"/>
    </w:p>
    <w:p w14:paraId="53F98399" w14:textId="2C5616FF" w:rsidR="002B7A8E" w:rsidRDefault="002B7A8E" w:rsidP="002B7A8E">
      <w:r>
        <w:t xml:space="preserve">Services will have multiple engagement channels </w:t>
      </w:r>
      <w:r w:rsidRPr="00B305EF">
        <w:t xml:space="preserve">to encourage and support parents’ </w:t>
      </w:r>
      <w:r>
        <w:t xml:space="preserve">ongoing </w:t>
      </w:r>
      <w:r w:rsidRPr="00B305EF">
        <w:t>involvement</w:t>
      </w:r>
      <w:r>
        <w:t>.</w:t>
      </w:r>
    </w:p>
    <w:p w14:paraId="12BA8830" w14:textId="0426EA86" w:rsidR="008C3745" w:rsidRDefault="008C3745" w:rsidP="008C3745">
      <w:r>
        <w:t xml:space="preserve">Parents will have control over the frequency and nature of their engagement. </w:t>
      </w:r>
      <w:r w:rsidR="0016772A">
        <w:t xml:space="preserve">An </w:t>
      </w:r>
      <w:r>
        <w:t>example service journey of a parent could involve:</w:t>
      </w:r>
    </w:p>
    <w:p w14:paraId="190762CC" w14:textId="7DBCF718" w:rsidR="008C3745" w:rsidRPr="00984726" w:rsidRDefault="008C3745" w:rsidP="00A40BD4">
      <w:pPr>
        <w:pStyle w:val="ListBullet"/>
        <w:numPr>
          <w:ilvl w:val="0"/>
          <w:numId w:val="10"/>
        </w:numPr>
        <w:ind w:left="357" w:hanging="357"/>
        <w:rPr>
          <w:rFonts w:cstheme="minorHAnsi"/>
        </w:rPr>
      </w:pPr>
      <w:r w:rsidRPr="00444F11">
        <w:rPr>
          <w:rFonts w:cstheme="minorHAnsi"/>
        </w:rPr>
        <w:t>Planning Phase:</w:t>
      </w:r>
      <w:r w:rsidR="009B09A3" w:rsidRPr="00444F11">
        <w:rPr>
          <w:rFonts w:cstheme="minorHAnsi"/>
        </w:rPr>
        <w:t xml:space="preserve"> </w:t>
      </w:r>
      <w:r w:rsidRPr="00444F11">
        <w:rPr>
          <w:rFonts w:cstheme="minorHAnsi"/>
        </w:rPr>
        <w:t xml:space="preserve"> </w:t>
      </w:r>
      <w:r w:rsidR="00DF3781" w:rsidRPr="00444F11">
        <w:rPr>
          <w:rFonts w:cstheme="minorHAnsi"/>
        </w:rPr>
        <w:t>typically</w:t>
      </w:r>
      <w:r w:rsidRPr="00444F11">
        <w:rPr>
          <w:rFonts w:cstheme="minorHAnsi"/>
        </w:rPr>
        <w:t xml:space="preserve"> in the first 4 weeks after a parent enters the service, the mentor </w:t>
      </w:r>
      <w:r w:rsidRPr="00984726">
        <w:rPr>
          <w:rFonts w:cstheme="minorHAnsi"/>
        </w:rPr>
        <w:t>explains the service offer and begins building a positive coaching relationship with the parent. The parent’s strengths, skills and needs would be assessed and their mentor will help them to identify their personal education and/or employment goals and the strategies and support needed to achieve them. If required, the mentor will connect the parent with other local support services.</w:t>
      </w:r>
    </w:p>
    <w:p w14:paraId="4B65D8EB" w14:textId="556BB01B" w:rsidR="008C3745" w:rsidRPr="00984726" w:rsidRDefault="008C3745" w:rsidP="00A40BD4">
      <w:pPr>
        <w:pStyle w:val="ListBullet"/>
        <w:numPr>
          <w:ilvl w:val="0"/>
          <w:numId w:val="10"/>
        </w:numPr>
        <w:ind w:left="357" w:hanging="357"/>
        <w:rPr>
          <w:rFonts w:cstheme="minorHAnsi"/>
        </w:rPr>
      </w:pPr>
      <w:r w:rsidRPr="00984726">
        <w:rPr>
          <w:rFonts w:cstheme="minorHAnsi"/>
        </w:rPr>
        <w:t xml:space="preserve">Engagement Phase: </w:t>
      </w:r>
      <w:r w:rsidR="009B09A3">
        <w:rPr>
          <w:rFonts w:cstheme="minorHAnsi"/>
        </w:rPr>
        <w:t xml:space="preserve"> </w:t>
      </w:r>
      <w:r w:rsidRPr="00984726">
        <w:rPr>
          <w:rFonts w:cstheme="minorHAnsi"/>
        </w:rPr>
        <w:t xml:space="preserve">the parent will </w:t>
      </w:r>
      <w:r w:rsidR="002F6961">
        <w:rPr>
          <w:rFonts w:cstheme="minorHAnsi"/>
        </w:rPr>
        <w:t xml:space="preserve">be supported to </w:t>
      </w:r>
      <w:r w:rsidRPr="00984726">
        <w:rPr>
          <w:rFonts w:cstheme="minorHAnsi"/>
        </w:rPr>
        <w:t xml:space="preserve">participate in activities and services </w:t>
      </w:r>
      <w:r w:rsidR="005043BE">
        <w:rPr>
          <w:rFonts w:cstheme="minorHAnsi"/>
        </w:rPr>
        <w:t xml:space="preserve">they have chosen </w:t>
      </w:r>
      <w:r w:rsidRPr="00984726">
        <w:rPr>
          <w:rFonts w:cstheme="minorHAnsi"/>
        </w:rPr>
        <w:t>which align with their vocational and non-vocational goals. The time commitment will depend on the activities and services, and the parent’s caring responsibilities. Their mentor would have time available each week for ad hoc contact</w:t>
      </w:r>
      <w:r w:rsidR="00133AA8">
        <w:rPr>
          <w:rFonts w:cstheme="minorHAnsi"/>
        </w:rPr>
        <w:t xml:space="preserve">s </w:t>
      </w:r>
      <w:r w:rsidR="00437488">
        <w:rPr>
          <w:rFonts w:cstheme="minorHAnsi"/>
        </w:rPr>
        <w:t>i</w:t>
      </w:r>
      <w:r w:rsidRPr="00984726">
        <w:rPr>
          <w:rFonts w:cstheme="minorHAnsi"/>
        </w:rPr>
        <w:t xml:space="preserve">f wanted by the parent. There would be monthly contacts with their mentor to </w:t>
      </w:r>
      <w:r w:rsidR="00DC0CF4">
        <w:rPr>
          <w:rFonts w:cstheme="minorHAnsi"/>
        </w:rPr>
        <w:t>discuss</w:t>
      </w:r>
      <w:r w:rsidRPr="00984726">
        <w:rPr>
          <w:rFonts w:cstheme="minorHAnsi"/>
        </w:rPr>
        <w:t xml:space="preserve"> progress, highlight recent achievements, identify any emerging challenges and priorities, </w:t>
      </w:r>
      <w:r w:rsidR="00026523">
        <w:rPr>
          <w:rFonts w:cstheme="minorHAnsi"/>
        </w:rPr>
        <w:t xml:space="preserve">and plan new activities when the </w:t>
      </w:r>
      <w:r w:rsidR="00E64662">
        <w:rPr>
          <w:rFonts w:cstheme="minorHAnsi"/>
        </w:rPr>
        <w:t>parent is</w:t>
      </w:r>
      <w:r w:rsidR="00026523">
        <w:rPr>
          <w:rFonts w:cstheme="minorHAnsi"/>
        </w:rPr>
        <w:t xml:space="preserve"> read</w:t>
      </w:r>
      <w:r w:rsidR="00E64662">
        <w:rPr>
          <w:rFonts w:cstheme="minorHAnsi"/>
        </w:rPr>
        <w:t>y</w:t>
      </w:r>
      <w:r w:rsidRPr="00984726">
        <w:rPr>
          <w:rFonts w:cstheme="minorHAnsi"/>
        </w:rPr>
        <w:t>.</w:t>
      </w:r>
    </w:p>
    <w:p w14:paraId="1D3F7AAD" w14:textId="30325A31" w:rsidR="008C3745" w:rsidRPr="00984726" w:rsidRDefault="008C3745" w:rsidP="00A40BD4">
      <w:pPr>
        <w:pStyle w:val="ListBullet"/>
        <w:numPr>
          <w:ilvl w:val="0"/>
          <w:numId w:val="10"/>
        </w:numPr>
        <w:ind w:left="357" w:hanging="357"/>
        <w:rPr>
          <w:rFonts w:cstheme="minorHAnsi"/>
        </w:rPr>
      </w:pPr>
      <w:r w:rsidRPr="00984726">
        <w:rPr>
          <w:rFonts w:cstheme="minorHAnsi"/>
        </w:rPr>
        <w:t>Review</w:t>
      </w:r>
      <w:r w:rsidR="00450894">
        <w:rPr>
          <w:rFonts w:cstheme="minorHAnsi"/>
        </w:rPr>
        <w:t xml:space="preserve"> Phase</w:t>
      </w:r>
      <w:r w:rsidRPr="00984726">
        <w:rPr>
          <w:rFonts w:cstheme="minorHAnsi"/>
        </w:rPr>
        <w:t xml:space="preserve">: </w:t>
      </w:r>
      <w:r w:rsidR="009B09A3">
        <w:rPr>
          <w:rFonts w:cstheme="minorHAnsi"/>
        </w:rPr>
        <w:t xml:space="preserve"> </w:t>
      </w:r>
      <w:r w:rsidRPr="00984726">
        <w:rPr>
          <w:rFonts w:cstheme="minorHAnsi"/>
        </w:rPr>
        <w:t xml:space="preserve">the parent and </w:t>
      </w:r>
      <w:r w:rsidR="009B09A3">
        <w:rPr>
          <w:rFonts w:cstheme="minorHAnsi"/>
        </w:rPr>
        <w:t xml:space="preserve">their </w:t>
      </w:r>
      <w:r w:rsidRPr="00984726">
        <w:rPr>
          <w:rFonts w:cstheme="minorHAnsi"/>
        </w:rPr>
        <w:t>mentor would review progress after each 12 months, refocus and re</w:t>
      </w:r>
      <w:r w:rsidRPr="00984726">
        <w:rPr>
          <w:rFonts w:cstheme="minorHAnsi"/>
        </w:rPr>
        <w:noBreakHyphen/>
        <w:t>assess strengths and challenges, and make any revision needed to the parent’s personal goals</w:t>
      </w:r>
      <w:r w:rsidR="002B7A8E">
        <w:rPr>
          <w:rFonts w:cstheme="minorHAnsi"/>
        </w:rPr>
        <w:t>.</w:t>
      </w:r>
    </w:p>
    <w:p w14:paraId="674E66B9" w14:textId="2EDCA63C" w:rsidR="001413C0" w:rsidRDefault="001413C0" w:rsidP="0057358F">
      <w:pPr>
        <w:pStyle w:val="Heading4"/>
      </w:pPr>
      <w:r w:rsidRPr="00DB6CE3">
        <w:t xml:space="preserve">Financial assistance </w:t>
      </w:r>
    </w:p>
    <w:p w14:paraId="75073F96" w14:textId="44AAD7C5" w:rsidR="00C15D68" w:rsidRPr="00C15D68" w:rsidRDefault="00C15D68" w:rsidP="005472B1">
      <w:r>
        <w:t xml:space="preserve">Services will have access to </w:t>
      </w:r>
      <w:r w:rsidR="007B3169">
        <w:t xml:space="preserve">funding to support participants. </w:t>
      </w:r>
      <w:r w:rsidR="00840421">
        <w:t xml:space="preserve">Providers will </w:t>
      </w:r>
      <w:r w:rsidR="007D217D">
        <w:t>usually</w:t>
      </w:r>
      <w:r w:rsidR="00840421">
        <w:t xml:space="preserve"> be expected to </w:t>
      </w:r>
      <w:r w:rsidR="007D217D">
        <w:t>purchase</w:t>
      </w:r>
      <w:r w:rsidR="00840421">
        <w:t xml:space="preserve"> </w:t>
      </w:r>
      <w:r w:rsidR="003515C3">
        <w:t>the assistance using their service fees and then claim reimbursement from th</w:t>
      </w:r>
      <w:r w:rsidR="007D217D">
        <w:t>e</w:t>
      </w:r>
      <w:r w:rsidR="003515C3">
        <w:t xml:space="preserve"> </w:t>
      </w:r>
      <w:r w:rsidR="007D217D">
        <w:t>relevant</w:t>
      </w:r>
      <w:r w:rsidR="003515C3">
        <w:t xml:space="preserve"> </w:t>
      </w:r>
      <w:r w:rsidR="007D217D">
        <w:t>fund</w:t>
      </w:r>
      <w:r w:rsidR="003515C3">
        <w:t>.</w:t>
      </w:r>
    </w:p>
    <w:p w14:paraId="282C7E04" w14:textId="3163F133" w:rsidR="00B61A9C" w:rsidRPr="00D36057" w:rsidRDefault="00B61A9C" w:rsidP="00B61A9C">
      <w:pPr>
        <w:pStyle w:val="Heading5"/>
      </w:pPr>
      <w:r w:rsidRPr="00D36057">
        <w:t xml:space="preserve">Individual </w:t>
      </w:r>
      <w:r w:rsidR="00646285">
        <w:t>F</w:t>
      </w:r>
      <w:r w:rsidRPr="00D36057">
        <w:t>und</w:t>
      </w:r>
    </w:p>
    <w:p w14:paraId="4DEB38FE" w14:textId="53F76B84" w:rsidR="00B61A9C" w:rsidRPr="00933A1A" w:rsidRDefault="00B61A9C" w:rsidP="00B61A9C">
      <w:pPr>
        <w:rPr>
          <w:color w:val="000000" w:themeColor="text1"/>
        </w:rPr>
      </w:pPr>
      <w:r w:rsidRPr="00933A1A">
        <w:t xml:space="preserve">An </w:t>
      </w:r>
      <w:r w:rsidR="00A62065">
        <w:t>I</w:t>
      </w:r>
      <w:r w:rsidRPr="00933A1A">
        <w:t xml:space="preserve">ndividual </w:t>
      </w:r>
      <w:r w:rsidR="00A62065">
        <w:t>F</w:t>
      </w:r>
      <w:r w:rsidRPr="00933A1A">
        <w:t xml:space="preserve">und will be tied to each participating parent to support costs associated with building skills and capability, such as police checks, working with vulnerable people checks, personal protective equipment and project materials, and for assistance to attend appointments or activities. </w:t>
      </w:r>
      <w:r w:rsidR="00A7455C">
        <w:rPr>
          <w:rFonts w:eastAsia="Arial" w:cs="Arial"/>
        </w:rPr>
        <w:lastRenderedPageBreak/>
        <w:t>When they start</w:t>
      </w:r>
      <w:r w:rsidR="00D4730D" w:rsidRPr="00933A1A">
        <w:rPr>
          <w:rFonts w:eastAsia="Arial" w:cs="Arial"/>
        </w:rPr>
        <w:t xml:space="preserve"> in the service</w:t>
      </w:r>
      <w:r w:rsidR="00D4730D">
        <w:rPr>
          <w:rFonts w:eastAsia="Arial" w:cs="Arial"/>
        </w:rPr>
        <w:t xml:space="preserve">, </w:t>
      </w:r>
      <w:r w:rsidRPr="00933A1A">
        <w:rPr>
          <w:rFonts w:eastAsia="Arial" w:cs="Arial"/>
        </w:rPr>
        <w:t>$1,</w:t>
      </w:r>
      <w:r w:rsidR="00AB2032" w:rsidRPr="00933A1A">
        <w:rPr>
          <w:rFonts w:eastAsia="Arial" w:cs="Arial"/>
        </w:rPr>
        <w:t>250</w:t>
      </w:r>
      <w:r w:rsidRPr="00933A1A">
        <w:rPr>
          <w:rFonts w:eastAsia="Arial" w:cs="Arial"/>
        </w:rPr>
        <w:t xml:space="preserve"> will be credited to each participant’s fund on a ‘use it or lose it’ basis. The fund will be recredited </w:t>
      </w:r>
      <w:r w:rsidRPr="00933A1A">
        <w:t xml:space="preserve">after each 12 months of active participation in the new service. </w:t>
      </w:r>
      <w:r w:rsidRPr="00933A1A">
        <w:rPr>
          <w:color w:val="000000" w:themeColor="text1"/>
        </w:rPr>
        <w:t>Funding would not accumulate if unspent or be pooled.</w:t>
      </w:r>
    </w:p>
    <w:p w14:paraId="370B82B3" w14:textId="08058B86" w:rsidR="006958C2" w:rsidRPr="00933A1A" w:rsidRDefault="007E785B" w:rsidP="001B5AEB">
      <w:pPr>
        <w:pStyle w:val="Heading5"/>
      </w:pPr>
      <w:r w:rsidRPr="00933A1A">
        <w:t>P</w:t>
      </w:r>
      <w:r w:rsidR="006958C2" w:rsidRPr="00933A1A">
        <w:t>ool</w:t>
      </w:r>
      <w:r w:rsidRPr="00933A1A">
        <w:t>ed funding</w:t>
      </w:r>
    </w:p>
    <w:p w14:paraId="03ACD3D7" w14:textId="53A6A524" w:rsidR="00646285" w:rsidRPr="00933A1A" w:rsidRDefault="006958C2" w:rsidP="00646285">
      <w:pPr>
        <w:rPr>
          <w:rFonts w:eastAsia="Arial" w:cs="Arial"/>
        </w:rPr>
      </w:pPr>
      <w:r w:rsidRPr="00933A1A">
        <w:t xml:space="preserve">Parents will have access through their mentor to </w:t>
      </w:r>
      <w:r w:rsidR="00D36057" w:rsidRPr="00933A1A">
        <w:t xml:space="preserve">flexible </w:t>
      </w:r>
      <w:r w:rsidR="007E785B" w:rsidRPr="00933A1A">
        <w:t>pooled funding</w:t>
      </w:r>
      <w:r w:rsidR="00D36057" w:rsidRPr="00933A1A">
        <w:t xml:space="preserve"> for </w:t>
      </w:r>
      <w:r w:rsidR="00A82589" w:rsidRPr="00933A1A">
        <w:t xml:space="preserve">additional </w:t>
      </w:r>
      <w:r w:rsidR="00A82589" w:rsidRPr="00933A1A">
        <w:rPr>
          <w:rFonts w:eastAsia="Times New Roman"/>
        </w:rPr>
        <w:t>pre</w:t>
      </w:r>
      <w:r w:rsidR="00A82589" w:rsidRPr="00933A1A">
        <w:rPr>
          <w:rFonts w:eastAsia="Times New Roman"/>
        </w:rPr>
        <w:noBreakHyphen/>
        <w:t>employment support as they make progress towards their goal</w:t>
      </w:r>
      <w:r w:rsidR="00363019" w:rsidRPr="00933A1A">
        <w:t>s</w:t>
      </w:r>
      <w:r w:rsidR="00A82589" w:rsidRPr="00933A1A">
        <w:t xml:space="preserve">. </w:t>
      </w:r>
      <w:r w:rsidR="00B3763B" w:rsidRPr="00933A1A">
        <w:t>Funding</w:t>
      </w:r>
      <w:r w:rsidR="00A82589" w:rsidRPr="00933A1A">
        <w:t xml:space="preserve"> will </w:t>
      </w:r>
      <w:r w:rsidR="00B3763B" w:rsidRPr="00933A1A">
        <w:t xml:space="preserve">support a wide range of </w:t>
      </w:r>
      <w:r w:rsidR="00C06098" w:rsidRPr="00933A1A">
        <w:t>purchases</w:t>
      </w:r>
      <w:r w:rsidR="00206E87" w:rsidRPr="00933A1A">
        <w:rPr>
          <w:rFonts w:eastAsia="Arial" w:cs="Arial"/>
        </w:rPr>
        <w:t xml:space="preserve"> for parents who are most in need of assistance,</w:t>
      </w:r>
      <w:r w:rsidR="002F143C" w:rsidRPr="00933A1A">
        <w:rPr>
          <w:rFonts w:eastAsia="Arial" w:cs="Arial"/>
        </w:rPr>
        <w:t xml:space="preserve"> including higher cost items such as </w:t>
      </w:r>
      <w:r w:rsidR="00206E87" w:rsidRPr="00933A1A">
        <w:rPr>
          <w:rFonts w:eastAsia="Arial" w:cs="Arial"/>
        </w:rPr>
        <w:t>childcare costs, medical expenses where the health issue inhibits participation, short-term crisis support, professional services</w:t>
      </w:r>
      <w:r w:rsidR="002F143C" w:rsidRPr="00933A1A">
        <w:rPr>
          <w:rFonts w:eastAsia="Arial" w:cs="Arial"/>
        </w:rPr>
        <w:t xml:space="preserve"> </w:t>
      </w:r>
      <w:r w:rsidR="00206E87" w:rsidRPr="00933A1A">
        <w:rPr>
          <w:rFonts w:eastAsia="Arial" w:cs="Arial"/>
        </w:rPr>
        <w:t>and work</w:t>
      </w:r>
      <w:r w:rsidR="00646285" w:rsidRPr="00933A1A">
        <w:rPr>
          <w:rFonts w:eastAsia="Arial" w:cs="Arial"/>
        </w:rPr>
        <w:t>-</w:t>
      </w:r>
      <w:r w:rsidR="00206E87" w:rsidRPr="00933A1A">
        <w:rPr>
          <w:rFonts w:eastAsia="Arial" w:cs="Arial"/>
        </w:rPr>
        <w:t xml:space="preserve">related expenses including wage subsidies and relocation assistance. </w:t>
      </w:r>
      <w:r w:rsidR="00D36057" w:rsidRPr="00933A1A">
        <w:t xml:space="preserve">The </w:t>
      </w:r>
      <w:r w:rsidR="007E785B" w:rsidRPr="00933A1A">
        <w:t>p</w:t>
      </w:r>
      <w:r w:rsidR="00D36057" w:rsidRPr="00933A1A">
        <w:t xml:space="preserve">ool will </w:t>
      </w:r>
      <w:r w:rsidR="00750E12" w:rsidRPr="00933A1A">
        <w:t>attract a one-off credit of $600</w:t>
      </w:r>
      <w:r w:rsidR="008C3745" w:rsidRPr="00933A1A">
        <w:t xml:space="preserve"> </w:t>
      </w:r>
      <w:r w:rsidR="00D36057" w:rsidRPr="00933A1A">
        <w:t xml:space="preserve">when a parent starts in the new service. </w:t>
      </w:r>
      <w:r w:rsidR="00D7345B" w:rsidRPr="00933A1A">
        <w:rPr>
          <w:rFonts w:eastAsia="Arial" w:cs="Arial"/>
        </w:rPr>
        <w:t xml:space="preserve">Unlike the Individual Fund, the Pooled Fund is not designed to provide every parent with the same value of </w:t>
      </w:r>
      <w:r w:rsidR="00D7345B" w:rsidRPr="008E7CD4">
        <w:rPr>
          <w:rFonts w:eastAsia="Arial" w:cs="Arial"/>
        </w:rPr>
        <w:t>financial</w:t>
      </w:r>
      <w:r w:rsidR="00C3734D">
        <w:rPr>
          <w:rFonts w:eastAsia="Arial" w:cs="Arial"/>
        </w:rPr>
        <w:t xml:space="preserve"> support</w:t>
      </w:r>
      <w:r w:rsidR="00D7345B" w:rsidRPr="008E7CD4">
        <w:rPr>
          <w:rFonts w:eastAsia="Arial" w:cs="Arial"/>
        </w:rPr>
        <w:t>.</w:t>
      </w:r>
    </w:p>
    <w:p w14:paraId="191D9CA4" w14:textId="33A415D8" w:rsidR="001413C0" w:rsidRPr="00933A1A" w:rsidRDefault="00825E05" w:rsidP="00773C8D">
      <w:pPr>
        <w:pStyle w:val="Heading4"/>
      </w:pPr>
      <w:r w:rsidRPr="00933A1A">
        <w:t>Complementary services</w:t>
      </w:r>
    </w:p>
    <w:p w14:paraId="578A308A" w14:textId="4C8B8911" w:rsidR="008C3745" w:rsidRDefault="00205CD5" w:rsidP="00205CD5">
      <w:r w:rsidRPr="00933A1A">
        <w:t>A range of complementary employment services and programs will be available to support eligible parents who are pursuing their employment goals, including programs targeted at specific cohorts.</w:t>
      </w:r>
      <w:r w:rsidRPr="00205CD5">
        <w:t xml:space="preserve"> </w:t>
      </w:r>
      <w:r w:rsidR="002E3162">
        <w:t>For example, f</w:t>
      </w:r>
      <w:r>
        <w:t>or parents</w:t>
      </w:r>
      <w:r w:rsidR="004B3616">
        <w:t xml:space="preserve"> with small business goals, participation in s</w:t>
      </w:r>
      <w:r w:rsidR="004B3616" w:rsidRPr="004B3616">
        <w:t xml:space="preserve">ervices available through </w:t>
      </w:r>
      <w:r w:rsidR="00D01253">
        <w:t>Workforce Australia – Self-</w:t>
      </w:r>
      <w:r w:rsidR="004B3616" w:rsidRPr="004B3616">
        <w:t>Employment Assistance</w:t>
      </w:r>
      <w:r w:rsidR="004B3616">
        <w:t xml:space="preserve"> may be </w:t>
      </w:r>
      <w:r w:rsidR="004B3616" w:rsidRPr="002B7A8E">
        <w:t>appropriate.</w:t>
      </w:r>
      <w:r w:rsidR="002E3162" w:rsidRPr="002B7A8E">
        <w:t xml:space="preserve"> </w:t>
      </w:r>
      <w:r w:rsidR="008C3745">
        <w:t>Parents</w:t>
      </w:r>
      <w:r w:rsidR="1AA23512">
        <w:t xml:space="preserve"> who want to use formal childcare </w:t>
      </w:r>
      <w:r w:rsidR="008C3745">
        <w:t xml:space="preserve">will </w:t>
      </w:r>
      <w:r w:rsidR="24F0F2F0">
        <w:t xml:space="preserve">be supported to </w:t>
      </w:r>
      <w:r w:rsidR="008C3745" w:rsidRPr="002B7A8E">
        <w:t>access childcare</w:t>
      </w:r>
      <w:r w:rsidR="00EA1A55" w:rsidRPr="002B7A8E">
        <w:t xml:space="preserve"> </w:t>
      </w:r>
      <w:r w:rsidR="60FC72FE">
        <w:t xml:space="preserve">and </w:t>
      </w:r>
      <w:r w:rsidR="5EDE3CA3">
        <w:t xml:space="preserve">childcare </w:t>
      </w:r>
      <w:r w:rsidR="60FC72FE">
        <w:t xml:space="preserve">subsidies </w:t>
      </w:r>
      <w:r w:rsidR="00EA1A55" w:rsidRPr="002B7A8E">
        <w:t xml:space="preserve">where </w:t>
      </w:r>
      <w:r w:rsidR="00EA1A55">
        <w:t>the</w:t>
      </w:r>
      <w:r w:rsidR="6E816FDD">
        <w:t xml:space="preserve">y need this to </w:t>
      </w:r>
      <w:r w:rsidR="00EA1A55" w:rsidRPr="002B7A8E">
        <w:t>participa</w:t>
      </w:r>
      <w:r w:rsidR="000F412D">
        <w:t>te</w:t>
      </w:r>
      <w:r w:rsidR="00EA1A55" w:rsidRPr="002B7A8E">
        <w:t xml:space="preserve"> </w:t>
      </w:r>
      <w:r w:rsidR="008C3745" w:rsidRPr="002B7A8E">
        <w:t xml:space="preserve">in </w:t>
      </w:r>
      <w:r w:rsidR="002B7A8E">
        <w:t xml:space="preserve">the services, </w:t>
      </w:r>
      <w:r w:rsidR="008C3745" w:rsidRPr="002B7A8E">
        <w:t xml:space="preserve">education </w:t>
      </w:r>
      <w:r w:rsidR="002B7A8E">
        <w:t xml:space="preserve">or </w:t>
      </w:r>
      <w:r w:rsidR="00EA1A55" w:rsidRPr="002B7A8E">
        <w:t>employment.</w:t>
      </w:r>
    </w:p>
    <w:p w14:paraId="4EE967DB" w14:textId="62A036F8" w:rsidR="001413C0" w:rsidRPr="00AE7E6F" w:rsidRDefault="008529D0" w:rsidP="00773C8D">
      <w:pPr>
        <w:pStyle w:val="Heading4"/>
      </w:pPr>
      <w:r w:rsidRPr="00AE7E6F">
        <w:t xml:space="preserve">Provider </w:t>
      </w:r>
      <w:r w:rsidR="008C3745">
        <w:t>p</w:t>
      </w:r>
      <w:r w:rsidRPr="00AE7E6F">
        <w:t xml:space="preserve">ayment </w:t>
      </w:r>
      <w:r w:rsidR="008C3745">
        <w:t>m</w:t>
      </w:r>
      <w:r w:rsidRPr="00AE7E6F">
        <w:t>odel</w:t>
      </w:r>
    </w:p>
    <w:p w14:paraId="40B14869" w14:textId="1B8A9375" w:rsidR="00560BA5" w:rsidRPr="00933A1A" w:rsidRDefault="008529D0" w:rsidP="008F12A3">
      <w:r w:rsidRPr="00933A1A">
        <w:t>The provider payment model will support personalised mentoring and</w:t>
      </w:r>
      <w:r w:rsidR="00C54BBC" w:rsidRPr="00933A1A">
        <w:t xml:space="preserve"> assistance for each parent</w:t>
      </w:r>
      <w:r w:rsidR="00560BA5" w:rsidRPr="00933A1A">
        <w:t xml:space="preserve">. </w:t>
      </w:r>
      <w:r w:rsidR="00C54BBC" w:rsidRPr="00681A8E">
        <w:t xml:space="preserve">Providers will receive </w:t>
      </w:r>
      <w:r w:rsidR="00CB25C1" w:rsidRPr="00681A8E">
        <w:t>twice yearly</w:t>
      </w:r>
      <w:r w:rsidR="00B04F02" w:rsidRPr="00681A8E">
        <w:t xml:space="preserve"> </w:t>
      </w:r>
      <w:r w:rsidR="00C54BBC" w:rsidRPr="00681A8E">
        <w:t>service fees in advance</w:t>
      </w:r>
      <w:r w:rsidR="00EA1A55" w:rsidRPr="00681A8E">
        <w:t xml:space="preserve"> of </w:t>
      </w:r>
      <w:r w:rsidR="00867CD3" w:rsidRPr="00681A8E">
        <w:t>$1</w:t>
      </w:r>
      <w:r w:rsidR="008975D5" w:rsidRPr="00681A8E">
        <w:t>,5</w:t>
      </w:r>
      <w:r w:rsidR="0042755B" w:rsidRPr="00681A8E">
        <w:t>00</w:t>
      </w:r>
      <w:r w:rsidR="008975D5" w:rsidRPr="00681A8E">
        <w:t xml:space="preserve"> per participant</w:t>
      </w:r>
      <w:r w:rsidR="00C54BBC" w:rsidRPr="00681A8E">
        <w:t xml:space="preserve">. </w:t>
      </w:r>
      <w:r w:rsidR="00BF6A66" w:rsidRPr="00681A8E">
        <w:t>P</w:t>
      </w:r>
      <w:r w:rsidR="007E0C35" w:rsidRPr="00681A8E">
        <w:t>rovider</w:t>
      </w:r>
      <w:r w:rsidR="00822D12" w:rsidRPr="00681A8E">
        <w:t>s</w:t>
      </w:r>
      <w:r w:rsidR="007E0C35" w:rsidRPr="00681A8E">
        <w:t xml:space="preserve"> </w:t>
      </w:r>
      <w:r w:rsidR="00560BA5" w:rsidRPr="00681A8E">
        <w:t>will</w:t>
      </w:r>
      <w:r w:rsidR="00560BA5" w:rsidRPr="00933A1A">
        <w:t xml:space="preserve"> also have access to separate</w:t>
      </w:r>
      <w:r w:rsidR="00AE7E6F" w:rsidRPr="00933A1A">
        <w:t xml:space="preserve"> outreach</w:t>
      </w:r>
      <w:r w:rsidR="00560BA5" w:rsidRPr="00933A1A">
        <w:t xml:space="preserve"> </w:t>
      </w:r>
      <w:r w:rsidR="00AE7E6F" w:rsidRPr="00933A1A">
        <w:t xml:space="preserve">and engagement </w:t>
      </w:r>
      <w:r w:rsidR="00560BA5" w:rsidRPr="00933A1A">
        <w:t>funding</w:t>
      </w:r>
      <w:r w:rsidR="00EA1A55" w:rsidRPr="00933A1A">
        <w:t xml:space="preserve"> of </w:t>
      </w:r>
      <w:r w:rsidR="00D85D6A" w:rsidRPr="00933A1A">
        <w:t>$25,000 annually</w:t>
      </w:r>
      <w:r w:rsidR="003F2F31" w:rsidRPr="00933A1A">
        <w:t xml:space="preserve"> for </w:t>
      </w:r>
      <w:r w:rsidR="004E1B50" w:rsidRPr="00933A1A">
        <w:t>each</w:t>
      </w:r>
      <w:r w:rsidR="003F2F31" w:rsidRPr="00933A1A">
        <w:t xml:space="preserve"> </w:t>
      </w:r>
      <w:r w:rsidR="004E1B50" w:rsidRPr="00933A1A">
        <w:t>servicing</w:t>
      </w:r>
      <w:r w:rsidR="003F2F31" w:rsidRPr="00933A1A">
        <w:t xml:space="preserve"> site</w:t>
      </w:r>
      <w:r w:rsidR="00560BA5" w:rsidRPr="00933A1A">
        <w:t xml:space="preserve"> </w:t>
      </w:r>
      <w:r w:rsidR="00AE7E6F" w:rsidRPr="00933A1A">
        <w:t>for building local networks, collaborating on activities that benefit parents and encouraging parents to connect with them.</w:t>
      </w:r>
    </w:p>
    <w:p w14:paraId="14C17703" w14:textId="5956E1CA" w:rsidR="008529D0" w:rsidRDefault="00560BA5" w:rsidP="008F12A3">
      <w:r w:rsidRPr="00933A1A">
        <w:t xml:space="preserve">The </w:t>
      </w:r>
      <w:r w:rsidR="00CB25C1" w:rsidRPr="00933A1A">
        <w:t xml:space="preserve">service </w:t>
      </w:r>
      <w:r w:rsidRPr="00933A1A">
        <w:t xml:space="preserve">fees will be higher than under ParentsNext and there will not be education or </w:t>
      </w:r>
      <w:r w:rsidR="009C3B11" w:rsidRPr="00933A1A">
        <w:t xml:space="preserve">employment </w:t>
      </w:r>
      <w:r w:rsidRPr="00933A1A">
        <w:t xml:space="preserve">outcome fees. </w:t>
      </w:r>
      <w:r w:rsidR="00890E90" w:rsidRPr="00933A1A">
        <w:t xml:space="preserve">The new payment model will be better aligned with and suitable for a service that focuses on providing </w:t>
      </w:r>
      <w:r w:rsidR="00C36C03" w:rsidRPr="00933A1A">
        <w:t xml:space="preserve">high quality </w:t>
      </w:r>
      <w:r w:rsidR="00890E90" w:rsidRPr="00933A1A">
        <w:t xml:space="preserve">pre-employment support </w:t>
      </w:r>
      <w:r w:rsidR="00672130" w:rsidRPr="00933A1A">
        <w:t>to assist parents along the</w:t>
      </w:r>
      <w:r w:rsidR="00672130">
        <w:t xml:space="preserve"> pathways to their chosen goals while also caring for their family, </w:t>
      </w:r>
      <w:r w:rsidR="00890E90">
        <w:t xml:space="preserve">whether this is helping parents address complex needs, </w:t>
      </w:r>
      <w:r w:rsidR="00691E59">
        <w:t xml:space="preserve">build </w:t>
      </w:r>
      <w:r w:rsidR="00890E90">
        <w:t xml:space="preserve">capability and skills, or seek employment. </w:t>
      </w:r>
      <w:r w:rsidR="55FF8094">
        <w:t>The expectation of higher quality support extends to parents having access to appropriately qualified</w:t>
      </w:r>
      <w:r w:rsidR="000B4F2A">
        <w:t xml:space="preserve"> or </w:t>
      </w:r>
      <w:r w:rsidR="00C928C5">
        <w:t>experienced</w:t>
      </w:r>
      <w:r w:rsidR="55FF8094">
        <w:t xml:space="preserve"> mentors,</w:t>
      </w:r>
      <w:r w:rsidR="00C928C5">
        <w:t xml:space="preserve"> and</w:t>
      </w:r>
      <w:r w:rsidR="008D0A92">
        <w:t xml:space="preserve"> </w:t>
      </w:r>
      <w:r w:rsidR="44CF8CC1">
        <w:t xml:space="preserve">lower mentor to participant ratios to allow time for mentors to </w:t>
      </w:r>
      <w:r w:rsidR="7FD7A29C">
        <w:t xml:space="preserve">be able to </w:t>
      </w:r>
      <w:r w:rsidR="44CF8CC1">
        <w:t>meet parents’ needs</w:t>
      </w:r>
      <w:r w:rsidR="45A5F972">
        <w:t xml:space="preserve">. </w:t>
      </w:r>
      <w:r w:rsidR="309EDB72">
        <w:t>This is considered a more suitable</w:t>
      </w:r>
      <w:r w:rsidR="6A6D3B4C">
        <w:t xml:space="preserve"> model than </w:t>
      </w:r>
      <w:r w:rsidR="781283C5">
        <w:t>one</w:t>
      </w:r>
      <w:r w:rsidR="6A6D3B4C">
        <w:t xml:space="preserve"> that incentivises </w:t>
      </w:r>
      <w:r w:rsidR="401D6357">
        <w:t>employment outcomes</w:t>
      </w:r>
      <w:r w:rsidR="4D840DD5">
        <w:t>.</w:t>
      </w:r>
    </w:p>
    <w:p w14:paraId="11FDC15E" w14:textId="47BD51E8" w:rsidR="00544F9B" w:rsidRDefault="00C06EA1" w:rsidP="009337A2">
      <w:pPr>
        <w:pStyle w:val="Heading4"/>
      </w:pPr>
      <w:r>
        <w:t>Provider performance</w:t>
      </w:r>
    </w:p>
    <w:p w14:paraId="5F59D185" w14:textId="7B3E2DF6" w:rsidR="00B4427B" w:rsidRPr="0047695A" w:rsidRDefault="002B74B6" w:rsidP="008F12A3">
      <w:r>
        <w:t xml:space="preserve">Provider performance will be </w:t>
      </w:r>
      <w:r w:rsidR="00AC6CA4">
        <w:t>measured</w:t>
      </w:r>
      <w:r>
        <w:t xml:space="preserve"> through a </w:t>
      </w:r>
      <w:r w:rsidR="00A41647">
        <w:t xml:space="preserve">clear </w:t>
      </w:r>
      <w:r w:rsidR="00803DA5">
        <w:t>performance</w:t>
      </w:r>
      <w:r w:rsidR="00C06EA1">
        <w:t xml:space="preserve"> </w:t>
      </w:r>
      <w:r w:rsidR="00803DA5">
        <w:t xml:space="preserve">framework that </w:t>
      </w:r>
      <w:r w:rsidR="00A41647">
        <w:t>focusses on</w:t>
      </w:r>
      <w:r w:rsidR="00EE7944">
        <w:t xml:space="preserve"> servicing priorities and community collaboration. Central to th</w:t>
      </w:r>
      <w:r w:rsidR="00AC6CA4">
        <w:t xml:space="preserve">is will be assessing whether </w:t>
      </w:r>
      <w:r w:rsidR="005763E4">
        <w:t xml:space="preserve">parents </w:t>
      </w:r>
      <w:r w:rsidR="00AC6CA4">
        <w:t xml:space="preserve">are progressing </w:t>
      </w:r>
      <w:r w:rsidR="00C90773">
        <w:t xml:space="preserve">towards their education and </w:t>
      </w:r>
      <w:r w:rsidR="002003B5">
        <w:t>employment</w:t>
      </w:r>
      <w:r w:rsidR="00C90773">
        <w:t xml:space="preserve"> goals</w:t>
      </w:r>
      <w:r w:rsidR="00F10721">
        <w:t xml:space="preserve"> </w:t>
      </w:r>
      <w:r w:rsidR="003C2592">
        <w:t>and receiving a flexible, quality service that meets their needs</w:t>
      </w:r>
      <w:r w:rsidR="002003B5">
        <w:t>.</w:t>
      </w:r>
      <w:r w:rsidR="00964284">
        <w:t xml:space="preserve"> </w:t>
      </w:r>
      <w:r w:rsidR="00754ED5">
        <w:t xml:space="preserve">The performance framework will also consider how well </w:t>
      </w:r>
      <w:r w:rsidR="00D70DE7">
        <w:t xml:space="preserve">providers </w:t>
      </w:r>
      <w:r w:rsidR="00D70DE7" w:rsidRPr="0047695A">
        <w:t xml:space="preserve">engage locally to </w:t>
      </w:r>
      <w:r w:rsidR="00082556" w:rsidRPr="0047695A">
        <w:t xml:space="preserve">facilitate </w:t>
      </w:r>
      <w:r w:rsidR="00F3212B" w:rsidRPr="0047695A">
        <w:t xml:space="preserve">parents’ engagement and </w:t>
      </w:r>
      <w:r w:rsidR="00114916" w:rsidRPr="0047695A">
        <w:t xml:space="preserve">individualised </w:t>
      </w:r>
      <w:r w:rsidR="00082556" w:rsidRPr="0047695A">
        <w:t>support for participants.</w:t>
      </w:r>
    </w:p>
    <w:p w14:paraId="48DD2F86" w14:textId="7F7C2D7D" w:rsidR="00825E05" w:rsidRPr="0047695A" w:rsidRDefault="008D281C" w:rsidP="00A40BD4">
      <w:pPr>
        <w:pStyle w:val="Heading2"/>
        <w:numPr>
          <w:ilvl w:val="1"/>
          <w:numId w:val="11"/>
        </w:numPr>
        <w:spacing w:before="40" w:line="259" w:lineRule="auto"/>
        <w:ind w:left="720"/>
      </w:pPr>
      <w:bookmarkStart w:id="53" w:name="_Toc151123110"/>
      <w:r w:rsidRPr="0047695A">
        <w:lastRenderedPageBreak/>
        <w:t>Option 3</w:t>
      </w:r>
      <w:r w:rsidR="008C3745" w:rsidRPr="0047695A">
        <w:t xml:space="preserve"> </w:t>
      </w:r>
      <w:r w:rsidR="002B7A8E" w:rsidRPr="0047695A">
        <w:t xml:space="preserve">– new </w:t>
      </w:r>
      <w:bookmarkStart w:id="54" w:name="_Hlk147763988"/>
      <w:r w:rsidRPr="0047695A">
        <w:t xml:space="preserve">voluntary </w:t>
      </w:r>
      <w:r w:rsidR="00EA1A55" w:rsidRPr="0047695A">
        <w:t xml:space="preserve">pre-employment </w:t>
      </w:r>
      <w:r w:rsidRPr="0047695A">
        <w:t xml:space="preserve">service </w:t>
      </w:r>
      <w:r w:rsidR="008C3745" w:rsidRPr="0047695A">
        <w:t>for</w:t>
      </w:r>
      <w:r w:rsidR="000032DC" w:rsidRPr="0047695A">
        <w:t xml:space="preserve"> Parenting Payment recipients</w:t>
      </w:r>
      <w:bookmarkEnd w:id="53"/>
      <w:bookmarkEnd w:id="54"/>
    </w:p>
    <w:p w14:paraId="728DD99E" w14:textId="233026FE" w:rsidR="00EA1A55" w:rsidRPr="0047695A" w:rsidRDefault="004B3616" w:rsidP="00EA1A55">
      <w:r w:rsidRPr="0047695A">
        <w:t xml:space="preserve">Option 3 </w:t>
      </w:r>
      <w:r w:rsidR="00C6163A">
        <w:t>has</w:t>
      </w:r>
      <w:r w:rsidRPr="0047695A">
        <w:t xml:space="preserve"> the attributes of Option 2, but access would </w:t>
      </w:r>
      <w:r w:rsidR="000032DC" w:rsidRPr="0047695A">
        <w:t>be</w:t>
      </w:r>
      <w:r w:rsidRPr="0047695A">
        <w:t xml:space="preserve"> </w:t>
      </w:r>
      <w:r w:rsidR="000032DC" w:rsidRPr="0047695A">
        <w:t>restricted to</w:t>
      </w:r>
      <w:r w:rsidR="00A16D96" w:rsidRPr="0047695A">
        <w:t xml:space="preserve"> </w:t>
      </w:r>
      <w:r w:rsidR="000032DC" w:rsidRPr="0047695A">
        <w:t>Parenting Payment recipients with</w:t>
      </w:r>
      <w:r w:rsidRPr="0047695A">
        <w:t xml:space="preserve"> young childre</w:t>
      </w:r>
      <w:r w:rsidR="00A44AE1" w:rsidRPr="0047695A">
        <w:t xml:space="preserve">n </w:t>
      </w:r>
      <w:r w:rsidR="002B7A8E" w:rsidRPr="0047695A">
        <w:t xml:space="preserve">who are not in paid work and are </w:t>
      </w:r>
      <w:r w:rsidR="00A44AE1" w:rsidRPr="0047695A">
        <w:t>living in non-remote Employment Regions.</w:t>
      </w:r>
      <w:r w:rsidRPr="0047695A">
        <w:t xml:space="preserve"> </w:t>
      </w:r>
      <w:r w:rsidR="000032DC" w:rsidRPr="0047695A">
        <w:t xml:space="preserve">This eligibility </w:t>
      </w:r>
      <w:r w:rsidR="00156E8F" w:rsidRPr="0047695A">
        <w:t xml:space="preserve">is similar to </w:t>
      </w:r>
      <w:r w:rsidR="000032DC" w:rsidRPr="0047695A">
        <w:t xml:space="preserve">that of the </w:t>
      </w:r>
      <w:r w:rsidR="004B2329" w:rsidRPr="0047695A">
        <w:t xml:space="preserve">ceasing </w:t>
      </w:r>
      <w:r w:rsidR="000032DC" w:rsidRPr="0047695A">
        <w:t>ParentsNext program.</w:t>
      </w:r>
    </w:p>
    <w:p w14:paraId="47D91903" w14:textId="319AF33E" w:rsidR="00292612" w:rsidRDefault="001B0CA3" w:rsidP="00EA1A55">
      <w:r w:rsidRPr="0047695A">
        <w:t xml:space="preserve">Priority would be given to </w:t>
      </w:r>
      <w:r w:rsidR="007A22D1" w:rsidRPr="0047695A">
        <w:t xml:space="preserve">Parenting </w:t>
      </w:r>
      <w:r w:rsidRPr="0047695A">
        <w:t>P</w:t>
      </w:r>
      <w:r w:rsidR="007A22D1" w:rsidRPr="0047695A">
        <w:t xml:space="preserve">ayment </w:t>
      </w:r>
      <w:r w:rsidRPr="0047695A">
        <w:t>recipients</w:t>
      </w:r>
      <w:r w:rsidR="007A22D1" w:rsidRPr="0047695A">
        <w:t xml:space="preserve"> with </w:t>
      </w:r>
      <w:r w:rsidR="00F82610" w:rsidRPr="0047695A">
        <w:t>characteristics</w:t>
      </w:r>
      <w:r w:rsidR="007A22D1" w:rsidRPr="0047695A">
        <w:t xml:space="preserve"> </w:t>
      </w:r>
      <w:r w:rsidRPr="0047695A">
        <w:t>that increase their risk of vulnerability</w:t>
      </w:r>
      <w:r w:rsidR="00F82610" w:rsidRPr="0047695A">
        <w:t xml:space="preserve">, for example, </w:t>
      </w:r>
      <w:r w:rsidR="004D308E" w:rsidRPr="0047695A">
        <w:t>First Nations</w:t>
      </w:r>
      <w:r w:rsidR="00F82610" w:rsidRPr="0047695A">
        <w:t xml:space="preserve"> parents, single parenthood, </w:t>
      </w:r>
      <w:r w:rsidR="004D308E" w:rsidRPr="0047695A">
        <w:t xml:space="preserve">low educational attainment, extended duration on income support or </w:t>
      </w:r>
      <w:r w:rsidR="00F002C1">
        <w:t xml:space="preserve">being a parent with </w:t>
      </w:r>
      <w:r w:rsidR="004D308E" w:rsidRPr="0047695A">
        <w:t>disability.</w:t>
      </w:r>
      <w:r w:rsidR="00E64355" w:rsidRPr="0047695A">
        <w:t xml:space="preserve"> </w:t>
      </w:r>
      <w:r w:rsidR="00126609">
        <w:t xml:space="preserve">While emphasis </w:t>
      </w:r>
      <w:r w:rsidR="00EE1ECF">
        <w:t xml:space="preserve">would be given to attracting </w:t>
      </w:r>
      <w:r w:rsidR="00300D19">
        <w:t xml:space="preserve">parents in </w:t>
      </w:r>
      <w:r w:rsidR="00EE1ECF">
        <w:t xml:space="preserve">these cohorts to </w:t>
      </w:r>
      <w:r w:rsidR="00610B67">
        <w:t xml:space="preserve">participate in </w:t>
      </w:r>
      <w:r w:rsidR="00EE1ECF">
        <w:t>the services, o</w:t>
      </w:r>
      <w:r w:rsidR="00E64355" w:rsidRPr="0047695A">
        <w:t xml:space="preserve">ther Parenting </w:t>
      </w:r>
      <w:r w:rsidR="002170A6" w:rsidRPr="0047695A">
        <w:t xml:space="preserve">Payment </w:t>
      </w:r>
      <w:r w:rsidR="00383148" w:rsidRPr="0047695A">
        <w:t xml:space="preserve">recipients </w:t>
      </w:r>
      <w:r w:rsidR="00CE3638">
        <w:t>would also have access</w:t>
      </w:r>
      <w:r w:rsidR="0051760E" w:rsidRPr="0047695A">
        <w:t>.</w:t>
      </w:r>
    </w:p>
    <w:p w14:paraId="28CC6117" w14:textId="06108FF0" w:rsidR="00A64C68" w:rsidRDefault="00B0127F" w:rsidP="00A52365">
      <w:r w:rsidDel="00A3655E">
        <w:t xml:space="preserve">This option </w:t>
      </w:r>
      <w:r w:rsidR="00767915" w:rsidDel="00A3655E">
        <w:t xml:space="preserve">addresses the </w:t>
      </w:r>
      <w:r w:rsidR="007969C2" w:rsidDel="00A3655E">
        <w:t xml:space="preserve">policy </w:t>
      </w:r>
      <w:r w:rsidR="00767915" w:rsidRPr="00601B38" w:rsidDel="00A3655E">
        <w:t xml:space="preserve">objectives described at section </w:t>
      </w:r>
      <w:r w:rsidR="00601B38" w:rsidRPr="00601B38" w:rsidDel="00A3655E">
        <w:t>4</w:t>
      </w:r>
      <w:r w:rsidR="00767915" w:rsidRPr="00601B38" w:rsidDel="00A3655E">
        <w:t xml:space="preserve"> </w:t>
      </w:r>
      <w:r w:rsidR="00795A23" w:rsidRPr="00601B38" w:rsidDel="00A3655E">
        <w:t>by helping</w:t>
      </w:r>
      <w:r w:rsidR="00767915" w:rsidDel="00A3655E">
        <w:t xml:space="preserve"> </w:t>
      </w:r>
      <w:r w:rsidR="00A213DB" w:rsidDel="00A3655E">
        <w:t xml:space="preserve">eligible </w:t>
      </w:r>
      <w:r w:rsidR="00767915" w:rsidDel="00A3655E">
        <w:t>parents to identify and achieve their aspirations and</w:t>
      </w:r>
      <w:r w:rsidR="00767915" w:rsidRPr="00A63145" w:rsidDel="00A3655E">
        <w:rPr>
          <w:rFonts w:eastAsia="Arial" w:cs="Arial"/>
        </w:rPr>
        <w:t xml:space="preserve"> </w:t>
      </w:r>
      <w:r w:rsidR="00767915" w:rsidRPr="30EB8222" w:rsidDel="00A3655E">
        <w:rPr>
          <w:rFonts w:eastAsia="Arial" w:cs="Arial"/>
        </w:rPr>
        <w:t>education and employment goals</w:t>
      </w:r>
      <w:r w:rsidR="00767915" w:rsidDel="00A3655E">
        <w:t xml:space="preserve"> while caring for their family</w:t>
      </w:r>
      <w:r w:rsidR="005F250D" w:rsidDel="00A3655E">
        <w:t xml:space="preserve">. </w:t>
      </w:r>
      <w:r w:rsidR="00207600" w:rsidDel="00A3655E">
        <w:t xml:space="preserve">However, by limiting eligibility to Parenting Payment recipients, many vulnerable parents will miss out on </w:t>
      </w:r>
      <w:r w:rsidR="00366417" w:rsidDel="00A3655E">
        <w:t>early coordinated pre-employment support</w:t>
      </w:r>
      <w:r w:rsidR="00A213DB" w:rsidDel="00A3655E">
        <w:t>.</w:t>
      </w:r>
      <w:r w:rsidR="00157DC0">
        <w:t xml:space="preserve"> </w:t>
      </w:r>
      <w:r w:rsidR="00356307">
        <w:rPr>
          <w:rFonts w:eastAsia="Arial" w:cs="Arial"/>
        </w:rPr>
        <w:t>With</w:t>
      </w:r>
      <w:r w:rsidR="00D704C2" w:rsidRPr="00FD5270">
        <w:rPr>
          <w:rFonts w:eastAsia="Arial" w:cs="Arial"/>
        </w:rPr>
        <w:t xml:space="preserve"> fewer participants than </w:t>
      </w:r>
      <w:r w:rsidR="001177E7">
        <w:rPr>
          <w:rFonts w:eastAsia="Arial" w:cs="Arial"/>
        </w:rPr>
        <w:t>O</w:t>
      </w:r>
      <w:r w:rsidR="00D704C2" w:rsidRPr="00FD5270">
        <w:rPr>
          <w:rFonts w:eastAsia="Arial" w:cs="Arial"/>
        </w:rPr>
        <w:t xml:space="preserve">ption 2, </w:t>
      </w:r>
      <w:r w:rsidR="00D704C2" w:rsidRPr="002E631A">
        <w:rPr>
          <w:rFonts w:eastAsia="Arial" w:cs="Arial"/>
        </w:rPr>
        <w:t>fewer providers</w:t>
      </w:r>
      <w:r w:rsidR="00356307" w:rsidRPr="002E631A">
        <w:rPr>
          <w:rFonts w:eastAsia="Arial" w:cs="Arial"/>
        </w:rPr>
        <w:t xml:space="preserve"> would be </w:t>
      </w:r>
      <w:r w:rsidR="00256D22" w:rsidRPr="002E631A">
        <w:rPr>
          <w:rFonts w:eastAsia="Arial" w:cs="Arial"/>
        </w:rPr>
        <w:t>expected</w:t>
      </w:r>
      <w:r w:rsidR="0043735C" w:rsidRPr="002E631A">
        <w:rPr>
          <w:rFonts w:eastAsia="Arial" w:cs="Arial"/>
        </w:rPr>
        <w:t xml:space="preserve"> for the new service.</w:t>
      </w:r>
    </w:p>
    <w:p w14:paraId="31116B30" w14:textId="04AC2F46" w:rsidR="007C163E" w:rsidRDefault="00CB25C1" w:rsidP="00EA1A55">
      <w:r>
        <w:t>The</w:t>
      </w:r>
      <w:r w:rsidR="00A52365" w:rsidRPr="00EB1D0B">
        <w:t xml:space="preserve"> </w:t>
      </w:r>
      <w:r w:rsidR="00196BBE" w:rsidRPr="00EB1D0B">
        <w:t xml:space="preserve">Select </w:t>
      </w:r>
      <w:r w:rsidR="008A590F" w:rsidRPr="00EB1D0B">
        <w:t>Committee</w:t>
      </w:r>
      <w:r w:rsidR="00196BBE" w:rsidRPr="00EB1D0B">
        <w:t xml:space="preserve"> considered that, subject to budget considerations, </w:t>
      </w:r>
      <w:r w:rsidR="008A590F" w:rsidRPr="00EB1D0B">
        <w:t>eligibility</w:t>
      </w:r>
      <w:r w:rsidR="00196BBE" w:rsidRPr="00EB1D0B">
        <w:t xml:space="preserve"> </w:t>
      </w:r>
      <w:r w:rsidR="008A590F" w:rsidRPr="00EB1D0B">
        <w:t>for a pre</w:t>
      </w:r>
      <w:r w:rsidR="003E0617" w:rsidRPr="00EB1D0B">
        <w:noBreakHyphen/>
        <w:t>employment service could include</w:t>
      </w:r>
      <w:r w:rsidR="0017112B" w:rsidRPr="00EB1D0B">
        <w:t xml:space="preserve"> those who are not in receipt of Parenting Payment </w:t>
      </w:r>
      <w:r w:rsidR="003E0617" w:rsidRPr="00EB1D0B">
        <w:t xml:space="preserve">or Carer Payment </w:t>
      </w:r>
      <w:r w:rsidR="0017112B" w:rsidRPr="00EB1D0B">
        <w:t>but who may still benefit from services and supports</w:t>
      </w:r>
      <w:r w:rsidR="003E0617" w:rsidRPr="00EB1D0B">
        <w:t>.</w:t>
      </w:r>
      <w:r w:rsidR="00606ECF" w:rsidRPr="00EB1D0B">
        <w:t xml:space="preserve"> </w:t>
      </w:r>
      <w:r w:rsidR="00EB1D0B">
        <w:t>Although, i</w:t>
      </w:r>
      <w:r w:rsidR="00C36F84" w:rsidRPr="00EB1D0B">
        <w:t>f</w:t>
      </w:r>
      <w:r w:rsidR="00A020CD" w:rsidRPr="00EB1D0B">
        <w:t xml:space="preserve"> additional funding is required but not available, </w:t>
      </w:r>
      <w:r w:rsidR="00C36F84" w:rsidRPr="00EB1D0B">
        <w:t xml:space="preserve">the </w:t>
      </w:r>
      <w:r w:rsidR="001A550C" w:rsidRPr="00EB1D0B">
        <w:t>Select</w:t>
      </w:r>
      <w:r w:rsidR="00C36F84" w:rsidRPr="00EB1D0B">
        <w:t xml:space="preserve"> Committee </w:t>
      </w:r>
      <w:r w:rsidR="00EB1D0B" w:rsidRPr="00EB1D0B">
        <w:t>preferred</w:t>
      </w:r>
      <w:r w:rsidR="00C36F84" w:rsidRPr="00EB1D0B">
        <w:t xml:space="preserve"> </w:t>
      </w:r>
      <w:r w:rsidR="001A550C" w:rsidRPr="00EB1D0B">
        <w:t xml:space="preserve">that </w:t>
      </w:r>
      <w:r w:rsidR="00934352" w:rsidRPr="00EB1D0B">
        <w:t xml:space="preserve">a high-quality service </w:t>
      </w:r>
      <w:r w:rsidR="001A550C" w:rsidRPr="00EB1D0B">
        <w:t xml:space="preserve">be provided </w:t>
      </w:r>
      <w:r w:rsidR="00934352" w:rsidRPr="00EB1D0B">
        <w:t>to a narrower group of people than to compromise on critical design principles so that more parents can participate</w:t>
      </w:r>
      <w:r w:rsidR="00FF6A89" w:rsidRPr="00EB1D0B">
        <w:t>.</w:t>
      </w:r>
    </w:p>
    <w:p w14:paraId="24453856" w14:textId="2441C5CF" w:rsidR="004F45F6" w:rsidRDefault="00C472AE" w:rsidP="00A40BD4">
      <w:pPr>
        <w:pStyle w:val="Heading1"/>
        <w:numPr>
          <w:ilvl w:val="0"/>
          <w:numId w:val="11"/>
        </w:numPr>
        <w:ind w:left="357" w:hanging="357"/>
      </w:pPr>
      <w:bookmarkStart w:id="55" w:name="_Toc151123111"/>
      <w:r>
        <w:t>What is the l</w:t>
      </w:r>
      <w:r w:rsidR="00A44AE1">
        <w:t xml:space="preserve">ikely </w:t>
      </w:r>
      <w:r w:rsidR="00161520">
        <w:t xml:space="preserve">net benefit of </w:t>
      </w:r>
      <w:r>
        <w:t>each</w:t>
      </w:r>
      <w:r w:rsidR="00161520">
        <w:t xml:space="preserve"> option</w:t>
      </w:r>
      <w:r>
        <w:t>?</w:t>
      </w:r>
      <w:bookmarkEnd w:id="55"/>
    </w:p>
    <w:p w14:paraId="22576F71" w14:textId="3AA313AC" w:rsidR="002F4BA7" w:rsidRDefault="00477D9C" w:rsidP="00181AFD">
      <w:pPr>
        <w:rPr>
          <w:rFonts w:eastAsia="Arial" w:cs="Arial"/>
        </w:rPr>
      </w:pPr>
      <w:r w:rsidRPr="00181AFD">
        <w:rPr>
          <w:rFonts w:eastAsia="Arial" w:cs="Arial"/>
        </w:rPr>
        <w:t xml:space="preserve">This </w:t>
      </w:r>
      <w:r w:rsidR="00B23C88" w:rsidRPr="00181AFD">
        <w:rPr>
          <w:rFonts w:eastAsia="Arial" w:cs="Arial"/>
        </w:rPr>
        <w:t>section</w:t>
      </w:r>
      <w:r w:rsidR="000D4001" w:rsidRPr="00181AFD">
        <w:rPr>
          <w:rFonts w:eastAsia="Arial" w:cs="Arial"/>
        </w:rPr>
        <w:t xml:space="preserve"> presents</w:t>
      </w:r>
      <w:r w:rsidR="00B23C88" w:rsidRPr="00181AFD">
        <w:rPr>
          <w:rFonts w:eastAsia="Arial" w:cs="Arial"/>
        </w:rPr>
        <w:t xml:space="preserve"> an </w:t>
      </w:r>
      <w:r w:rsidR="000D4001" w:rsidRPr="00181AFD">
        <w:rPr>
          <w:rFonts w:eastAsia="Arial" w:cs="Arial"/>
        </w:rPr>
        <w:t>analysis</w:t>
      </w:r>
      <w:r w:rsidR="00B23C88" w:rsidRPr="00181AFD">
        <w:rPr>
          <w:rFonts w:eastAsia="Arial" w:cs="Arial"/>
        </w:rPr>
        <w:t xml:space="preserve"> of the potential </w:t>
      </w:r>
      <w:r w:rsidR="000D4001" w:rsidRPr="00181AFD">
        <w:rPr>
          <w:rFonts w:eastAsia="Arial" w:cs="Arial"/>
        </w:rPr>
        <w:t>benefits</w:t>
      </w:r>
      <w:r w:rsidR="00B23C88" w:rsidRPr="00181AFD">
        <w:rPr>
          <w:rFonts w:eastAsia="Arial" w:cs="Arial"/>
        </w:rPr>
        <w:t xml:space="preserve"> a</w:t>
      </w:r>
      <w:r w:rsidR="000D4001" w:rsidRPr="00181AFD">
        <w:rPr>
          <w:rFonts w:eastAsia="Arial" w:cs="Arial"/>
        </w:rPr>
        <w:t>n</w:t>
      </w:r>
      <w:r w:rsidR="00B23C88" w:rsidRPr="00181AFD">
        <w:rPr>
          <w:rFonts w:eastAsia="Arial" w:cs="Arial"/>
        </w:rPr>
        <w:t xml:space="preserve">d cost of the </w:t>
      </w:r>
      <w:r w:rsidR="000D4001" w:rsidRPr="00181AFD">
        <w:rPr>
          <w:rFonts w:eastAsia="Arial" w:cs="Arial"/>
        </w:rPr>
        <w:t>three policy options</w:t>
      </w:r>
      <w:r w:rsidRPr="00181AFD">
        <w:rPr>
          <w:rFonts w:eastAsia="Arial" w:cs="Arial"/>
        </w:rPr>
        <w:t xml:space="preserve"> </w:t>
      </w:r>
      <w:r w:rsidR="000D4001" w:rsidRPr="00181AFD">
        <w:rPr>
          <w:rFonts w:eastAsia="Arial" w:cs="Arial"/>
        </w:rPr>
        <w:t xml:space="preserve">explored in this Impact </w:t>
      </w:r>
      <w:r w:rsidR="003955A9" w:rsidRPr="00181AFD">
        <w:rPr>
          <w:rFonts w:eastAsia="Arial" w:cs="Arial"/>
        </w:rPr>
        <w:t>Analysis</w:t>
      </w:r>
      <w:r w:rsidR="000D4001" w:rsidRPr="00181AFD">
        <w:rPr>
          <w:rFonts w:eastAsia="Arial" w:cs="Arial"/>
        </w:rPr>
        <w:t>.</w:t>
      </w:r>
      <w:r w:rsidR="008642DF" w:rsidRPr="00181AFD">
        <w:rPr>
          <w:rFonts w:eastAsia="Arial" w:cs="Arial"/>
        </w:rPr>
        <w:t xml:space="preserve"> </w:t>
      </w:r>
      <w:r w:rsidR="007F32D4">
        <w:rPr>
          <w:rFonts w:eastAsia="Arial" w:cs="Arial"/>
        </w:rPr>
        <w:t xml:space="preserve">The analysis </w:t>
      </w:r>
      <w:r w:rsidR="00350127" w:rsidRPr="00181AFD">
        <w:rPr>
          <w:rFonts w:eastAsia="Arial" w:cs="Arial"/>
        </w:rPr>
        <w:t>considers</w:t>
      </w:r>
      <w:r w:rsidR="002F4BA7">
        <w:rPr>
          <w:rFonts w:eastAsia="Arial" w:cs="Arial"/>
        </w:rPr>
        <w:t>:</w:t>
      </w:r>
    </w:p>
    <w:p w14:paraId="5768318C" w14:textId="22E85012" w:rsidR="002F4BA7" w:rsidRPr="00412466" w:rsidRDefault="003B0D6A" w:rsidP="00A40BD4">
      <w:pPr>
        <w:pStyle w:val="ListBullet"/>
        <w:numPr>
          <w:ilvl w:val="0"/>
          <w:numId w:val="10"/>
        </w:numPr>
        <w:ind w:left="357" w:hanging="357"/>
        <w:rPr>
          <w:rFonts w:cstheme="minorHAnsi"/>
        </w:rPr>
      </w:pPr>
      <w:r w:rsidRPr="00412466">
        <w:rPr>
          <w:rFonts w:cstheme="minorHAnsi"/>
        </w:rPr>
        <w:t xml:space="preserve">the </w:t>
      </w:r>
      <w:r w:rsidR="003955A9" w:rsidRPr="00412466">
        <w:rPr>
          <w:rFonts w:cstheme="minorHAnsi"/>
        </w:rPr>
        <w:t>extent</w:t>
      </w:r>
      <w:r w:rsidRPr="00412466">
        <w:rPr>
          <w:rFonts w:cstheme="minorHAnsi"/>
        </w:rPr>
        <w:t xml:space="preserve"> to which each optio</w:t>
      </w:r>
      <w:r w:rsidR="00D71089" w:rsidRPr="00412466">
        <w:rPr>
          <w:rFonts w:cstheme="minorHAnsi"/>
        </w:rPr>
        <w:t xml:space="preserve">n </w:t>
      </w:r>
      <w:r w:rsidR="00602712" w:rsidRPr="00412466">
        <w:rPr>
          <w:rFonts w:cstheme="minorHAnsi"/>
        </w:rPr>
        <w:t xml:space="preserve">is expected to </w:t>
      </w:r>
      <w:r w:rsidRPr="00412466">
        <w:rPr>
          <w:rFonts w:cstheme="minorHAnsi"/>
        </w:rPr>
        <w:t xml:space="preserve">meet the policy </w:t>
      </w:r>
      <w:r w:rsidR="00602712" w:rsidRPr="00412466">
        <w:rPr>
          <w:rFonts w:cstheme="minorHAnsi"/>
        </w:rPr>
        <w:t>objectives</w:t>
      </w:r>
      <w:r w:rsidRPr="00412466">
        <w:rPr>
          <w:rFonts w:cstheme="minorHAnsi"/>
        </w:rPr>
        <w:t xml:space="preserve"> in section </w:t>
      </w:r>
      <w:r w:rsidR="008A091F" w:rsidRPr="00412466">
        <w:rPr>
          <w:rFonts w:cstheme="minorHAnsi"/>
        </w:rPr>
        <w:t>4</w:t>
      </w:r>
    </w:p>
    <w:p w14:paraId="6ABBFCE3" w14:textId="298DB06B" w:rsidR="00420FF3" w:rsidRPr="00412466" w:rsidRDefault="00420FF3" w:rsidP="00A40BD4">
      <w:pPr>
        <w:pStyle w:val="ListBullet"/>
        <w:numPr>
          <w:ilvl w:val="0"/>
          <w:numId w:val="10"/>
        </w:numPr>
        <w:ind w:left="357" w:hanging="357"/>
        <w:rPr>
          <w:rFonts w:cstheme="minorHAnsi"/>
        </w:rPr>
      </w:pPr>
      <w:r w:rsidRPr="00412466">
        <w:rPr>
          <w:rFonts w:cstheme="minorHAnsi"/>
        </w:rPr>
        <w:t xml:space="preserve">the extent to which each option </w:t>
      </w:r>
      <w:r w:rsidR="003955A9" w:rsidRPr="00412466">
        <w:rPr>
          <w:rFonts w:cstheme="minorHAnsi"/>
        </w:rPr>
        <w:t>responds</w:t>
      </w:r>
      <w:r w:rsidR="00EF6DAA" w:rsidRPr="00412466">
        <w:rPr>
          <w:rFonts w:cstheme="minorHAnsi"/>
        </w:rPr>
        <w:t xml:space="preserve"> to feedback from parents and other stak</w:t>
      </w:r>
      <w:r w:rsidR="003955A9" w:rsidRPr="00412466">
        <w:rPr>
          <w:rFonts w:cstheme="minorHAnsi"/>
        </w:rPr>
        <w:t>eholders</w:t>
      </w:r>
      <w:r w:rsidR="00EF6DAA" w:rsidRPr="00412466">
        <w:rPr>
          <w:rFonts w:cstheme="minorHAnsi"/>
        </w:rPr>
        <w:t xml:space="preserve"> </w:t>
      </w:r>
      <w:r w:rsidR="003955A9" w:rsidRPr="00412466">
        <w:rPr>
          <w:rFonts w:cstheme="minorHAnsi"/>
        </w:rPr>
        <w:t>in consultations, submissions and recent inquiries</w:t>
      </w:r>
    </w:p>
    <w:p w14:paraId="7C22D5E8" w14:textId="42C38BBE" w:rsidR="00724E02" w:rsidRPr="00412466" w:rsidRDefault="00923A5C" w:rsidP="00A40BD4">
      <w:pPr>
        <w:pStyle w:val="ListBullet"/>
        <w:numPr>
          <w:ilvl w:val="0"/>
          <w:numId w:val="10"/>
        </w:numPr>
        <w:ind w:left="357" w:hanging="357"/>
        <w:rPr>
          <w:rFonts w:cstheme="minorHAnsi"/>
        </w:rPr>
      </w:pPr>
      <w:r>
        <w:rPr>
          <w:rFonts w:cstheme="minorHAnsi"/>
        </w:rPr>
        <w:t>potential impacts for</w:t>
      </w:r>
      <w:r w:rsidR="00724E02" w:rsidRPr="00412466">
        <w:rPr>
          <w:rFonts w:cstheme="minorHAnsi"/>
        </w:rPr>
        <w:t xml:space="preserve"> parents, employers, providers and government</w:t>
      </w:r>
    </w:p>
    <w:p w14:paraId="4E1C60C4" w14:textId="62D4CC64" w:rsidR="005E0562" w:rsidRPr="003F20E3" w:rsidRDefault="009F6168" w:rsidP="00A40BD4">
      <w:pPr>
        <w:pStyle w:val="ListBullet"/>
        <w:numPr>
          <w:ilvl w:val="0"/>
          <w:numId w:val="10"/>
        </w:numPr>
        <w:ind w:left="357" w:hanging="357"/>
        <w:rPr>
          <w:rFonts w:cstheme="minorHAnsi"/>
        </w:rPr>
      </w:pPr>
      <w:r w:rsidRPr="00412466">
        <w:rPr>
          <w:rFonts w:cstheme="minorHAnsi"/>
        </w:rPr>
        <w:t xml:space="preserve">the caseload and servicing reach of </w:t>
      </w:r>
      <w:r w:rsidR="00217B72" w:rsidRPr="00412466">
        <w:rPr>
          <w:rFonts w:cstheme="minorHAnsi"/>
        </w:rPr>
        <w:t>each option.</w:t>
      </w:r>
    </w:p>
    <w:p w14:paraId="5A0F5502" w14:textId="4C9B2D96" w:rsidR="00DC200F" w:rsidRDefault="00151340" w:rsidP="00181AFD">
      <w:pPr>
        <w:rPr>
          <w:rFonts w:eastAsia="Arial" w:cs="Arial"/>
        </w:rPr>
      </w:pPr>
      <w:r w:rsidRPr="00181AFD">
        <w:rPr>
          <w:rFonts w:eastAsia="Arial" w:cs="Arial"/>
        </w:rPr>
        <w:t xml:space="preserve">Regulatory burden has been quantified as described at Appendix </w:t>
      </w:r>
      <w:r w:rsidR="00330D12">
        <w:rPr>
          <w:rFonts w:eastAsia="Arial" w:cs="Arial"/>
        </w:rPr>
        <w:t>A</w:t>
      </w:r>
      <w:r w:rsidR="00330D12" w:rsidRPr="00181AFD">
        <w:rPr>
          <w:rFonts w:eastAsia="Arial" w:cs="Arial"/>
        </w:rPr>
        <w:t xml:space="preserve"> </w:t>
      </w:r>
      <w:r w:rsidRPr="00181AFD">
        <w:rPr>
          <w:rFonts w:eastAsia="Arial" w:cs="Arial"/>
        </w:rPr>
        <w:t>in accordance with the Regulatory Burden Measurement Framework.</w:t>
      </w:r>
      <w:r w:rsidR="00DD458E">
        <w:rPr>
          <w:rFonts w:eastAsia="Arial" w:cs="Arial"/>
        </w:rPr>
        <w:t xml:space="preserve"> </w:t>
      </w:r>
      <w:r w:rsidR="00624777" w:rsidRPr="00624777">
        <w:rPr>
          <w:rStyle w:val="normaltextrun"/>
          <w:rFonts w:eastAsiaTheme="minorEastAsia" w:cs="Calibri"/>
        </w:rPr>
        <w:t>Projected caseload numbers used</w:t>
      </w:r>
      <w:r w:rsidR="00624777">
        <w:rPr>
          <w:rStyle w:val="normaltextrun"/>
          <w:rFonts w:eastAsiaTheme="minorEastAsia" w:cs="Calibri"/>
        </w:rPr>
        <w:t xml:space="preserve"> </w:t>
      </w:r>
      <w:r w:rsidR="00DA72C1">
        <w:rPr>
          <w:rFonts w:eastAsia="Arial" w:cs="Arial"/>
        </w:rPr>
        <w:t>in this section and underlying the regulatory cost</w:t>
      </w:r>
      <w:r w:rsidR="0011251B">
        <w:rPr>
          <w:rFonts w:eastAsia="Arial" w:cs="Arial"/>
        </w:rPr>
        <w:t xml:space="preserve">ings are </w:t>
      </w:r>
      <w:r w:rsidR="0011251B" w:rsidRPr="00C61500">
        <w:rPr>
          <w:rFonts w:eastAsia="Arial" w:cs="Arial"/>
        </w:rPr>
        <w:t xml:space="preserve">based </w:t>
      </w:r>
      <w:r w:rsidR="0011251B" w:rsidRPr="00C509ED">
        <w:rPr>
          <w:rFonts w:eastAsia="Arial" w:cs="Arial"/>
        </w:rPr>
        <w:t xml:space="preserve">on </w:t>
      </w:r>
      <w:r w:rsidR="00412466" w:rsidRPr="00C61500">
        <w:rPr>
          <w:rFonts w:eastAsia="Arial" w:cs="Arial"/>
        </w:rPr>
        <w:t>funding models used</w:t>
      </w:r>
      <w:r w:rsidR="00412466">
        <w:rPr>
          <w:rFonts w:eastAsia="Arial" w:cs="Arial"/>
        </w:rPr>
        <w:t xml:space="preserve"> to determine the ParentsNext </w:t>
      </w:r>
      <w:r w:rsidR="00D52C06">
        <w:rPr>
          <w:rFonts w:eastAsia="Arial" w:cs="Arial"/>
        </w:rPr>
        <w:t>appropriation</w:t>
      </w:r>
      <w:r w:rsidR="0011251B">
        <w:rPr>
          <w:rFonts w:eastAsia="Arial" w:cs="Arial"/>
        </w:rPr>
        <w:t>.</w:t>
      </w:r>
      <w:r w:rsidR="00B70FFA">
        <w:rPr>
          <w:rFonts w:eastAsia="Arial" w:cs="Arial"/>
        </w:rPr>
        <w:t xml:space="preserve"> C</w:t>
      </w:r>
      <w:r w:rsidR="003207B5">
        <w:rPr>
          <w:rFonts w:eastAsia="Arial" w:cs="Arial"/>
        </w:rPr>
        <w:t xml:space="preserve">urrent caseload </w:t>
      </w:r>
      <w:r w:rsidR="00395360">
        <w:rPr>
          <w:rFonts w:eastAsia="Arial" w:cs="Arial"/>
        </w:rPr>
        <w:t>information</w:t>
      </w:r>
      <w:r w:rsidR="003207B5">
        <w:rPr>
          <w:rFonts w:eastAsia="Arial" w:cs="Arial"/>
        </w:rPr>
        <w:t xml:space="preserve"> is drawn from departmental administrative data.</w:t>
      </w:r>
    </w:p>
    <w:p w14:paraId="43390B53" w14:textId="77777777" w:rsidR="00923A5C" w:rsidRPr="00181AFD" w:rsidRDefault="00923A5C" w:rsidP="00923A5C">
      <w:pPr>
        <w:rPr>
          <w:rFonts w:eastAsia="Arial" w:cs="Arial"/>
        </w:rPr>
      </w:pPr>
      <w:r w:rsidRPr="00181AFD">
        <w:rPr>
          <w:rFonts w:eastAsia="Arial" w:cs="Arial"/>
        </w:rPr>
        <w:t>The cost-benefit analysis has not been quantified because of the nature of the policy with long term objectives which are not readily quantifiable. The measure will not have a substantial or widespread impact on the economy.</w:t>
      </w:r>
    </w:p>
    <w:p w14:paraId="4688660E" w14:textId="4B48F770" w:rsidR="004E36B8" w:rsidRDefault="00066A75" w:rsidP="00A40BD4">
      <w:pPr>
        <w:pStyle w:val="Heading2"/>
        <w:numPr>
          <w:ilvl w:val="1"/>
          <w:numId w:val="11"/>
        </w:numPr>
        <w:ind w:left="709"/>
        <w:rPr>
          <w:lang w:val="en-US"/>
        </w:rPr>
      </w:pPr>
      <w:bookmarkStart w:id="56" w:name="_Toc151123112"/>
      <w:r>
        <w:rPr>
          <w:lang w:val="en-US"/>
        </w:rPr>
        <w:lastRenderedPageBreak/>
        <w:t xml:space="preserve">Option </w:t>
      </w:r>
      <w:bookmarkStart w:id="57" w:name="_Hlk145771429"/>
      <w:r>
        <w:rPr>
          <w:lang w:val="en-US"/>
        </w:rPr>
        <w:t>1 –</w:t>
      </w:r>
      <w:r w:rsidR="00720046">
        <w:rPr>
          <w:lang w:val="en-US"/>
        </w:rPr>
        <w:t xml:space="preserve"> </w:t>
      </w:r>
      <w:r w:rsidR="002F7E43">
        <w:rPr>
          <w:lang w:val="en-US"/>
        </w:rPr>
        <w:t xml:space="preserve">no </w:t>
      </w:r>
      <w:r w:rsidR="004E36B8">
        <w:t>pre-employment service for parents</w:t>
      </w:r>
      <w:bookmarkEnd w:id="56"/>
      <w:bookmarkEnd w:id="57"/>
    </w:p>
    <w:p w14:paraId="0FFBA546" w14:textId="77777777" w:rsidR="00071170" w:rsidRPr="00071170" w:rsidRDefault="00071170" w:rsidP="00071170">
      <w:pPr>
        <w:pStyle w:val="BOXText"/>
        <w:rPr>
          <w:rFonts w:eastAsia="Arial"/>
          <w:b/>
          <w:bCs/>
        </w:rPr>
      </w:pPr>
      <w:r w:rsidRPr="00071170">
        <w:rPr>
          <w:rFonts w:eastAsia="Arial"/>
          <w:b/>
          <w:bCs/>
        </w:rPr>
        <w:t>Key impacts</w:t>
      </w:r>
    </w:p>
    <w:p w14:paraId="44002AF9" w14:textId="77777777" w:rsidR="00071170" w:rsidRPr="00203161" w:rsidRDefault="00071170" w:rsidP="00BF7C55">
      <w:pPr>
        <w:pStyle w:val="BOXText"/>
        <w:rPr>
          <w:rFonts w:eastAsia="Arial"/>
        </w:rPr>
      </w:pPr>
      <w:r w:rsidRPr="00203161">
        <w:rPr>
          <w:rFonts w:eastAsia="Arial"/>
        </w:rPr>
        <w:t>This option would:</w:t>
      </w:r>
    </w:p>
    <w:p w14:paraId="557D634E" w14:textId="77777777" w:rsidR="00071170" w:rsidRDefault="00071170" w:rsidP="00071170">
      <w:pPr>
        <w:pStyle w:val="BOXBulletedList"/>
        <w:rPr>
          <w:rFonts w:eastAsia="Arial"/>
        </w:rPr>
      </w:pPr>
      <w:r w:rsidRPr="004448C4">
        <w:rPr>
          <w:rFonts w:eastAsia="Arial"/>
        </w:rPr>
        <w:t xml:space="preserve">not provide specific </w:t>
      </w:r>
      <w:r>
        <w:rPr>
          <w:rFonts w:eastAsia="Arial"/>
        </w:rPr>
        <w:t xml:space="preserve">pre-employment </w:t>
      </w:r>
      <w:r w:rsidRPr="004448C4">
        <w:rPr>
          <w:rFonts w:eastAsia="Arial"/>
        </w:rPr>
        <w:t xml:space="preserve">support </w:t>
      </w:r>
      <w:r>
        <w:rPr>
          <w:rFonts w:eastAsia="Arial"/>
        </w:rPr>
        <w:t xml:space="preserve">and financial assistance </w:t>
      </w:r>
      <w:r w:rsidRPr="004448C4">
        <w:rPr>
          <w:rFonts w:eastAsia="Arial"/>
        </w:rPr>
        <w:t xml:space="preserve">for parents </w:t>
      </w:r>
      <w:r>
        <w:rPr>
          <w:rFonts w:eastAsia="Arial"/>
        </w:rPr>
        <w:t>of young children to help them overcome barriers and progress towards their skill and employment goals</w:t>
      </w:r>
    </w:p>
    <w:p w14:paraId="465780CD" w14:textId="77777777" w:rsidR="00071170" w:rsidRDefault="00071170" w:rsidP="00071170">
      <w:pPr>
        <w:pStyle w:val="BOXBulletedList"/>
        <w:rPr>
          <w:rFonts w:eastAsia="Arial"/>
        </w:rPr>
      </w:pPr>
      <w:r>
        <w:rPr>
          <w:rFonts w:eastAsia="Arial"/>
        </w:rPr>
        <w:t>not address stakeholder feedback supporting a flexible, parent-specific service</w:t>
      </w:r>
    </w:p>
    <w:p w14:paraId="25F50DAB" w14:textId="77777777" w:rsidR="00071170" w:rsidRDefault="00071170" w:rsidP="00071170">
      <w:pPr>
        <w:pStyle w:val="BOXBulletedList"/>
        <w:rPr>
          <w:rFonts w:eastAsia="Arial"/>
        </w:rPr>
      </w:pPr>
      <w:r>
        <w:rPr>
          <w:rFonts w:eastAsia="Arial"/>
        </w:rPr>
        <w:t>risk vulnerable parents remaining outside the workforce for longer with associated income support and related costs</w:t>
      </w:r>
    </w:p>
    <w:p w14:paraId="451A20C1" w14:textId="77777777" w:rsidR="00071170" w:rsidRDefault="00071170" w:rsidP="00071170">
      <w:pPr>
        <w:pStyle w:val="BOXBulletedList"/>
        <w:rPr>
          <w:rFonts w:eastAsia="Arial"/>
        </w:rPr>
      </w:pPr>
      <w:r>
        <w:rPr>
          <w:rFonts w:eastAsia="Arial"/>
        </w:rPr>
        <w:t>risk parents not engaging in ParentsNext in the lead up to July 2024 with potential impact on providers and services</w:t>
      </w:r>
    </w:p>
    <w:p w14:paraId="16675878" w14:textId="77777777" w:rsidR="00071170" w:rsidRPr="00F63E55" w:rsidRDefault="00071170" w:rsidP="00071170">
      <w:pPr>
        <w:pStyle w:val="BOXBulletedList"/>
        <w:rPr>
          <w:rFonts w:eastAsia="Arial"/>
        </w:rPr>
      </w:pPr>
      <w:r w:rsidRPr="00F63E55">
        <w:rPr>
          <w:rFonts w:eastAsia="Arial"/>
        </w:rPr>
        <w:t xml:space="preserve">from July 2024, remove program supports </w:t>
      </w:r>
      <w:r>
        <w:rPr>
          <w:rFonts w:eastAsia="Arial"/>
        </w:rPr>
        <w:t xml:space="preserve">including mentoring, financial support and childcare subsidy assistance </w:t>
      </w:r>
      <w:r w:rsidRPr="00F63E55">
        <w:rPr>
          <w:rFonts w:eastAsia="Arial"/>
        </w:rPr>
        <w:t>from ParentsNext participant</w:t>
      </w:r>
      <w:r>
        <w:rPr>
          <w:rFonts w:eastAsia="Arial"/>
        </w:rPr>
        <w:t>s</w:t>
      </w:r>
    </w:p>
    <w:p w14:paraId="15B9AA98" w14:textId="77777777" w:rsidR="00071170" w:rsidRDefault="00071170" w:rsidP="00071170">
      <w:pPr>
        <w:pStyle w:val="BOXBulletedList"/>
        <w:rPr>
          <w:rFonts w:eastAsia="Arial"/>
        </w:rPr>
      </w:pPr>
      <w:r>
        <w:rPr>
          <w:rFonts w:eastAsia="Arial"/>
        </w:rPr>
        <w:t>remove regulatory burden</w:t>
      </w:r>
    </w:p>
    <w:p w14:paraId="620825AF" w14:textId="55E492D9" w:rsidR="00071170" w:rsidRDefault="00071170" w:rsidP="00071170">
      <w:pPr>
        <w:pStyle w:val="BOXBulletedList"/>
        <w:rPr>
          <w:lang w:val="en-US"/>
        </w:rPr>
      </w:pPr>
      <w:r w:rsidRPr="004448C4">
        <w:rPr>
          <w:rFonts w:eastAsia="Arial"/>
        </w:rPr>
        <w:t xml:space="preserve">have minimal </w:t>
      </w:r>
      <w:r>
        <w:rPr>
          <w:rFonts w:eastAsia="Arial"/>
        </w:rPr>
        <w:t xml:space="preserve">direct </w:t>
      </w:r>
      <w:r w:rsidRPr="004448C4">
        <w:rPr>
          <w:rFonts w:eastAsia="Arial"/>
        </w:rPr>
        <w:t xml:space="preserve">costs to the Australian </w:t>
      </w:r>
      <w:r w:rsidR="00BF7C55">
        <w:rPr>
          <w:rFonts w:eastAsia="Arial"/>
        </w:rPr>
        <w:t>G</w:t>
      </w:r>
      <w:r w:rsidR="00BF7C55" w:rsidRPr="004448C4">
        <w:rPr>
          <w:rFonts w:eastAsia="Arial"/>
        </w:rPr>
        <w:t>overnment</w:t>
      </w:r>
      <w:r>
        <w:rPr>
          <w:rFonts w:eastAsia="Arial"/>
        </w:rPr>
        <w:t>.</w:t>
      </w:r>
    </w:p>
    <w:p w14:paraId="3FA658AE" w14:textId="5EC6A294" w:rsidR="00E10A94" w:rsidRPr="002A45AC" w:rsidRDefault="001F2982" w:rsidP="008825A2">
      <w:pPr>
        <w:pStyle w:val="Heading3"/>
        <w:rPr>
          <w:lang w:val="en-US"/>
        </w:rPr>
      </w:pPr>
      <w:bookmarkStart w:id="58" w:name="_Toc151123113"/>
      <w:r w:rsidRPr="002A45AC">
        <w:rPr>
          <w:lang w:val="en-US"/>
        </w:rPr>
        <w:t>Who would this option impact?</w:t>
      </w:r>
      <w:bookmarkEnd w:id="58"/>
    </w:p>
    <w:p w14:paraId="061197C6" w14:textId="1785C682" w:rsidR="001F2982" w:rsidRDefault="001F2982" w:rsidP="008825A2">
      <w:pPr>
        <w:keepNext/>
        <w:keepLines/>
      </w:pPr>
      <w:r>
        <w:t>Those directly impacted by this option would include:</w:t>
      </w:r>
    </w:p>
    <w:p w14:paraId="6B2CFA34" w14:textId="33FF4FCF" w:rsidR="001F2982" w:rsidRPr="009F3B04" w:rsidRDefault="00066A75" w:rsidP="00A40BD4">
      <w:pPr>
        <w:pStyle w:val="ListBullet"/>
        <w:numPr>
          <w:ilvl w:val="0"/>
          <w:numId w:val="10"/>
        </w:numPr>
        <w:ind w:left="357" w:hanging="357"/>
        <w:rPr>
          <w:rFonts w:cstheme="minorHAnsi"/>
        </w:rPr>
      </w:pPr>
      <w:r w:rsidRPr="00772055">
        <w:rPr>
          <w:rFonts w:cstheme="minorHAnsi"/>
        </w:rPr>
        <w:t xml:space="preserve">parents in ParentsNext (around </w:t>
      </w:r>
      <w:r w:rsidR="00C56F2E" w:rsidRPr="00772055">
        <w:rPr>
          <w:rFonts w:cstheme="minorHAnsi"/>
        </w:rPr>
        <w:t>60</w:t>
      </w:r>
      <w:r w:rsidRPr="00772055">
        <w:rPr>
          <w:rFonts w:cstheme="minorHAnsi"/>
        </w:rPr>
        <w:t xml:space="preserve">,000 active participants </w:t>
      </w:r>
      <w:r w:rsidR="001F2982" w:rsidRPr="00772055">
        <w:rPr>
          <w:rFonts w:cstheme="minorHAnsi"/>
        </w:rPr>
        <w:t xml:space="preserve">as </w:t>
      </w:r>
      <w:r w:rsidRPr="00772055">
        <w:rPr>
          <w:rFonts w:cstheme="minorHAnsi"/>
        </w:rPr>
        <w:t>at the end of August 2023) when</w:t>
      </w:r>
      <w:r w:rsidRPr="009F3B04">
        <w:rPr>
          <w:rFonts w:cstheme="minorHAnsi"/>
        </w:rPr>
        <w:t xml:space="preserve"> the program concludes in June </w:t>
      </w:r>
      <w:r w:rsidR="00D01253" w:rsidRPr="009F3B04">
        <w:rPr>
          <w:rFonts w:cstheme="minorHAnsi"/>
        </w:rPr>
        <w:t>202</w:t>
      </w:r>
      <w:r w:rsidR="00D01253">
        <w:rPr>
          <w:rFonts w:cstheme="minorHAnsi"/>
        </w:rPr>
        <w:t>4</w:t>
      </w:r>
      <w:r w:rsidR="00D01253" w:rsidRPr="009F3B04">
        <w:rPr>
          <w:rFonts w:cstheme="minorHAnsi"/>
        </w:rPr>
        <w:t xml:space="preserve"> </w:t>
      </w:r>
      <w:r w:rsidR="001F2982" w:rsidRPr="009F3B04">
        <w:rPr>
          <w:rFonts w:cstheme="minorHAnsi"/>
        </w:rPr>
        <w:t>without a replacement service</w:t>
      </w:r>
    </w:p>
    <w:p w14:paraId="118F7C5C" w14:textId="2B24A06E" w:rsidR="001F2982" w:rsidRDefault="00066A75" w:rsidP="00A40BD4">
      <w:pPr>
        <w:pStyle w:val="ListBullet"/>
        <w:numPr>
          <w:ilvl w:val="0"/>
          <w:numId w:val="10"/>
        </w:numPr>
        <w:ind w:left="357" w:hanging="357"/>
      </w:pPr>
      <w:r w:rsidRPr="286FE786">
        <w:t>other</w:t>
      </w:r>
      <w:r>
        <w:t xml:space="preserve"> </w:t>
      </w:r>
      <w:r w:rsidR="00C0210E">
        <w:t xml:space="preserve">vulnerable </w:t>
      </w:r>
      <w:r>
        <w:t>parents of young children</w:t>
      </w:r>
      <w:r w:rsidR="003F5CB3">
        <w:t>.</w:t>
      </w:r>
    </w:p>
    <w:p w14:paraId="11E894A2" w14:textId="63A1076A" w:rsidR="00436CEF" w:rsidRDefault="00436CEF" w:rsidP="00C84C2A">
      <w:pPr>
        <w:keepNext/>
        <w:keepLines/>
      </w:pPr>
      <w:r>
        <w:t xml:space="preserve">As women are overwhelmingly responsible for care, this </w:t>
      </w:r>
      <w:r w:rsidR="00A15A51">
        <w:t>option will likely have greater impact on them</w:t>
      </w:r>
      <w:r w:rsidR="00551B96">
        <w:t xml:space="preserve">, including the high </w:t>
      </w:r>
      <w:r w:rsidR="005F16FE">
        <w:t>proportion of women who are single parents</w:t>
      </w:r>
      <w:r>
        <w:t>.</w:t>
      </w:r>
      <w:r w:rsidRPr="00C84C2A">
        <w:rPr>
          <w:vertAlign w:val="superscript"/>
        </w:rPr>
        <w:footnoteReference w:id="29"/>
      </w:r>
    </w:p>
    <w:p w14:paraId="207C01D9" w14:textId="012E8400" w:rsidR="001F2982" w:rsidRDefault="001F2982" w:rsidP="002A45AC">
      <w:pPr>
        <w:pStyle w:val="Heading3"/>
        <w:rPr>
          <w:lang w:val="en-US"/>
        </w:rPr>
      </w:pPr>
      <w:bookmarkStart w:id="59" w:name="_Toc151123114"/>
      <w:r w:rsidRPr="002A45AC">
        <w:rPr>
          <w:lang w:val="en-US"/>
        </w:rPr>
        <w:t>Overall impact</w:t>
      </w:r>
      <w:bookmarkEnd w:id="59"/>
    </w:p>
    <w:p w14:paraId="30E41D7E" w14:textId="66D2EB9B" w:rsidR="00024CC3" w:rsidRDefault="00B77D52" w:rsidP="00024CC3">
      <w:pPr>
        <w:rPr>
          <w:rFonts w:cstheme="minorHAnsi"/>
        </w:rPr>
      </w:pPr>
      <w:r w:rsidRPr="00D71089">
        <w:rPr>
          <w:rFonts w:cstheme="minorHAnsi"/>
        </w:rPr>
        <w:t>Under this option</w:t>
      </w:r>
      <w:r w:rsidR="00024CC3" w:rsidRPr="00B77D52" w:rsidDel="0035699E">
        <w:rPr>
          <w:rFonts w:cstheme="minorHAnsi"/>
        </w:rPr>
        <w:t xml:space="preserve">, there would be no nationally available </w:t>
      </w:r>
      <w:r w:rsidRPr="00D71089">
        <w:rPr>
          <w:rFonts w:cstheme="minorHAnsi"/>
        </w:rPr>
        <w:t xml:space="preserve">service designed to provide </w:t>
      </w:r>
      <w:r w:rsidR="00024CC3" w:rsidRPr="00B77D52" w:rsidDel="0035699E">
        <w:rPr>
          <w:rFonts w:cstheme="minorHAnsi"/>
        </w:rPr>
        <w:t>pre</w:t>
      </w:r>
      <w:r w:rsidR="003F6844">
        <w:rPr>
          <w:rFonts w:cstheme="minorHAnsi"/>
        </w:rPr>
        <w:noBreakHyphen/>
      </w:r>
      <w:r w:rsidR="00024CC3" w:rsidRPr="00B77D52" w:rsidDel="0035699E">
        <w:rPr>
          <w:rFonts w:cstheme="minorHAnsi"/>
        </w:rPr>
        <w:t>employment support for parents, and the risk of disadvantage becoming entrenched and intergenerational will likely increase.</w:t>
      </w:r>
    </w:p>
    <w:p w14:paraId="485A9E23" w14:textId="0541EE75" w:rsidR="005E3839" w:rsidRDefault="00C84C2A" w:rsidP="005E3839">
      <w:r>
        <w:t>The key</w:t>
      </w:r>
      <w:r w:rsidR="00724F81">
        <w:t xml:space="preserve"> </w:t>
      </w:r>
      <w:r w:rsidR="009F2921">
        <w:t xml:space="preserve">expected </w:t>
      </w:r>
      <w:r w:rsidR="00724F81">
        <w:t>b</w:t>
      </w:r>
      <w:r w:rsidR="00AF2AD0">
        <w:t xml:space="preserve">enefits and costs </w:t>
      </w:r>
      <w:r>
        <w:t xml:space="preserve">of this option </w:t>
      </w:r>
      <w:r w:rsidR="00AF2AD0">
        <w:t>are summar</w:t>
      </w:r>
      <w:r w:rsidR="00214932">
        <w:t xml:space="preserve">ised </w:t>
      </w:r>
      <w:r w:rsidR="00AF2AD0">
        <w:t>in the table below</w:t>
      </w:r>
      <w:r>
        <w:t>.</w:t>
      </w:r>
    </w:p>
    <w:p w14:paraId="6E815430" w14:textId="49639CA2" w:rsidR="00724F81" w:rsidRPr="00841506" w:rsidRDefault="00724F81" w:rsidP="00841506">
      <w:pPr>
        <w:pStyle w:val="Caption"/>
        <w:keepNext/>
      </w:pPr>
      <w:r w:rsidRPr="00841506">
        <w:lastRenderedPageBreak/>
        <w:t>Table 1: Key benefits and costs for Option 1</w:t>
      </w:r>
    </w:p>
    <w:tbl>
      <w:tblPr>
        <w:tblStyle w:val="DESE"/>
        <w:tblW w:w="9072" w:type="dxa"/>
        <w:tblLayout w:type="fixed"/>
        <w:tblLook w:val="04A0" w:firstRow="1" w:lastRow="0" w:firstColumn="1" w:lastColumn="0" w:noHBand="0" w:noVBand="1"/>
      </w:tblPr>
      <w:tblGrid>
        <w:gridCol w:w="2268"/>
        <w:gridCol w:w="2268"/>
        <w:gridCol w:w="2268"/>
        <w:gridCol w:w="2268"/>
      </w:tblGrid>
      <w:tr w:rsidR="005E3839" w:rsidRPr="00B04938" w14:paraId="312B201B" w14:textId="77777777" w:rsidTr="00EE108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268" w:type="dxa"/>
            <w:tcBorders>
              <w:top w:val="single" w:sz="4" w:space="0" w:color="44546A"/>
              <w:bottom w:val="single" w:sz="4" w:space="0" w:color="auto"/>
            </w:tcBorders>
          </w:tcPr>
          <w:p w14:paraId="57717EDA" w14:textId="2B8D4F0B" w:rsidR="005E3839" w:rsidRPr="00B04938" w:rsidRDefault="003A1142" w:rsidP="00620312">
            <w:pPr>
              <w:rPr>
                <w:rFonts w:eastAsia="Calibri" w:cs="Times New Roman"/>
                <w:color w:val="FFFFFF"/>
              </w:rPr>
            </w:pPr>
            <w:r>
              <w:rPr>
                <w:rFonts w:eastAsia="Calibri" w:cs="Times New Roman"/>
                <w:color w:val="FFFFFF"/>
              </w:rPr>
              <w:t>Criterion</w:t>
            </w:r>
          </w:p>
        </w:tc>
        <w:tc>
          <w:tcPr>
            <w:tcW w:w="2268" w:type="dxa"/>
            <w:tcBorders>
              <w:top w:val="single" w:sz="4" w:space="0" w:color="44546A"/>
              <w:bottom w:val="single" w:sz="4" w:space="0" w:color="auto"/>
            </w:tcBorders>
          </w:tcPr>
          <w:p w14:paraId="381C5EBE" w14:textId="5D83C5BC" w:rsidR="005E3839" w:rsidRPr="00B04938" w:rsidRDefault="0057412A"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Benefits</w:t>
            </w:r>
            <w:r w:rsidR="00465B9B">
              <w:rPr>
                <w:rFonts w:eastAsia="Calibri" w:cs="Times New Roman"/>
                <w:color w:val="FFFFFF"/>
              </w:rPr>
              <w:t xml:space="preserve"> expected</w:t>
            </w:r>
          </w:p>
        </w:tc>
        <w:tc>
          <w:tcPr>
            <w:tcW w:w="2268" w:type="dxa"/>
            <w:tcBorders>
              <w:bottom w:val="single" w:sz="4" w:space="0" w:color="auto"/>
            </w:tcBorders>
          </w:tcPr>
          <w:p w14:paraId="336B67EE" w14:textId="59B954B3" w:rsidR="005E3839" w:rsidRPr="00B04938" w:rsidRDefault="0057412A"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Costs</w:t>
            </w:r>
            <w:r w:rsidR="00465B9B">
              <w:rPr>
                <w:rFonts w:eastAsia="Calibri" w:cs="Times New Roman"/>
                <w:color w:val="FFFFFF"/>
              </w:rPr>
              <w:t xml:space="preserve"> expected</w:t>
            </w:r>
          </w:p>
        </w:tc>
        <w:tc>
          <w:tcPr>
            <w:tcW w:w="2268" w:type="dxa"/>
            <w:tcBorders>
              <w:bottom w:val="single" w:sz="4" w:space="0" w:color="auto"/>
            </w:tcBorders>
          </w:tcPr>
          <w:p w14:paraId="3A7EE52F" w14:textId="4E380067" w:rsidR="005E3839" w:rsidRPr="00B04938" w:rsidRDefault="0057412A"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Net benefit</w:t>
            </w:r>
            <w:r w:rsidR="00ED6624">
              <w:rPr>
                <w:rFonts w:eastAsia="Calibri" w:cs="Times New Roman"/>
                <w:color w:val="FFFFFF"/>
              </w:rPr>
              <w:t xml:space="preserve"> expected</w:t>
            </w:r>
          </w:p>
        </w:tc>
      </w:tr>
      <w:tr w:rsidR="00EE1083" w:rsidRPr="00B04938" w14:paraId="1E35F3CB" w14:textId="77777777" w:rsidTr="00620312">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47C77A52" w14:textId="77777777" w:rsidR="00EE1083" w:rsidRDefault="00EE1083" w:rsidP="00620312">
            <w:pPr>
              <w:pStyle w:val="ListBullet"/>
              <w:rPr>
                <w:rFonts w:cstheme="minorHAnsi"/>
              </w:rPr>
            </w:pPr>
            <w:r>
              <w:rPr>
                <w:rFonts w:cstheme="minorHAnsi"/>
              </w:rPr>
              <w:t>P</w:t>
            </w:r>
            <w:r w:rsidRPr="00412466">
              <w:rPr>
                <w:rFonts w:cstheme="minorHAnsi"/>
              </w:rPr>
              <w:t xml:space="preserve">olicy objectives </w:t>
            </w:r>
          </w:p>
        </w:tc>
        <w:tc>
          <w:tcPr>
            <w:tcW w:w="2268" w:type="dxa"/>
          </w:tcPr>
          <w:p w14:paraId="49AA383F" w14:textId="4E6AD86E" w:rsidR="00EE1083" w:rsidRDefault="00EE1083"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Any benefit would be incidental</w:t>
            </w:r>
          </w:p>
        </w:tc>
        <w:tc>
          <w:tcPr>
            <w:tcW w:w="2268" w:type="dxa"/>
          </w:tcPr>
          <w:p w14:paraId="4AAC819E" w14:textId="7DDF22E1" w:rsidR="00EE1083" w:rsidRDefault="00CC1DF9"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Does not directly address the policy objectives</w:t>
            </w:r>
          </w:p>
        </w:tc>
        <w:tc>
          <w:tcPr>
            <w:tcW w:w="2268" w:type="dxa"/>
            <w:tcBorders>
              <w:right w:val="single" w:sz="4" w:space="0" w:color="auto"/>
            </w:tcBorders>
          </w:tcPr>
          <w:p w14:paraId="56F55E78" w14:textId="2BCCC670" w:rsidR="00EE1083" w:rsidRDefault="00EE1083"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r>
      <w:tr w:rsidR="00580E1E" w:rsidRPr="00B04938" w14:paraId="35AE964F" w14:textId="77777777" w:rsidTr="00620312">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16D67031" w14:textId="7AF39F81" w:rsidR="00580E1E" w:rsidRPr="001A434B" w:rsidRDefault="00580E1E" w:rsidP="00620312">
            <w:pPr>
              <w:pStyle w:val="ListBullet"/>
              <w:rPr>
                <w:rFonts w:cstheme="minorHAnsi"/>
              </w:rPr>
            </w:pPr>
            <w:r w:rsidRPr="001A434B">
              <w:rPr>
                <w:rFonts w:cstheme="minorHAnsi"/>
              </w:rPr>
              <w:t>Responds to stakeholder feedback</w:t>
            </w:r>
          </w:p>
        </w:tc>
        <w:tc>
          <w:tcPr>
            <w:tcW w:w="2268" w:type="dxa"/>
          </w:tcPr>
          <w:p w14:paraId="17282C18" w14:textId="1AB44399" w:rsidR="00580E1E" w:rsidRPr="001A434B" w:rsidRDefault="00580E1E" w:rsidP="001A434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C84C2A">
              <w:t xml:space="preserve">Feedback strongly favoured a new voluntary pre-employment service for vulnerable parents </w:t>
            </w:r>
          </w:p>
        </w:tc>
        <w:tc>
          <w:tcPr>
            <w:tcW w:w="2268" w:type="dxa"/>
          </w:tcPr>
          <w:p w14:paraId="39BEE816" w14:textId="0609930A" w:rsidR="00580E1E" w:rsidRPr="001A434B" w:rsidRDefault="001010E6" w:rsidP="001A434B">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Does not </w:t>
            </w:r>
            <w:r w:rsidR="005C5A34">
              <w:rPr>
                <w:rFonts w:eastAsia="Calibri" w:cs="Times New Roman"/>
              </w:rPr>
              <w:t>reflect</w:t>
            </w:r>
            <w:r>
              <w:rPr>
                <w:rFonts w:eastAsia="Calibri" w:cs="Times New Roman"/>
              </w:rPr>
              <w:t xml:space="preserve"> </w:t>
            </w:r>
            <w:r w:rsidR="005C5A34">
              <w:rPr>
                <w:rFonts w:eastAsia="Calibri" w:cs="Times New Roman"/>
              </w:rPr>
              <w:t>feedback</w:t>
            </w:r>
            <w:r>
              <w:rPr>
                <w:rFonts w:eastAsia="Calibri" w:cs="Times New Roman"/>
              </w:rPr>
              <w:t xml:space="preserve"> in support </w:t>
            </w:r>
            <w:r w:rsidR="005C5A34">
              <w:rPr>
                <w:rFonts w:eastAsia="Calibri" w:cs="Times New Roman"/>
              </w:rPr>
              <w:t xml:space="preserve">of a new voluntary </w:t>
            </w:r>
            <w:r w:rsidR="005C5A34" w:rsidRPr="00C84C2A">
              <w:t>pre-employment service</w:t>
            </w:r>
          </w:p>
        </w:tc>
        <w:tc>
          <w:tcPr>
            <w:tcW w:w="2268" w:type="dxa"/>
            <w:tcBorders>
              <w:right w:val="single" w:sz="4" w:space="0" w:color="auto"/>
            </w:tcBorders>
          </w:tcPr>
          <w:p w14:paraId="6BDA6DAE" w14:textId="07955A3B" w:rsidR="00580E1E" w:rsidRDefault="00580E1E"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r>
      <w:tr w:rsidR="005E3839" w:rsidRPr="00B04938" w14:paraId="4BB6A1EA" w14:textId="77777777" w:rsidTr="00EE1083">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5E7B7217" w14:textId="01884B6E" w:rsidR="005E3839" w:rsidRPr="00AF1321" w:rsidRDefault="00DE53ED" w:rsidP="00620312">
            <w:pPr>
              <w:pStyle w:val="ListBullet"/>
              <w:rPr>
                <w:rFonts w:cstheme="minorHAnsi"/>
              </w:rPr>
            </w:pPr>
            <w:r>
              <w:rPr>
                <w:rFonts w:cstheme="minorHAnsi"/>
              </w:rPr>
              <w:t>P</w:t>
            </w:r>
            <w:r w:rsidR="00AF2AD0">
              <w:rPr>
                <w:rFonts w:cstheme="minorHAnsi"/>
              </w:rPr>
              <w:t>a</w:t>
            </w:r>
            <w:r w:rsidR="0057412A">
              <w:rPr>
                <w:rFonts w:cstheme="minorHAnsi"/>
              </w:rPr>
              <w:t>rents</w:t>
            </w:r>
            <w:r w:rsidR="005E3839" w:rsidRPr="00412466">
              <w:rPr>
                <w:rFonts w:cstheme="minorHAnsi"/>
              </w:rPr>
              <w:t xml:space="preserve"> </w:t>
            </w:r>
          </w:p>
        </w:tc>
        <w:tc>
          <w:tcPr>
            <w:tcW w:w="2268" w:type="dxa"/>
          </w:tcPr>
          <w:p w14:paraId="40D4C4BB" w14:textId="77777777" w:rsidR="005E3839" w:rsidRPr="00B04938" w:rsidRDefault="005E3839"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c>
          <w:tcPr>
            <w:tcW w:w="2268" w:type="dxa"/>
          </w:tcPr>
          <w:p w14:paraId="3D8C14BF" w14:textId="38F97CB2" w:rsidR="005E3839" w:rsidRPr="00B04938" w:rsidRDefault="00343622"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Potential</w:t>
            </w:r>
            <w:r w:rsidR="006447AF">
              <w:rPr>
                <w:rFonts w:eastAsia="Calibri" w:cs="Times New Roman"/>
              </w:rPr>
              <w:t xml:space="preserve"> short</w:t>
            </w:r>
            <w:r w:rsidR="0001066C">
              <w:rPr>
                <w:rFonts w:eastAsia="Calibri" w:cs="Times New Roman"/>
              </w:rPr>
              <w:t>-</w:t>
            </w:r>
            <w:r w:rsidR="006447AF">
              <w:rPr>
                <w:rFonts w:eastAsia="Calibri" w:cs="Times New Roman"/>
              </w:rPr>
              <w:t>term costs</w:t>
            </w:r>
            <w:r>
              <w:rPr>
                <w:rFonts w:eastAsia="Calibri" w:cs="Times New Roman"/>
              </w:rPr>
              <w:t xml:space="preserve"> without financial assistance through a service provider</w:t>
            </w:r>
            <w:r w:rsidR="006447AF">
              <w:rPr>
                <w:rFonts w:eastAsia="Calibri" w:cs="Times New Roman"/>
              </w:rPr>
              <w:t xml:space="preserve">; higher long term </w:t>
            </w:r>
            <w:r w:rsidR="00346247">
              <w:rPr>
                <w:rFonts w:eastAsia="Calibri" w:cs="Times New Roman"/>
              </w:rPr>
              <w:t>social and economic costs</w:t>
            </w:r>
          </w:p>
        </w:tc>
        <w:tc>
          <w:tcPr>
            <w:tcW w:w="2268" w:type="dxa"/>
            <w:tcBorders>
              <w:right w:val="single" w:sz="4" w:space="0" w:color="auto"/>
            </w:tcBorders>
          </w:tcPr>
          <w:p w14:paraId="4204C2EC" w14:textId="098952F6" w:rsidR="005E3839" w:rsidRPr="00B04938" w:rsidRDefault="00DA4F95"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H</w:t>
            </w:r>
            <w:r w:rsidR="005C4214">
              <w:rPr>
                <w:rFonts w:eastAsia="Calibri" w:cs="Times New Roman"/>
              </w:rPr>
              <w:t>igh long term social and economic costs</w:t>
            </w:r>
          </w:p>
        </w:tc>
      </w:tr>
      <w:tr w:rsidR="001A434B" w:rsidRPr="00B04938" w14:paraId="09568E86" w14:textId="77777777" w:rsidTr="00EE1083">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386E611B" w14:textId="3457EAC2" w:rsidR="005E3839" w:rsidRPr="00412466" w:rsidRDefault="005765D6" w:rsidP="00620312">
            <w:pPr>
              <w:pStyle w:val="ListBullet"/>
              <w:rPr>
                <w:rFonts w:cstheme="minorHAnsi"/>
              </w:rPr>
            </w:pPr>
            <w:r>
              <w:rPr>
                <w:rFonts w:cstheme="minorHAnsi"/>
              </w:rPr>
              <w:t>Providers</w:t>
            </w:r>
            <w:r w:rsidR="005E3839" w:rsidRPr="00412466">
              <w:rPr>
                <w:rFonts w:cstheme="minorHAnsi"/>
              </w:rPr>
              <w:t xml:space="preserve"> </w:t>
            </w:r>
          </w:p>
        </w:tc>
        <w:tc>
          <w:tcPr>
            <w:tcW w:w="2268" w:type="dxa"/>
          </w:tcPr>
          <w:p w14:paraId="7D900D24" w14:textId="33728292" w:rsidR="005E3839" w:rsidRPr="00B04938" w:rsidRDefault="00D32195"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Providers may deliver other services which attract vulnerable </w:t>
            </w:r>
            <w:r w:rsidR="00A3101F">
              <w:rPr>
                <w:rFonts w:eastAsia="Calibri" w:cs="Times New Roman"/>
              </w:rPr>
              <w:t>parents</w:t>
            </w:r>
          </w:p>
        </w:tc>
        <w:tc>
          <w:tcPr>
            <w:tcW w:w="2268" w:type="dxa"/>
          </w:tcPr>
          <w:p w14:paraId="1A551118" w14:textId="13EBF84C" w:rsidR="005E3839" w:rsidRPr="00B04938" w:rsidRDefault="00DF326C"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End of contracts with no future </w:t>
            </w:r>
            <w:r w:rsidR="007B2581">
              <w:rPr>
                <w:rFonts w:eastAsia="Calibri" w:cs="Times New Roman"/>
              </w:rPr>
              <w:t>service to bid for</w:t>
            </w:r>
            <w:r>
              <w:rPr>
                <w:rFonts w:eastAsia="Calibri" w:cs="Times New Roman"/>
              </w:rPr>
              <w:t xml:space="preserve"> </w:t>
            </w:r>
          </w:p>
        </w:tc>
        <w:tc>
          <w:tcPr>
            <w:tcW w:w="2268" w:type="dxa"/>
            <w:tcBorders>
              <w:right w:val="single" w:sz="4" w:space="0" w:color="auto"/>
            </w:tcBorders>
          </w:tcPr>
          <w:p w14:paraId="4C7D98AA" w14:textId="1DC08E53" w:rsidR="005E3839" w:rsidRPr="00B04938" w:rsidRDefault="007B2581"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r>
      <w:tr w:rsidR="005E3839" w:rsidRPr="00B04938" w14:paraId="5391CA77" w14:textId="77777777" w:rsidTr="00EE1083">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58A65935" w14:textId="46531C94" w:rsidR="005E3839" w:rsidRPr="00412466" w:rsidRDefault="007B2581" w:rsidP="00620312">
            <w:pPr>
              <w:pStyle w:val="ListBullet"/>
              <w:rPr>
                <w:rFonts w:cstheme="minorHAnsi"/>
              </w:rPr>
            </w:pPr>
            <w:r>
              <w:rPr>
                <w:rFonts w:cstheme="minorHAnsi"/>
              </w:rPr>
              <w:t>Employers</w:t>
            </w:r>
          </w:p>
        </w:tc>
        <w:tc>
          <w:tcPr>
            <w:tcW w:w="2268" w:type="dxa"/>
          </w:tcPr>
          <w:p w14:paraId="00B93EBE" w14:textId="1CD0CAFA" w:rsidR="005E3839" w:rsidRPr="00B04938" w:rsidRDefault="007B2581"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c>
          <w:tcPr>
            <w:tcW w:w="2268" w:type="dxa"/>
          </w:tcPr>
          <w:p w14:paraId="5DA8B57F" w14:textId="42EE0A4C" w:rsidR="005E3839" w:rsidRPr="00B04938" w:rsidRDefault="002E6C04"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Loss of access to potential staff who have been </w:t>
            </w:r>
            <w:r w:rsidR="00444864">
              <w:rPr>
                <w:rFonts w:eastAsia="Calibri" w:cs="Times New Roman"/>
              </w:rPr>
              <w:t>prepared</w:t>
            </w:r>
            <w:r>
              <w:rPr>
                <w:rFonts w:eastAsia="Calibri" w:cs="Times New Roman"/>
              </w:rPr>
              <w:t xml:space="preserve"> for the </w:t>
            </w:r>
            <w:r w:rsidR="00444864">
              <w:rPr>
                <w:rFonts w:eastAsia="Calibri" w:cs="Times New Roman"/>
              </w:rPr>
              <w:t>workforce</w:t>
            </w:r>
          </w:p>
        </w:tc>
        <w:tc>
          <w:tcPr>
            <w:tcW w:w="2268" w:type="dxa"/>
            <w:tcBorders>
              <w:right w:val="single" w:sz="4" w:space="0" w:color="auto"/>
            </w:tcBorders>
          </w:tcPr>
          <w:p w14:paraId="2C47A500" w14:textId="0F64F3AA" w:rsidR="005E3839" w:rsidRPr="00B04938" w:rsidRDefault="00444864"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r>
      <w:tr w:rsidR="005E3839" w:rsidRPr="00B04938" w14:paraId="57703363" w14:textId="77777777" w:rsidTr="00EE1083">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1B110C6D" w14:textId="4A929D04" w:rsidR="005E3839" w:rsidRPr="00412466" w:rsidRDefault="00444864" w:rsidP="00620312">
            <w:pPr>
              <w:pStyle w:val="ListBullet"/>
              <w:rPr>
                <w:rFonts w:cstheme="minorHAnsi"/>
              </w:rPr>
            </w:pPr>
            <w:r>
              <w:rPr>
                <w:rFonts w:cstheme="minorHAnsi"/>
              </w:rPr>
              <w:t>Government</w:t>
            </w:r>
            <w:r w:rsidR="005E3839" w:rsidRPr="00412466">
              <w:rPr>
                <w:rFonts w:cstheme="minorHAnsi"/>
              </w:rPr>
              <w:t xml:space="preserve"> </w:t>
            </w:r>
          </w:p>
        </w:tc>
        <w:tc>
          <w:tcPr>
            <w:tcW w:w="2268" w:type="dxa"/>
          </w:tcPr>
          <w:p w14:paraId="7816793A" w14:textId="314A2332" w:rsidR="005E3839" w:rsidRPr="00B04938" w:rsidRDefault="0095685B"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Fiscal savings by n</w:t>
            </w:r>
            <w:r w:rsidR="00870D53">
              <w:rPr>
                <w:rFonts w:eastAsia="Calibri" w:cs="Times New Roman"/>
              </w:rPr>
              <w:t xml:space="preserve">ot </w:t>
            </w:r>
            <w:r w:rsidR="00A3101F">
              <w:rPr>
                <w:rFonts w:eastAsia="Calibri" w:cs="Times New Roman"/>
              </w:rPr>
              <w:t>implementing</w:t>
            </w:r>
            <w:r w:rsidR="00870D53">
              <w:rPr>
                <w:rFonts w:eastAsia="Calibri" w:cs="Times New Roman"/>
              </w:rPr>
              <w:t xml:space="preserve"> a new </w:t>
            </w:r>
            <w:r w:rsidR="006A3D08">
              <w:rPr>
                <w:rFonts w:eastAsia="Calibri" w:cs="Times New Roman"/>
              </w:rPr>
              <w:t>service</w:t>
            </w:r>
          </w:p>
        </w:tc>
        <w:tc>
          <w:tcPr>
            <w:tcW w:w="2268" w:type="dxa"/>
          </w:tcPr>
          <w:p w14:paraId="113598CA" w14:textId="2CC9D4E6" w:rsidR="005E3839" w:rsidRPr="00B04938" w:rsidRDefault="000C4334"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Indirect </w:t>
            </w:r>
            <w:r w:rsidR="00642BCE">
              <w:rPr>
                <w:rFonts w:eastAsia="Calibri" w:cs="Times New Roman"/>
              </w:rPr>
              <w:t>fiscal</w:t>
            </w:r>
            <w:r>
              <w:rPr>
                <w:rFonts w:eastAsia="Calibri" w:cs="Times New Roman"/>
              </w:rPr>
              <w:t xml:space="preserve"> costs </w:t>
            </w:r>
            <w:r w:rsidR="00642BCE">
              <w:rPr>
                <w:rFonts w:eastAsia="Calibri" w:cs="Times New Roman"/>
              </w:rPr>
              <w:t xml:space="preserve">as parents remain on income support with </w:t>
            </w:r>
            <w:r w:rsidR="00E8113D">
              <w:rPr>
                <w:rFonts w:eastAsia="Calibri" w:cs="Times New Roman"/>
              </w:rPr>
              <w:t>reduce</w:t>
            </w:r>
            <w:r w:rsidR="005C4214">
              <w:rPr>
                <w:rFonts w:eastAsia="Calibri" w:cs="Times New Roman"/>
              </w:rPr>
              <w:t>d</w:t>
            </w:r>
            <w:r w:rsidR="00E8113D">
              <w:rPr>
                <w:rFonts w:eastAsia="Calibri" w:cs="Times New Roman"/>
              </w:rPr>
              <w:t xml:space="preserve"> tax revenue due to lower participation</w:t>
            </w:r>
            <w:r w:rsidR="00642BCE">
              <w:rPr>
                <w:rFonts w:eastAsia="Calibri" w:cs="Times New Roman"/>
              </w:rPr>
              <w:t xml:space="preserve">  </w:t>
            </w:r>
          </w:p>
        </w:tc>
        <w:tc>
          <w:tcPr>
            <w:tcW w:w="2268" w:type="dxa"/>
            <w:tcBorders>
              <w:right w:val="single" w:sz="4" w:space="0" w:color="auto"/>
            </w:tcBorders>
          </w:tcPr>
          <w:p w14:paraId="50333474" w14:textId="69569A36" w:rsidR="005E3839" w:rsidRPr="00B04938" w:rsidRDefault="00AF2AD0"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Medium</w:t>
            </w:r>
            <w:r w:rsidR="005C4214">
              <w:rPr>
                <w:rFonts w:eastAsia="Calibri" w:cs="Times New Roman"/>
              </w:rPr>
              <w:t xml:space="preserve"> indirect fiscal costs</w:t>
            </w:r>
          </w:p>
        </w:tc>
      </w:tr>
      <w:tr w:rsidR="00694BC1" w:rsidRPr="00B04938" w14:paraId="1910F6F9" w14:textId="77777777" w:rsidTr="00620312">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3837CA05" w14:textId="0495C884" w:rsidR="00694BC1" w:rsidRDefault="00694BC1" w:rsidP="00620312">
            <w:pPr>
              <w:pStyle w:val="ListBullet"/>
              <w:rPr>
                <w:rFonts w:cstheme="minorHAnsi"/>
              </w:rPr>
            </w:pPr>
            <w:r w:rsidRPr="007C0984">
              <w:rPr>
                <w:rFonts w:cstheme="minorHAnsi"/>
              </w:rPr>
              <w:t>Caseload and servicing reach</w:t>
            </w:r>
          </w:p>
        </w:tc>
        <w:tc>
          <w:tcPr>
            <w:tcW w:w="2268" w:type="dxa"/>
          </w:tcPr>
          <w:p w14:paraId="117CCBFB" w14:textId="6DBB4163" w:rsidR="00694BC1" w:rsidRDefault="00694BC1"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No specific caseload or assistance </w:t>
            </w:r>
          </w:p>
        </w:tc>
        <w:tc>
          <w:tcPr>
            <w:tcW w:w="2268" w:type="dxa"/>
          </w:tcPr>
          <w:p w14:paraId="7A3E35EC" w14:textId="2CCA026C" w:rsidR="00694BC1" w:rsidRDefault="00FF5CD0"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Parents would manage own employment preparation accessing websites and programs where available</w:t>
            </w:r>
          </w:p>
        </w:tc>
        <w:tc>
          <w:tcPr>
            <w:tcW w:w="2268" w:type="dxa"/>
            <w:tcBorders>
              <w:right w:val="single" w:sz="4" w:space="0" w:color="auto"/>
            </w:tcBorders>
          </w:tcPr>
          <w:p w14:paraId="3FA787C9" w14:textId="39AD3FE0" w:rsidR="00694BC1" w:rsidRDefault="00694BC1"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r>
      <w:tr w:rsidR="009B42A4" w:rsidRPr="00B04938" w14:paraId="04203229" w14:textId="77777777" w:rsidTr="00EE1083">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568819B7" w14:textId="5DD98E5E" w:rsidR="009B42A4" w:rsidRDefault="00FD5B97" w:rsidP="00620312">
            <w:pPr>
              <w:pStyle w:val="ListBullet"/>
              <w:rPr>
                <w:rFonts w:cstheme="minorHAnsi"/>
              </w:rPr>
            </w:pPr>
            <w:r>
              <w:rPr>
                <w:rFonts w:cstheme="minorHAnsi"/>
              </w:rPr>
              <w:t>Regulatory cost</w:t>
            </w:r>
          </w:p>
        </w:tc>
        <w:tc>
          <w:tcPr>
            <w:tcW w:w="2268" w:type="dxa"/>
          </w:tcPr>
          <w:p w14:paraId="3E4F54A7" w14:textId="2353B3EA" w:rsidR="009B42A4" w:rsidRDefault="00CD48AA"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c>
          <w:tcPr>
            <w:tcW w:w="2268" w:type="dxa"/>
          </w:tcPr>
          <w:p w14:paraId="046F55FA" w14:textId="0E4D8544" w:rsidR="009B42A4" w:rsidRDefault="00CD48AA"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c>
          <w:tcPr>
            <w:tcW w:w="2268" w:type="dxa"/>
            <w:tcBorders>
              <w:right w:val="single" w:sz="4" w:space="0" w:color="auto"/>
            </w:tcBorders>
          </w:tcPr>
          <w:p w14:paraId="3E41F9FD" w14:textId="44E25A84" w:rsidR="009B42A4" w:rsidRDefault="00CD48AA"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r>
    </w:tbl>
    <w:p w14:paraId="0D95018A" w14:textId="77777777" w:rsidR="008338CD" w:rsidRDefault="008338CD" w:rsidP="00024CC3">
      <w:pPr>
        <w:rPr>
          <w:rFonts w:cstheme="minorHAnsi"/>
        </w:rPr>
      </w:pPr>
    </w:p>
    <w:p w14:paraId="08A10B90" w14:textId="02F7B2E9" w:rsidR="00445FB1" w:rsidRDefault="00445FB1" w:rsidP="00CA777E">
      <w:pPr>
        <w:pStyle w:val="Heading4"/>
        <w:rPr>
          <w:lang w:val="en-US"/>
        </w:rPr>
      </w:pPr>
      <w:r w:rsidRPr="002A45AC">
        <w:rPr>
          <w:lang w:val="en-US"/>
        </w:rPr>
        <w:lastRenderedPageBreak/>
        <w:t>Parents</w:t>
      </w:r>
    </w:p>
    <w:p w14:paraId="25454C7C" w14:textId="1EBAD8FB" w:rsidR="00445FB1" w:rsidRDefault="00445FB1" w:rsidP="00CA777E">
      <w:pPr>
        <w:pStyle w:val="Heading5"/>
        <w:rPr>
          <w:lang w:val="en-US"/>
        </w:rPr>
      </w:pPr>
      <w:r>
        <w:rPr>
          <w:lang w:val="en-US"/>
        </w:rPr>
        <w:t>Benefits</w:t>
      </w:r>
    </w:p>
    <w:p w14:paraId="312AAE08" w14:textId="3C8A5C40" w:rsidR="00445FB1" w:rsidRDefault="000164D8" w:rsidP="00CA777E">
      <w:pPr>
        <w:keepNext/>
      </w:pPr>
      <w:r>
        <w:t>There are no apparent benefits to vulnerable parents under this option.</w:t>
      </w:r>
    </w:p>
    <w:p w14:paraId="18A8773F" w14:textId="5030034A" w:rsidR="000164D8" w:rsidRPr="006435CC" w:rsidRDefault="000164D8" w:rsidP="006435CC">
      <w:pPr>
        <w:pStyle w:val="Heading5"/>
        <w:keepNext w:val="0"/>
        <w:rPr>
          <w:lang w:val="en-US"/>
        </w:rPr>
      </w:pPr>
      <w:r w:rsidRPr="006435CC">
        <w:rPr>
          <w:lang w:val="en-US"/>
        </w:rPr>
        <w:t>Costs</w:t>
      </w:r>
    </w:p>
    <w:p w14:paraId="1B0EE16B" w14:textId="6A5F5F81" w:rsidR="000164D8" w:rsidRDefault="006435CC" w:rsidP="000164D8">
      <w:r>
        <w:t>There</w:t>
      </w:r>
      <w:r w:rsidR="000164D8">
        <w:t xml:space="preserve"> are costs for parents, their children and the broader Australian economy if there is not coordinated support to assist vulnerable parents </w:t>
      </w:r>
      <w:r w:rsidR="000164D8" w:rsidRPr="006942A3">
        <w:t>to access services that</w:t>
      </w:r>
      <w:r w:rsidR="000164D8">
        <w:t>:</w:t>
      </w:r>
    </w:p>
    <w:p w14:paraId="24EA917A" w14:textId="77777777" w:rsidR="000164D8" w:rsidRPr="009F3B04" w:rsidRDefault="000164D8" w:rsidP="00A40BD4">
      <w:pPr>
        <w:pStyle w:val="ListBullet"/>
        <w:numPr>
          <w:ilvl w:val="0"/>
          <w:numId w:val="10"/>
        </w:numPr>
        <w:ind w:left="357" w:hanging="357"/>
        <w:rPr>
          <w:rFonts w:cstheme="minorHAnsi"/>
        </w:rPr>
      </w:pPr>
      <w:r w:rsidRPr="07E9F465">
        <w:t>in the short term, will help them advance and address barriers to their education and career goals while they care for their family, and</w:t>
      </w:r>
    </w:p>
    <w:p w14:paraId="55DBB35C" w14:textId="77777777" w:rsidR="000164D8" w:rsidRPr="006942A3" w:rsidRDefault="000164D8" w:rsidP="00A40BD4">
      <w:pPr>
        <w:pStyle w:val="ListBullet"/>
        <w:numPr>
          <w:ilvl w:val="0"/>
          <w:numId w:val="10"/>
        </w:numPr>
        <w:ind w:left="357" w:hanging="357"/>
      </w:pPr>
      <w:r w:rsidRPr="57EE138C">
        <w:t>in the longer term, will contribute to enhancing their economic security</w:t>
      </w:r>
      <w:r>
        <w:t>.</w:t>
      </w:r>
    </w:p>
    <w:p w14:paraId="687CB98B" w14:textId="77777777" w:rsidR="000164D8" w:rsidRPr="001A3375" w:rsidRDefault="000164D8" w:rsidP="000164D8">
      <w:pPr>
        <w:rPr>
          <w:rFonts w:eastAsiaTheme="minorEastAsia" w:cs="Calibri"/>
        </w:rPr>
      </w:pPr>
      <w:r w:rsidRPr="003E3B51">
        <w:rPr>
          <w:rStyle w:val="normaltextrun"/>
          <w:rFonts w:eastAsiaTheme="minorEastAsia" w:cs="Calibri"/>
        </w:rPr>
        <w:t>As a result of their circumstances, many parents drop out of the labour force and/or education and training.</w:t>
      </w:r>
      <w:r w:rsidRPr="003E3B51">
        <w:rPr>
          <w:rStyle w:val="eop"/>
          <w:rFonts w:cs="Calibri"/>
        </w:rPr>
        <w:t xml:space="preserve"> </w:t>
      </w:r>
      <w:r w:rsidRPr="003E3B51">
        <w:rPr>
          <w:rStyle w:val="normaltextrun"/>
          <w:rFonts w:eastAsiaTheme="minorEastAsia" w:cs="Calibri"/>
        </w:rPr>
        <w:t xml:space="preserve">Research has shown that without pre-employment support, by the time their youngest child reaches school age </w:t>
      </w:r>
      <w:r>
        <w:rPr>
          <w:rStyle w:val="normaltextrun"/>
          <w:rFonts w:eastAsiaTheme="minorEastAsia" w:cs="Calibri"/>
        </w:rPr>
        <w:t xml:space="preserve">and participation requirements commence, </w:t>
      </w:r>
      <w:r w:rsidRPr="003E3B51">
        <w:rPr>
          <w:rStyle w:val="normaltextrun"/>
          <w:rFonts w:eastAsiaTheme="minorEastAsia" w:cs="Calibri"/>
        </w:rPr>
        <w:t>many single parents no longer have the confidence or capacity to return to employment.</w:t>
      </w:r>
      <w:r w:rsidRPr="003E3B51">
        <w:rPr>
          <w:rStyle w:val="FootnoteReference"/>
          <w:rFonts w:eastAsiaTheme="minorEastAsia" w:cs="Calibri"/>
        </w:rPr>
        <w:footnoteReference w:id="30"/>
      </w:r>
    </w:p>
    <w:p w14:paraId="13E703A2" w14:textId="55455D50" w:rsidR="000164D8" w:rsidRDefault="000164D8" w:rsidP="000164D8">
      <w:r>
        <w:t xml:space="preserve">Regardless of their confidence and capabilities, </w:t>
      </w:r>
      <w:r w:rsidR="0090361B">
        <w:t xml:space="preserve">under this option </w:t>
      </w:r>
      <w:r>
        <w:t>p</w:t>
      </w:r>
      <w:r w:rsidRPr="00F5385A">
        <w:t xml:space="preserve">arents would </w:t>
      </w:r>
      <w:r>
        <w:t xml:space="preserve">need to self-manage their return to the workforce. They would </w:t>
      </w:r>
      <w:r w:rsidRPr="00F5385A">
        <w:t xml:space="preserve">rely on interactions with community and government organisations, online </w:t>
      </w:r>
      <w:r>
        <w:t>re</w:t>
      </w:r>
      <w:r w:rsidRPr="00F5385A">
        <w:t xml:space="preserve">sources, social media and word of mouth for information about services and programs available </w:t>
      </w:r>
      <w:r>
        <w:t xml:space="preserve">to them </w:t>
      </w:r>
      <w:r w:rsidRPr="00F5385A">
        <w:t>in their area</w:t>
      </w:r>
      <w:r>
        <w:t xml:space="preserve"> for which they are eligible</w:t>
      </w:r>
      <w:r w:rsidRPr="00F5385A">
        <w:t>.</w:t>
      </w:r>
      <w:r>
        <w:t xml:space="preserve"> However, research evidence suggests that services are often not accessible to parents furthest from the labour market and</w:t>
      </w:r>
      <w:r w:rsidR="007D6BE3">
        <w:t>,</w:t>
      </w:r>
      <w:r>
        <w:t xml:space="preserve"> if they are aware of services, they often would not voluntarily access those services even if they would benefit the most.</w:t>
      </w:r>
    </w:p>
    <w:p w14:paraId="2083142D" w14:textId="32431A97" w:rsidR="000164D8" w:rsidRDefault="000164D8" w:rsidP="000164D8">
      <w:r>
        <w:t>Vulnerable parents whose youngest child is aged under 6 years would be at risk of being left behind as their children start school. Eligible parents aged under 25 years may have access to time-limited assistance in Workforce Australia – Transition to Work. However, Transition to Work is more suitable for young people ready for education and work, and is not geared to parents of young children. Many others would miss out on coordinated help and additional financial support to plan and return to the workforce while also caring for their children.</w:t>
      </w:r>
    </w:p>
    <w:p w14:paraId="5FA9D045" w14:textId="31AE5FC5" w:rsidR="000164D8" w:rsidRDefault="000164D8" w:rsidP="000164D8">
      <w:r>
        <w:t xml:space="preserve">Parents participating in ParentsNext would be affected by its closure with loss of access to a range of program supports. They may be unable to continue on their education or employment pathways. Further, parents </w:t>
      </w:r>
      <w:r w:rsidR="007D6BE3">
        <w:t xml:space="preserve">may </w:t>
      </w:r>
      <w:r>
        <w:t>be disinclined to engage in ParentsNext in the lead up to its cessation in the absence of the availability of long-term assistance.</w:t>
      </w:r>
    </w:p>
    <w:p w14:paraId="0E001C3A" w14:textId="2AB32DC7" w:rsidR="006435CC" w:rsidRDefault="006435CC" w:rsidP="003207B5">
      <w:pPr>
        <w:pStyle w:val="Heading4"/>
        <w:rPr>
          <w:lang w:val="en-US"/>
        </w:rPr>
      </w:pPr>
      <w:r w:rsidRPr="002A45AC">
        <w:rPr>
          <w:lang w:val="en-US"/>
        </w:rPr>
        <w:lastRenderedPageBreak/>
        <w:t>P</w:t>
      </w:r>
      <w:r>
        <w:rPr>
          <w:lang w:val="en-US"/>
        </w:rPr>
        <w:t>roviders</w:t>
      </w:r>
    </w:p>
    <w:p w14:paraId="35478C34" w14:textId="77777777" w:rsidR="006435CC" w:rsidRDefault="006435CC" w:rsidP="003207B5">
      <w:pPr>
        <w:pStyle w:val="Heading5"/>
        <w:rPr>
          <w:lang w:val="en-US"/>
        </w:rPr>
      </w:pPr>
      <w:r>
        <w:rPr>
          <w:lang w:val="en-US"/>
        </w:rPr>
        <w:t>Benefits</w:t>
      </w:r>
    </w:p>
    <w:p w14:paraId="26164DDD" w14:textId="6ABE3575" w:rsidR="000164D8" w:rsidRDefault="00733BB9" w:rsidP="00445FB1">
      <w:r w:rsidRPr="00FD5270">
        <w:rPr>
          <w:rFonts w:cstheme="minorHAnsi"/>
        </w:rPr>
        <w:t>The ParentsNext service will conclude in line with contractual arrangements.</w:t>
      </w:r>
      <w:r w:rsidR="00C85849" w:rsidRPr="00FD5270">
        <w:rPr>
          <w:rFonts w:cstheme="minorHAnsi"/>
        </w:rPr>
        <w:t xml:space="preserve"> </w:t>
      </w:r>
      <w:r w:rsidR="00BC4065" w:rsidRPr="00FD5270">
        <w:rPr>
          <w:rFonts w:cstheme="minorHAnsi"/>
        </w:rPr>
        <w:t xml:space="preserve">After ParentsNext ends, providers of </w:t>
      </w:r>
      <w:r w:rsidR="001C0866">
        <w:rPr>
          <w:rFonts w:cstheme="minorHAnsi"/>
        </w:rPr>
        <w:t xml:space="preserve">other </w:t>
      </w:r>
      <w:r w:rsidR="00BC4065" w:rsidRPr="00FD5270">
        <w:rPr>
          <w:rFonts w:cstheme="minorHAnsi"/>
        </w:rPr>
        <w:t xml:space="preserve">employment and related services may attract parents </w:t>
      </w:r>
      <w:r w:rsidR="00717EAF">
        <w:rPr>
          <w:rFonts w:cstheme="minorHAnsi"/>
        </w:rPr>
        <w:t>eligible for their programs</w:t>
      </w:r>
      <w:r w:rsidR="00BC4065" w:rsidRPr="00FD5270">
        <w:rPr>
          <w:rFonts w:cstheme="minorHAnsi"/>
        </w:rPr>
        <w:t xml:space="preserve"> who might otherwise have participated in a parent-specific service</w:t>
      </w:r>
      <w:r w:rsidR="00BC4065">
        <w:t>.</w:t>
      </w:r>
    </w:p>
    <w:p w14:paraId="6369FBC6" w14:textId="47E55C90" w:rsidR="00DB71CB" w:rsidRDefault="00DB71CB" w:rsidP="00DB71CB">
      <w:pPr>
        <w:pStyle w:val="Heading5"/>
        <w:keepNext w:val="0"/>
        <w:rPr>
          <w:lang w:val="en-US"/>
        </w:rPr>
      </w:pPr>
      <w:r w:rsidRPr="00DB71CB">
        <w:rPr>
          <w:lang w:val="en-US"/>
        </w:rPr>
        <w:t>Costs</w:t>
      </w:r>
    </w:p>
    <w:p w14:paraId="79CFD3C1" w14:textId="1F551461" w:rsidR="009A6A4A" w:rsidRDefault="001621B3" w:rsidP="0057174E">
      <w:r>
        <w:t>Compared</w:t>
      </w:r>
      <w:r w:rsidR="00491B32">
        <w:t xml:space="preserve"> to Options 2 and 3, providers will not </w:t>
      </w:r>
      <w:r w:rsidR="00254D8E">
        <w:t xml:space="preserve">benefit </w:t>
      </w:r>
      <w:r w:rsidR="00E55D10">
        <w:t xml:space="preserve">from </w:t>
      </w:r>
      <w:r w:rsidR="00254D8E">
        <w:t xml:space="preserve">the fees available from an extension of ParentsNext </w:t>
      </w:r>
      <w:r>
        <w:t xml:space="preserve">or </w:t>
      </w:r>
      <w:r w:rsidR="00E55D10">
        <w:t xml:space="preserve">being able </w:t>
      </w:r>
      <w:r>
        <w:t>to bid for a new pre-employment service.</w:t>
      </w:r>
    </w:p>
    <w:p w14:paraId="499FE23B" w14:textId="7A04D1C6" w:rsidR="0057174E" w:rsidRDefault="00717EAF" w:rsidP="0057174E">
      <w:r>
        <w:t>V</w:t>
      </w:r>
      <w:r w:rsidR="009D05A2" w:rsidRPr="008F583F">
        <w:t xml:space="preserve">ulnerable parents may be less likely to engage in ParentsNext </w:t>
      </w:r>
      <w:r w:rsidR="00650B53">
        <w:t xml:space="preserve">ahead of the end of June program termination </w:t>
      </w:r>
      <w:r w:rsidR="009D05A2" w:rsidRPr="008F583F">
        <w:t>if there is not replacement parent</w:t>
      </w:r>
      <w:r w:rsidR="007708B1">
        <w:noBreakHyphen/>
      </w:r>
      <w:r w:rsidR="009D05A2" w:rsidRPr="008F583F">
        <w:t xml:space="preserve">specific support from July 2024. This may </w:t>
      </w:r>
      <w:r w:rsidR="00207415">
        <w:t xml:space="preserve">affect </w:t>
      </w:r>
      <w:r w:rsidR="009D05A2" w:rsidRPr="008F583F">
        <w:t xml:space="preserve">provider </w:t>
      </w:r>
      <w:r w:rsidR="00207415">
        <w:t xml:space="preserve">operations, such as by adjusting </w:t>
      </w:r>
      <w:r w:rsidR="001B7B41">
        <w:t>opening hours,</w:t>
      </w:r>
      <w:r w:rsidR="00207415" w:rsidRPr="008F583F">
        <w:t xml:space="preserve"> </w:t>
      </w:r>
      <w:r w:rsidR="009D05A2" w:rsidRPr="008F583F">
        <w:t xml:space="preserve">as well as the </w:t>
      </w:r>
      <w:r w:rsidR="00FA7E86">
        <w:t>availability</w:t>
      </w:r>
      <w:r w:rsidR="00FA7E86" w:rsidRPr="008F583F">
        <w:t xml:space="preserve"> </w:t>
      </w:r>
      <w:r w:rsidR="009D05A2" w:rsidRPr="008F583F">
        <w:t>of services to parents</w:t>
      </w:r>
      <w:r w:rsidR="0057174E">
        <w:t>.</w:t>
      </w:r>
    </w:p>
    <w:p w14:paraId="173703BC" w14:textId="4A8BB603" w:rsidR="00BB5D29" w:rsidRDefault="00BB5D29" w:rsidP="00BB5D29">
      <w:pPr>
        <w:pStyle w:val="Heading4"/>
        <w:rPr>
          <w:lang w:val="en-US"/>
        </w:rPr>
      </w:pPr>
      <w:bookmarkStart w:id="60" w:name="_Hlk147918526"/>
      <w:r>
        <w:rPr>
          <w:lang w:val="en-US"/>
        </w:rPr>
        <w:t>Employers</w:t>
      </w:r>
    </w:p>
    <w:p w14:paraId="73A2BCBA" w14:textId="77777777" w:rsidR="00F45CFA" w:rsidRDefault="00F45CFA" w:rsidP="00F45CFA">
      <w:pPr>
        <w:pStyle w:val="Heading5"/>
        <w:keepNext w:val="0"/>
        <w:rPr>
          <w:lang w:val="en-US"/>
        </w:rPr>
      </w:pPr>
      <w:r>
        <w:rPr>
          <w:lang w:val="en-US"/>
        </w:rPr>
        <w:t>Benefits</w:t>
      </w:r>
    </w:p>
    <w:p w14:paraId="452F3045" w14:textId="43D3B991" w:rsidR="00F45CFA" w:rsidRDefault="00F45CFA" w:rsidP="00F45CFA">
      <w:r>
        <w:t xml:space="preserve">There are no apparent benefits to </w:t>
      </w:r>
      <w:r w:rsidR="00B501F8">
        <w:t>employers</w:t>
      </w:r>
      <w:r>
        <w:t xml:space="preserve"> under this option.</w:t>
      </w:r>
    </w:p>
    <w:p w14:paraId="73112419" w14:textId="301DDFE6" w:rsidR="00F45CFA" w:rsidRDefault="00F45CFA" w:rsidP="007708B1">
      <w:pPr>
        <w:pStyle w:val="Heading5"/>
        <w:rPr>
          <w:lang w:val="en-US"/>
        </w:rPr>
      </w:pPr>
      <w:r>
        <w:rPr>
          <w:lang w:val="en-US"/>
        </w:rPr>
        <w:t>Costs</w:t>
      </w:r>
    </w:p>
    <w:p w14:paraId="172A6B1C" w14:textId="3EFAA76B" w:rsidR="00F45CFA" w:rsidRPr="00B501F8" w:rsidRDefault="00B501F8" w:rsidP="00F45CFA">
      <w:r w:rsidRPr="00B501F8">
        <w:t>Without a pre-employment service, parents will be less confident, skill</w:t>
      </w:r>
      <w:r w:rsidR="002F0F84">
        <w:t>ed</w:t>
      </w:r>
      <w:r w:rsidRPr="00B501F8">
        <w:t xml:space="preserve"> or prepared to take up employment.</w:t>
      </w:r>
    </w:p>
    <w:bookmarkEnd w:id="60"/>
    <w:p w14:paraId="2A23A696" w14:textId="3E7AA377" w:rsidR="00BB5D29" w:rsidRDefault="00BB5D29" w:rsidP="00BB5D29">
      <w:pPr>
        <w:pStyle w:val="Heading4"/>
        <w:rPr>
          <w:lang w:val="en-US"/>
        </w:rPr>
      </w:pPr>
      <w:r>
        <w:rPr>
          <w:lang w:val="en-US"/>
        </w:rPr>
        <w:t>Government</w:t>
      </w:r>
    </w:p>
    <w:p w14:paraId="34BA8B8E" w14:textId="77777777" w:rsidR="00BB5D29" w:rsidRDefault="00BB5D29" w:rsidP="00BB5D29">
      <w:pPr>
        <w:pStyle w:val="Heading5"/>
        <w:keepNext w:val="0"/>
        <w:rPr>
          <w:lang w:val="en-US"/>
        </w:rPr>
      </w:pPr>
      <w:r>
        <w:rPr>
          <w:lang w:val="en-US"/>
        </w:rPr>
        <w:t>Benefits</w:t>
      </w:r>
    </w:p>
    <w:p w14:paraId="3F60470F" w14:textId="76952770" w:rsidR="001F2982" w:rsidRDefault="00EA446A" w:rsidP="001F2982">
      <w:r>
        <w:t>The main benefit</w:t>
      </w:r>
      <w:r w:rsidR="009314C0">
        <w:t>s</w:t>
      </w:r>
      <w:r>
        <w:t xml:space="preserve"> of Option 1 </w:t>
      </w:r>
      <w:r w:rsidR="009314C0">
        <w:t>are</w:t>
      </w:r>
      <w:r>
        <w:t xml:space="preserve"> </w:t>
      </w:r>
      <w:r w:rsidR="002F7810">
        <w:t xml:space="preserve">direct fiscal </w:t>
      </w:r>
      <w:r w:rsidR="008F583F">
        <w:t>savings</w:t>
      </w:r>
      <w:r>
        <w:t xml:space="preserve"> to government by </w:t>
      </w:r>
      <w:r w:rsidR="00CD4F13">
        <w:t xml:space="preserve">not </w:t>
      </w:r>
      <w:r w:rsidR="00591421">
        <w:t xml:space="preserve">implementing a new </w:t>
      </w:r>
      <w:r w:rsidR="00CD4F13">
        <w:t>pre</w:t>
      </w:r>
      <w:r w:rsidR="6F8C0814">
        <w:t>-</w:t>
      </w:r>
      <w:r w:rsidR="00CD4F13">
        <w:t>employment service</w:t>
      </w:r>
      <w:r w:rsidR="00591421">
        <w:t xml:space="preserve"> to replace ParentsNext</w:t>
      </w:r>
      <w:r w:rsidR="00CD4F13">
        <w:t>.</w:t>
      </w:r>
    </w:p>
    <w:p w14:paraId="1C4DD14F" w14:textId="1D9480C8" w:rsidR="00CD4F13" w:rsidRPr="00BB5D29" w:rsidRDefault="001F2982" w:rsidP="00BB5D29">
      <w:pPr>
        <w:pStyle w:val="Heading5"/>
        <w:keepNext w:val="0"/>
        <w:rPr>
          <w:lang w:val="en-US"/>
        </w:rPr>
      </w:pPr>
      <w:r w:rsidRPr="00BB5D29">
        <w:rPr>
          <w:lang w:val="en-US"/>
        </w:rPr>
        <w:t xml:space="preserve">Costs </w:t>
      </w:r>
    </w:p>
    <w:p w14:paraId="508D0285" w14:textId="582A0455" w:rsidR="00591421" w:rsidRDefault="00591421" w:rsidP="00CD4F13">
      <w:r>
        <w:t xml:space="preserve">This option would be at marginal </w:t>
      </w:r>
      <w:r w:rsidR="002C729F">
        <w:t xml:space="preserve">direct </w:t>
      </w:r>
      <w:r>
        <w:t xml:space="preserve">cost to </w:t>
      </w:r>
      <w:r w:rsidR="00671986">
        <w:t>the g</w:t>
      </w:r>
      <w:r>
        <w:t xml:space="preserve">overnment as some parents </w:t>
      </w:r>
      <w:r w:rsidR="00162BFE">
        <w:t>may</w:t>
      </w:r>
      <w:r w:rsidR="00965724">
        <w:t xml:space="preserve"> engage online </w:t>
      </w:r>
      <w:r w:rsidR="00B13BDE">
        <w:t xml:space="preserve">or with other </w:t>
      </w:r>
      <w:r w:rsidR="00965724">
        <w:t xml:space="preserve">services </w:t>
      </w:r>
      <w:r w:rsidR="00B13BDE">
        <w:t xml:space="preserve">or </w:t>
      </w:r>
      <w:r w:rsidR="00965724">
        <w:t>provider programs</w:t>
      </w:r>
      <w:r w:rsidR="00B13BDE">
        <w:t xml:space="preserve"> for which they are eligible </w:t>
      </w:r>
      <w:r w:rsidR="008470F0">
        <w:t>w</w:t>
      </w:r>
      <w:r w:rsidR="00B5519B">
        <w:t>ithout the involvement of a parent-specific pre-employment service</w:t>
      </w:r>
      <w:r>
        <w:t>.</w:t>
      </w:r>
      <w:r w:rsidR="000E092F">
        <w:t xml:space="preserve"> To the extent that parents do not engage with any pre</w:t>
      </w:r>
      <w:r w:rsidR="008F208C">
        <w:t>-</w:t>
      </w:r>
      <w:r w:rsidR="000E092F">
        <w:t>employment service, there will be indirect fiscal costs arising from these parents staying longer on welfare and the reduction in tax revenue arising from lower labour force participation.</w:t>
      </w:r>
    </w:p>
    <w:p w14:paraId="0130ABC5" w14:textId="325513E7" w:rsidR="008F1002" w:rsidRDefault="008F1002" w:rsidP="008F1002">
      <w:r>
        <w:t xml:space="preserve">This option </w:t>
      </w:r>
      <w:r w:rsidR="003F6844">
        <w:t xml:space="preserve">also </w:t>
      </w:r>
      <w:r>
        <w:t xml:space="preserve">risks reputational costs for government. </w:t>
      </w:r>
      <w:r w:rsidR="00552769">
        <w:t>The a</w:t>
      </w:r>
      <w:r>
        <w:t xml:space="preserve">nnouncement of the </w:t>
      </w:r>
      <w:r w:rsidR="00552769">
        <w:t xml:space="preserve">impending </w:t>
      </w:r>
      <w:r>
        <w:t xml:space="preserve">closure of ParentsNext </w:t>
      </w:r>
      <w:r w:rsidR="009B3249">
        <w:t xml:space="preserve">provided for the </w:t>
      </w:r>
      <w:r w:rsidR="00C7134E">
        <w:t xml:space="preserve">development of a replacement voluntary program. It is unlikely that this option would be perceived as a </w:t>
      </w:r>
      <w:r w:rsidR="00F13EFB">
        <w:t>replacement</w:t>
      </w:r>
      <w:r w:rsidR="00C7134E">
        <w:t xml:space="preserve"> service</w:t>
      </w:r>
      <w:r w:rsidR="000E0515">
        <w:t xml:space="preserve"> as it would not </w:t>
      </w:r>
      <w:r w:rsidR="008069B7">
        <w:t xml:space="preserve">provide </w:t>
      </w:r>
      <w:r w:rsidR="00D278DD">
        <w:t xml:space="preserve">the </w:t>
      </w:r>
      <w:r w:rsidR="008069B7">
        <w:t xml:space="preserve">customised approaches </w:t>
      </w:r>
      <w:r w:rsidR="000E0515">
        <w:t xml:space="preserve">needed </w:t>
      </w:r>
      <w:r w:rsidR="008069B7">
        <w:t xml:space="preserve">to support </w:t>
      </w:r>
      <w:r w:rsidR="00D278DD">
        <w:t>jobless</w:t>
      </w:r>
      <w:r w:rsidR="008069B7">
        <w:t xml:space="preserve"> families to </w:t>
      </w:r>
      <w:r w:rsidR="00D278DD">
        <w:t>increase</w:t>
      </w:r>
      <w:r w:rsidR="008069B7">
        <w:t xml:space="preserve"> their workforce </w:t>
      </w:r>
      <w:r w:rsidR="00D278DD">
        <w:t>participation</w:t>
      </w:r>
      <w:r w:rsidR="00B62BD8">
        <w:t>.</w:t>
      </w:r>
      <w:r w:rsidR="0032291D">
        <w:rPr>
          <w:rStyle w:val="FootnoteReference"/>
        </w:rPr>
        <w:footnoteReference w:id="31"/>
      </w:r>
    </w:p>
    <w:p w14:paraId="702C64B7" w14:textId="5D4F9898" w:rsidR="00241713" w:rsidRPr="00D71089" w:rsidRDefault="00241713" w:rsidP="00DB0B9D">
      <w:pPr>
        <w:pStyle w:val="Heading3"/>
        <w:rPr>
          <w:lang w:val="en-US"/>
        </w:rPr>
      </w:pPr>
      <w:bookmarkStart w:id="61" w:name="_Toc151123115"/>
      <w:r w:rsidRPr="00D71089">
        <w:rPr>
          <w:lang w:val="en-US"/>
        </w:rPr>
        <w:lastRenderedPageBreak/>
        <w:t>Regulatory costs</w:t>
      </w:r>
      <w:bookmarkEnd w:id="61"/>
    </w:p>
    <w:p w14:paraId="0E678C76" w14:textId="0BA29779" w:rsidR="00241713" w:rsidRDefault="00241713" w:rsidP="00974C78">
      <w:pPr>
        <w:rPr>
          <w:b/>
          <w:bCs/>
        </w:rPr>
      </w:pPr>
      <w:r>
        <w:t xml:space="preserve">The regulatory </w:t>
      </w:r>
      <w:r w:rsidR="00417250">
        <w:t>burden</w:t>
      </w:r>
      <w:r>
        <w:t xml:space="preserve"> of Option 1 is neutral. The existing ParentsNext program has been announced to cease from July 2024. Therefore, Option 1 is </w:t>
      </w:r>
      <w:r w:rsidR="00417250">
        <w:t xml:space="preserve">also </w:t>
      </w:r>
      <w:r>
        <w:t>the baseline option.</w:t>
      </w:r>
    </w:p>
    <w:p w14:paraId="30CCCD47" w14:textId="2788FB6E" w:rsidR="004E401B" w:rsidRPr="005A015C" w:rsidRDefault="00561853" w:rsidP="005A015C">
      <w:pPr>
        <w:pStyle w:val="Caption"/>
        <w:keepNext/>
      </w:pPr>
      <w:r w:rsidRPr="005A015C">
        <w:t xml:space="preserve">Table </w:t>
      </w:r>
      <w:r w:rsidR="00A3101F" w:rsidRPr="005A015C">
        <w:t>2</w:t>
      </w:r>
      <w:r w:rsidRPr="005A015C">
        <w:t xml:space="preserve">: Regulatory </w:t>
      </w:r>
      <w:r w:rsidR="00241713" w:rsidRPr="005A015C">
        <w:t>burden estimate table for</w:t>
      </w:r>
      <w:r w:rsidRPr="005A015C">
        <w:t xml:space="preserve"> Option 1</w:t>
      </w:r>
      <w:r w:rsidR="00BE46D3">
        <w:t xml:space="preserve"> – Average annual regulatory costs</w:t>
      </w:r>
    </w:p>
    <w:tbl>
      <w:tblPr>
        <w:tblStyle w:val="DESE"/>
        <w:tblW w:w="0" w:type="auto"/>
        <w:tblLook w:val="04A0" w:firstRow="1" w:lastRow="0" w:firstColumn="1" w:lastColumn="0" w:noHBand="0" w:noVBand="1"/>
      </w:tblPr>
      <w:tblGrid>
        <w:gridCol w:w="1948"/>
        <w:gridCol w:w="1950"/>
        <w:gridCol w:w="1950"/>
        <w:gridCol w:w="1606"/>
        <w:gridCol w:w="1606"/>
      </w:tblGrid>
      <w:tr w:rsidR="004B013E" w14:paraId="212CB8D1" w14:textId="49CBF055" w:rsidTr="004022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8" w:type="dxa"/>
          </w:tcPr>
          <w:p w14:paraId="0DE83F91" w14:textId="3B559892" w:rsidR="004B013E" w:rsidRPr="00861934" w:rsidRDefault="004B013E" w:rsidP="007769E8">
            <w:pPr>
              <w:keepNext/>
              <w:keepLines/>
              <w:rPr>
                <w:b/>
                <w:bCs/>
              </w:rPr>
            </w:pPr>
            <w:bookmarkStart w:id="62" w:name="_Hlk147822455"/>
            <w:r>
              <w:rPr>
                <w:b/>
                <w:bCs/>
              </w:rPr>
              <w:t>Change in costs</w:t>
            </w:r>
            <w:r w:rsidR="0055524C">
              <w:rPr>
                <w:b/>
                <w:bCs/>
              </w:rPr>
              <w:t xml:space="preserve"> ($million)</w:t>
            </w:r>
          </w:p>
        </w:tc>
        <w:tc>
          <w:tcPr>
            <w:tcW w:w="1950" w:type="dxa"/>
          </w:tcPr>
          <w:p w14:paraId="21DB4E32" w14:textId="6E39867C" w:rsidR="004B013E" w:rsidRDefault="0055524C" w:rsidP="007769E8">
            <w:pPr>
              <w:keepNext/>
              <w:keepLines/>
              <w:cnfStyle w:val="100000000000" w:firstRow="1" w:lastRow="0" w:firstColumn="0" w:lastColumn="0" w:oddVBand="0" w:evenVBand="0" w:oddHBand="0" w:evenHBand="0" w:firstRowFirstColumn="0" w:firstRowLastColumn="0" w:lastRowFirstColumn="0" w:lastRowLastColumn="0"/>
            </w:pPr>
            <w:r>
              <w:t>Business</w:t>
            </w:r>
          </w:p>
        </w:tc>
        <w:tc>
          <w:tcPr>
            <w:tcW w:w="1950" w:type="dxa"/>
          </w:tcPr>
          <w:p w14:paraId="75538BF2" w14:textId="0F534215" w:rsidR="004B013E" w:rsidRDefault="0055524C" w:rsidP="007769E8">
            <w:pPr>
              <w:keepNext/>
              <w:keepLines/>
              <w:cnfStyle w:val="100000000000" w:firstRow="1" w:lastRow="0" w:firstColumn="0" w:lastColumn="0" w:oddVBand="0" w:evenVBand="0" w:oddHBand="0" w:evenHBand="0" w:firstRowFirstColumn="0" w:firstRowLastColumn="0" w:lastRowFirstColumn="0" w:lastRowLastColumn="0"/>
            </w:pPr>
            <w:r>
              <w:t>Community organisations</w:t>
            </w:r>
          </w:p>
        </w:tc>
        <w:tc>
          <w:tcPr>
            <w:tcW w:w="1606" w:type="dxa"/>
          </w:tcPr>
          <w:p w14:paraId="755BB647" w14:textId="642D8AB4" w:rsidR="004B013E" w:rsidRDefault="0055524C" w:rsidP="007769E8">
            <w:pPr>
              <w:keepNext/>
              <w:keepLines/>
              <w:cnfStyle w:val="100000000000" w:firstRow="1" w:lastRow="0" w:firstColumn="0" w:lastColumn="0" w:oddVBand="0" w:evenVBand="0" w:oddHBand="0" w:evenHBand="0" w:firstRowFirstColumn="0" w:firstRowLastColumn="0" w:lastRowFirstColumn="0" w:lastRowLastColumn="0"/>
            </w:pPr>
            <w:r>
              <w:t>Individuals</w:t>
            </w:r>
          </w:p>
        </w:tc>
        <w:tc>
          <w:tcPr>
            <w:tcW w:w="1606" w:type="dxa"/>
          </w:tcPr>
          <w:p w14:paraId="2FCFCE23" w14:textId="48CF34F1" w:rsidR="004B013E" w:rsidRDefault="00C92A8D" w:rsidP="007769E8">
            <w:pPr>
              <w:keepNext/>
              <w:keepLines/>
              <w:cnfStyle w:val="100000000000" w:firstRow="1" w:lastRow="0" w:firstColumn="0" w:lastColumn="0" w:oddVBand="0" w:evenVBand="0" w:oddHBand="0" w:evenHBand="0" w:firstRowFirstColumn="0" w:firstRowLastColumn="0" w:lastRowFirstColumn="0" w:lastRowLastColumn="0"/>
            </w:pPr>
            <w:r>
              <w:t>Total change in costs</w:t>
            </w:r>
          </w:p>
        </w:tc>
      </w:tr>
      <w:tr w:rsidR="004B013E" w14:paraId="2D63270E" w14:textId="48A6E144" w:rsidTr="0040226A">
        <w:tc>
          <w:tcPr>
            <w:cnfStyle w:val="001000000000" w:firstRow="0" w:lastRow="0" w:firstColumn="1" w:lastColumn="0" w:oddVBand="0" w:evenVBand="0" w:oddHBand="0" w:evenHBand="0" w:firstRowFirstColumn="0" w:firstRowLastColumn="0" w:lastRowFirstColumn="0" w:lastRowLastColumn="0"/>
            <w:tcW w:w="1948" w:type="dxa"/>
          </w:tcPr>
          <w:p w14:paraId="4BBAE964" w14:textId="5B3507AB" w:rsidR="004B013E" w:rsidRPr="00861934" w:rsidRDefault="0055524C" w:rsidP="007769E8">
            <w:pPr>
              <w:rPr>
                <w:b/>
                <w:bCs/>
              </w:rPr>
            </w:pPr>
            <w:r>
              <w:rPr>
                <w:b/>
                <w:bCs/>
              </w:rPr>
              <w:t>Total by sector</w:t>
            </w:r>
          </w:p>
        </w:tc>
        <w:tc>
          <w:tcPr>
            <w:tcW w:w="1950" w:type="dxa"/>
          </w:tcPr>
          <w:p w14:paraId="5C987565" w14:textId="1781DAF4" w:rsidR="004B013E" w:rsidRDefault="00C92A8D" w:rsidP="007769E8">
            <w:pPr>
              <w:cnfStyle w:val="000000000000" w:firstRow="0" w:lastRow="0" w:firstColumn="0" w:lastColumn="0" w:oddVBand="0" w:evenVBand="0" w:oddHBand="0" w:evenHBand="0" w:firstRowFirstColumn="0" w:firstRowLastColumn="0" w:lastRowFirstColumn="0" w:lastRowLastColumn="0"/>
            </w:pPr>
            <w:r>
              <w:t>$</w:t>
            </w:r>
            <w:r w:rsidR="009F56A5">
              <w:t>0</w:t>
            </w:r>
          </w:p>
        </w:tc>
        <w:tc>
          <w:tcPr>
            <w:tcW w:w="1950" w:type="dxa"/>
          </w:tcPr>
          <w:p w14:paraId="5FDC9C40" w14:textId="6BB985C6" w:rsidR="004B013E" w:rsidRDefault="00C92A8D" w:rsidP="007769E8">
            <w:pPr>
              <w:cnfStyle w:val="000000000000" w:firstRow="0" w:lastRow="0" w:firstColumn="0" w:lastColumn="0" w:oddVBand="0" w:evenVBand="0" w:oddHBand="0" w:evenHBand="0" w:firstRowFirstColumn="0" w:firstRowLastColumn="0" w:lastRowFirstColumn="0" w:lastRowLastColumn="0"/>
            </w:pPr>
            <w:r>
              <w:t>$</w:t>
            </w:r>
            <w:r w:rsidR="009F56A5">
              <w:t>0</w:t>
            </w:r>
          </w:p>
        </w:tc>
        <w:tc>
          <w:tcPr>
            <w:tcW w:w="1606" w:type="dxa"/>
          </w:tcPr>
          <w:p w14:paraId="76850F54" w14:textId="474DF38B" w:rsidR="004B013E" w:rsidRDefault="00C92A8D" w:rsidP="007769E8">
            <w:pPr>
              <w:cnfStyle w:val="000000000000" w:firstRow="0" w:lastRow="0" w:firstColumn="0" w:lastColumn="0" w:oddVBand="0" w:evenVBand="0" w:oddHBand="0" w:evenHBand="0" w:firstRowFirstColumn="0" w:firstRowLastColumn="0" w:lastRowFirstColumn="0" w:lastRowLastColumn="0"/>
            </w:pPr>
            <w:r>
              <w:t>$</w:t>
            </w:r>
            <w:r w:rsidR="009F56A5">
              <w:t>0</w:t>
            </w:r>
          </w:p>
        </w:tc>
        <w:tc>
          <w:tcPr>
            <w:tcW w:w="1606" w:type="dxa"/>
          </w:tcPr>
          <w:p w14:paraId="451CDC72" w14:textId="1484E3A8" w:rsidR="004B013E" w:rsidRDefault="009A555B" w:rsidP="007769E8">
            <w:pPr>
              <w:cnfStyle w:val="000000000000" w:firstRow="0" w:lastRow="0" w:firstColumn="0" w:lastColumn="0" w:oddVBand="0" w:evenVBand="0" w:oddHBand="0" w:evenHBand="0" w:firstRowFirstColumn="0" w:firstRowLastColumn="0" w:lastRowFirstColumn="0" w:lastRowLastColumn="0"/>
            </w:pPr>
            <w:r>
              <w:t>$</w:t>
            </w:r>
            <w:r w:rsidR="009F56A5">
              <w:t>0</w:t>
            </w:r>
          </w:p>
        </w:tc>
      </w:tr>
    </w:tbl>
    <w:p w14:paraId="4D36F3F2" w14:textId="151109AB" w:rsidR="008D6F8C" w:rsidRDefault="00F659A8" w:rsidP="005A015C">
      <w:pPr>
        <w:pStyle w:val="Heading2"/>
        <w:ind w:left="720" w:hanging="720"/>
        <w:rPr>
          <w:lang w:val="en-US"/>
        </w:rPr>
      </w:pPr>
      <w:bookmarkStart w:id="63" w:name="_Toc151123116"/>
      <w:bookmarkStart w:id="64" w:name="_Hlk146277072"/>
      <w:bookmarkEnd w:id="62"/>
      <w:r>
        <w:rPr>
          <w:lang w:val="en-US"/>
        </w:rPr>
        <w:t>6</w:t>
      </w:r>
      <w:r w:rsidR="008F71EF" w:rsidRPr="00995541">
        <w:rPr>
          <w:lang w:val="en-US"/>
        </w:rPr>
        <w:t>.</w:t>
      </w:r>
      <w:r w:rsidR="004E36B8">
        <w:rPr>
          <w:lang w:val="en-US"/>
        </w:rPr>
        <w:t>2</w:t>
      </w:r>
      <w:r w:rsidR="001C0BDB">
        <w:tab/>
      </w:r>
      <w:r w:rsidR="008D6F8C" w:rsidRPr="001C0BDB">
        <w:rPr>
          <w:lang w:val="en-US"/>
        </w:rPr>
        <w:t>Option 2 – new voluntary pre-employment service for vulnerable parents</w:t>
      </w:r>
      <w:bookmarkEnd w:id="63"/>
    </w:p>
    <w:bookmarkEnd w:id="64"/>
    <w:p w14:paraId="36BF3AFE" w14:textId="77777777" w:rsidR="00DB0B9D" w:rsidRPr="00DB0B9D" w:rsidRDefault="00DB0B9D" w:rsidP="00DB0B9D">
      <w:pPr>
        <w:pStyle w:val="BOXText"/>
        <w:rPr>
          <w:rFonts w:eastAsia="Arial"/>
          <w:b/>
          <w:bCs/>
        </w:rPr>
      </w:pPr>
      <w:r w:rsidRPr="00DB0B9D">
        <w:rPr>
          <w:rFonts w:eastAsia="Arial"/>
          <w:b/>
          <w:bCs/>
        </w:rPr>
        <w:t>Key impacts</w:t>
      </w:r>
    </w:p>
    <w:p w14:paraId="6146F9DD" w14:textId="77777777" w:rsidR="00DB0B9D" w:rsidRPr="00203161" w:rsidRDefault="00DB0B9D" w:rsidP="00DB0B9D">
      <w:pPr>
        <w:pStyle w:val="BOXText"/>
        <w:rPr>
          <w:rFonts w:eastAsia="Arial"/>
        </w:rPr>
      </w:pPr>
      <w:r w:rsidRPr="00203161">
        <w:rPr>
          <w:rFonts w:eastAsia="Arial"/>
        </w:rPr>
        <w:t>This option would:</w:t>
      </w:r>
    </w:p>
    <w:p w14:paraId="7AEC7A15" w14:textId="77777777" w:rsidR="00DB0B9D" w:rsidRDefault="00DB0B9D" w:rsidP="00DB0B9D">
      <w:pPr>
        <w:pStyle w:val="BOXBulletedList"/>
        <w:rPr>
          <w:rFonts w:eastAsia="Arial"/>
        </w:rPr>
      </w:pPr>
      <w:r>
        <w:rPr>
          <w:rFonts w:eastAsia="Arial"/>
        </w:rPr>
        <w:t xml:space="preserve">deliver a voluntary new pre-employment service </w:t>
      </w:r>
      <w:r w:rsidRPr="004448C4">
        <w:rPr>
          <w:rFonts w:eastAsia="Arial"/>
        </w:rPr>
        <w:t xml:space="preserve">for </w:t>
      </w:r>
      <w:r>
        <w:rPr>
          <w:rFonts w:eastAsia="Arial"/>
        </w:rPr>
        <w:t xml:space="preserve">many vulnerable </w:t>
      </w:r>
      <w:r w:rsidRPr="004448C4">
        <w:rPr>
          <w:rFonts w:eastAsia="Arial"/>
        </w:rPr>
        <w:t>parents</w:t>
      </w:r>
      <w:r>
        <w:rPr>
          <w:rFonts w:eastAsia="Arial"/>
        </w:rPr>
        <w:t xml:space="preserve"> of young children in line with the policy objectives, with broader eligibility than the ParentsNext program</w:t>
      </w:r>
    </w:p>
    <w:p w14:paraId="5D147FEC" w14:textId="77777777" w:rsidR="00DB0B9D" w:rsidRDefault="00DB0B9D" w:rsidP="00DB0B9D">
      <w:pPr>
        <w:pStyle w:val="BOXBulletedList"/>
        <w:rPr>
          <w:rFonts w:eastAsia="Arial"/>
        </w:rPr>
      </w:pPr>
      <w:r>
        <w:rPr>
          <w:rFonts w:eastAsia="Arial"/>
        </w:rPr>
        <w:t xml:space="preserve">benefit parents through support relevant to them, including financial assistance through pooled funding and, in the new service, the annual $1,250 Individual Fund </w:t>
      </w:r>
    </w:p>
    <w:p w14:paraId="767C6A28" w14:textId="77777777" w:rsidR="00DB0B9D" w:rsidRDefault="00DB0B9D" w:rsidP="00DB0B9D">
      <w:pPr>
        <w:pStyle w:val="BOXBulletedList"/>
        <w:rPr>
          <w:rFonts w:eastAsia="Arial"/>
        </w:rPr>
      </w:pPr>
      <w:r>
        <w:rPr>
          <w:rFonts w:eastAsia="Arial"/>
        </w:rPr>
        <w:t>provide service continuity between ParentsNext and the new service</w:t>
      </w:r>
    </w:p>
    <w:p w14:paraId="1E01702D" w14:textId="77777777" w:rsidR="00DB0B9D" w:rsidRDefault="00DB0B9D" w:rsidP="00DB0B9D">
      <w:pPr>
        <w:pStyle w:val="BOXBulletedList"/>
        <w:rPr>
          <w:rFonts w:eastAsia="Arial"/>
        </w:rPr>
      </w:pPr>
      <w:r>
        <w:rPr>
          <w:rFonts w:eastAsia="Arial"/>
        </w:rPr>
        <w:t>address stakeholder feedback supporting flexible participation and delivery of tailored support</w:t>
      </w:r>
    </w:p>
    <w:p w14:paraId="38393AB3" w14:textId="77777777" w:rsidR="00DB0B9D" w:rsidRDefault="00DB0B9D" w:rsidP="00DB0B9D">
      <w:pPr>
        <w:pStyle w:val="BOXBulletedList"/>
        <w:rPr>
          <w:rFonts w:eastAsia="Arial"/>
        </w:rPr>
      </w:pPr>
      <w:r>
        <w:rPr>
          <w:rFonts w:eastAsia="Arial"/>
        </w:rPr>
        <w:t>benefit employers by preparing parents for the workforce when they are ready</w:t>
      </w:r>
    </w:p>
    <w:p w14:paraId="068DC264" w14:textId="77777777" w:rsidR="00DB0B9D" w:rsidRDefault="00DB0B9D" w:rsidP="00DB0B9D">
      <w:pPr>
        <w:pStyle w:val="BOXBulletedList"/>
        <w:rPr>
          <w:rFonts w:eastAsia="Arial"/>
        </w:rPr>
      </w:pPr>
      <w:r>
        <w:rPr>
          <w:rFonts w:eastAsia="Arial"/>
        </w:rPr>
        <w:t>have minimal regulatory burden for participants and employers</w:t>
      </w:r>
    </w:p>
    <w:p w14:paraId="0767363F" w14:textId="77777777" w:rsidR="00DB0B9D" w:rsidRDefault="00DB0B9D" w:rsidP="00DB0B9D">
      <w:pPr>
        <w:pStyle w:val="BOXBulletedList"/>
        <w:rPr>
          <w:rFonts w:eastAsia="Arial"/>
        </w:rPr>
      </w:pPr>
      <w:r>
        <w:rPr>
          <w:rFonts w:eastAsia="Arial"/>
        </w:rPr>
        <w:t>attract a diversity of potential providers</w:t>
      </w:r>
    </w:p>
    <w:p w14:paraId="1D98C00B" w14:textId="77777777" w:rsidR="00DB0B9D" w:rsidRDefault="00DB0B9D" w:rsidP="00DB0B9D">
      <w:pPr>
        <w:pStyle w:val="BOXBulletedList"/>
        <w:rPr>
          <w:rFonts w:eastAsia="Arial"/>
        </w:rPr>
      </w:pPr>
      <w:r>
        <w:rPr>
          <w:rFonts w:eastAsia="Arial"/>
        </w:rPr>
        <w:t>pay providers of the new service twice yearly service fees of $1,500 per participant and retain the existing payment model in ParentsNext</w:t>
      </w:r>
    </w:p>
    <w:p w14:paraId="080C1F78" w14:textId="77777777" w:rsidR="00DB0B9D" w:rsidRDefault="00DB0B9D" w:rsidP="00DB0B9D">
      <w:pPr>
        <w:pStyle w:val="BOXBulletedList"/>
        <w:rPr>
          <w:rFonts w:eastAsia="Arial"/>
        </w:rPr>
      </w:pPr>
      <w:r>
        <w:rPr>
          <w:rFonts w:eastAsia="Arial"/>
        </w:rPr>
        <w:t>give providers regulatory certainty with minimal regulatory burden, sufficient to ensure contract compliance and accountability for discretionary financial assistance</w:t>
      </w:r>
    </w:p>
    <w:p w14:paraId="0A2C1384" w14:textId="541FFE48" w:rsidR="00DB0B9D" w:rsidRDefault="00DB0B9D" w:rsidP="00DB0B9D">
      <w:pPr>
        <w:pStyle w:val="BOXBulletedList"/>
        <w:rPr>
          <w:lang w:val="en-US"/>
        </w:rPr>
      </w:pPr>
      <w:r>
        <w:rPr>
          <w:rFonts w:eastAsia="Arial"/>
        </w:rPr>
        <w:t>through annual outreach and engagement funding of $25,000, support providers of the new service to engage locally and attract participants to mitigate potential viability risks due to voluntary participation.</w:t>
      </w:r>
    </w:p>
    <w:p w14:paraId="60417DF3" w14:textId="0BF846C0" w:rsidR="00C56F2E" w:rsidRPr="009D2818" w:rsidRDefault="00C56F2E" w:rsidP="00BF0088">
      <w:pPr>
        <w:pStyle w:val="Heading3"/>
        <w:rPr>
          <w:lang w:val="en-US"/>
        </w:rPr>
      </w:pPr>
      <w:bookmarkStart w:id="65" w:name="_Toc151123117"/>
      <w:r w:rsidRPr="009D2818">
        <w:rPr>
          <w:lang w:val="en-US"/>
        </w:rPr>
        <w:lastRenderedPageBreak/>
        <w:t>Who would this option impact?</w:t>
      </w:r>
      <w:bookmarkEnd w:id="65"/>
    </w:p>
    <w:p w14:paraId="4B89C0E6" w14:textId="77777777" w:rsidR="00C56F2E" w:rsidRPr="009D2818" w:rsidRDefault="00C56F2E" w:rsidP="007464D6">
      <w:pPr>
        <w:keepNext/>
      </w:pPr>
      <w:r w:rsidRPr="009D2818">
        <w:t>Those directly impacted by this option would include:</w:t>
      </w:r>
    </w:p>
    <w:p w14:paraId="7EBA076D" w14:textId="046E80F8" w:rsidR="00C56F2E" w:rsidRPr="009D2818" w:rsidRDefault="00C56F2E" w:rsidP="00A40BD4">
      <w:pPr>
        <w:pStyle w:val="ListParagraph"/>
        <w:numPr>
          <w:ilvl w:val="0"/>
          <w:numId w:val="9"/>
        </w:numPr>
        <w:ind w:left="357" w:hanging="357"/>
      </w:pPr>
      <w:r w:rsidRPr="008E7CD4">
        <w:t xml:space="preserve">parents in ParentsNext </w:t>
      </w:r>
      <w:r w:rsidR="00BF4E46" w:rsidRPr="008E7CD4">
        <w:t xml:space="preserve">including those </w:t>
      </w:r>
      <w:r w:rsidRPr="008E7CD4">
        <w:t xml:space="preserve">who may volunteer to continue into the new </w:t>
      </w:r>
      <w:r w:rsidR="004B2329" w:rsidRPr="008E7CD4">
        <w:t>service</w:t>
      </w:r>
      <w:r w:rsidRPr="008E7CD4">
        <w:t xml:space="preserve"> if</w:t>
      </w:r>
      <w:r w:rsidRPr="009D2818">
        <w:t xml:space="preserve"> their youngest child is under 6 years of age</w:t>
      </w:r>
      <w:r w:rsidR="00F10C61" w:rsidRPr="00F10C61">
        <w:t xml:space="preserve"> </w:t>
      </w:r>
      <w:r w:rsidR="00F10C61">
        <w:t>(</w:t>
      </w:r>
      <w:r w:rsidR="00F10C61" w:rsidRPr="009D2818">
        <w:t xml:space="preserve">around </w:t>
      </w:r>
      <w:r w:rsidR="003250F5">
        <w:t>48</w:t>
      </w:r>
      <w:r w:rsidR="00C142DE">
        <w:t>,700</w:t>
      </w:r>
      <w:r w:rsidR="00F10C61">
        <w:t xml:space="preserve"> participants are expected to be on the ParentsNext caseload, point in time, during the extension period</w:t>
      </w:r>
      <w:r w:rsidR="00F10C61" w:rsidRPr="009D2818">
        <w:t>)</w:t>
      </w:r>
    </w:p>
    <w:p w14:paraId="29244F0F" w14:textId="3F966DE0" w:rsidR="205268F0" w:rsidRPr="00933A1A" w:rsidRDefault="00C56F2E" w:rsidP="00A40BD4">
      <w:pPr>
        <w:pStyle w:val="ListParagraph"/>
        <w:numPr>
          <w:ilvl w:val="0"/>
          <w:numId w:val="9"/>
        </w:numPr>
        <w:ind w:left="357" w:hanging="357"/>
      </w:pPr>
      <w:r w:rsidRPr="00933A1A">
        <w:t xml:space="preserve">parents who would be eligible </w:t>
      </w:r>
      <w:r w:rsidR="00894FD3" w:rsidRPr="00933A1A">
        <w:t xml:space="preserve">to volunteer for and participate in </w:t>
      </w:r>
      <w:r w:rsidRPr="00933A1A">
        <w:t>the new servic</w:t>
      </w:r>
      <w:r w:rsidR="00B40DE5" w:rsidRPr="00933A1A">
        <w:t>e – und</w:t>
      </w:r>
      <w:r w:rsidR="006E1FAA" w:rsidRPr="00933A1A">
        <w:t>er</w:t>
      </w:r>
      <w:r w:rsidR="00E20111" w:rsidRPr="00933A1A">
        <w:t xml:space="preserve"> </w:t>
      </w:r>
      <w:r w:rsidR="00F10C61" w:rsidRPr="00933A1A">
        <w:t>Option </w:t>
      </w:r>
      <w:r w:rsidR="00E20111" w:rsidRPr="00933A1A">
        <w:t xml:space="preserve">2, it is estimated that </w:t>
      </w:r>
      <w:r w:rsidR="00B40DE5" w:rsidRPr="00933A1A">
        <w:t>the p</w:t>
      </w:r>
      <w:r w:rsidR="006E1FAA" w:rsidRPr="00933A1A">
        <w:t>o</w:t>
      </w:r>
      <w:r w:rsidR="00B40DE5" w:rsidRPr="00933A1A">
        <w:t>int in time caseload will be</w:t>
      </w:r>
      <w:r w:rsidR="009B22A1" w:rsidRPr="00933A1A">
        <w:t xml:space="preserve"> </w:t>
      </w:r>
      <w:r w:rsidR="00C34B7B">
        <w:t>22,100</w:t>
      </w:r>
      <w:r w:rsidR="009B22A1" w:rsidRPr="00933A1A">
        <w:t xml:space="preserve"> parents</w:t>
      </w:r>
      <w:r w:rsidR="008B6ECF" w:rsidRPr="00933A1A">
        <w:t>, however the level of participation will depend on provider communication, engagement and servicing</w:t>
      </w:r>
      <w:r w:rsidR="003678F4" w:rsidRPr="00933A1A">
        <w:t xml:space="preserve"> </w:t>
      </w:r>
    </w:p>
    <w:p w14:paraId="6A3CF95B" w14:textId="2BD3728E" w:rsidR="00706B2D" w:rsidRPr="009D2818" w:rsidRDefault="007E1D62" w:rsidP="00A40BD4">
      <w:pPr>
        <w:pStyle w:val="ListParagraph"/>
        <w:numPr>
          <w:ilvl w:val="0"/>
          <w:numId w:val="9"/>
        </w:numPr>
        <w:ind w:left="357" w:hanging="357"/>
      </w:pPr>
      <w:r w:rsidRPr="009D2818">
        <w:t xml:space="preserve">existing ParentsNext providers whose contracts are </w:t>
      </w:r>
      <w:r w:rsidR="00706B2D" w:rsidRPr="009D2818">
        <w:t>extended</w:t>
      </w:r>
      <w:r w:rsidRPr="009D2818">
        <w:t xml:space="preserve"> by </w:t>
      </w:r>
      <w:r w:rsidR="00D04B6A">
        <w:t>4</w:t>
      </w:r>
      <w:r w:rsidR="00D04B6A" w:rsidRPr="009D2818">
        <w:t xml:space="preserve"> </w:t>
      </w:r>
      <w:r w:rsidRPr="009D2818">
        <w:t xml:space="preserve">months to </w:t>
      </w:r>
      <w:r w:rsidR="00F5380A">
        <w:t>October 2024</w:t>
      </w:r>
    </w:p>
    <w:p w14:paraId="1188736F" w14:textId="1ABD1A05" w:rsidR="00C56F2E" w:rsidRDefault="00C56F2E" w:rsidP="00A40BD4">
      <w:pPr>
        <w:pStyle w:val="ListParagraph"/>
        <w:numPr>
          <w:ilvl w:val="0"/>
          <w:numId w:val="9"/>
        </w:numPr>
        <w:ind w:left="357" w:hanging="357"/>
      </w:pPr>
      <w:r w:rsidRPr="009D2818">
        <w:t>organisations and ParentsNext providers, including community organisations, who would need to tender and be selected to deliver the new service</w:t>
      </w:r>
      <w:r w:rsidR="00756BB4" w:rsidRPr="009D2818">
        <w:t>.</w:t>
      </w:r>
    </w:p>
    <w:p w14:paraId="698DD0FE" w14:textId="22E1E89E" w:rsidR="00E94597" w:rsidRDefault="0025797E" w:rsidP="00C84C2A">
      <w:pPr>
        <w:keepNext/>
      </w:pPr>
      <w:r>
        <w:t xml:space="preserve">Through pre-employment services aimed at </w:t>
      </w:r>
      <w:r w:rsidR="001A0D1A">
        <w:t xml:space="preserve">helping them to </w:t>
      </w:r>
      <w:r w:rsidR="00584B43">
        <w:t>achieve their skill, education and work goal</w:t>
      </w:r>
      <w:r w:rsidR="009F24CD">
        <w:t xml:space="preserve"> and </w:t>
      </w:r>
      <w:r w:rsidR="00CA35CD">
        <w:t>longer-term</w:t>
      </w:r>
      <w:r w:rsidR="009F24CD">
        <w:t xml:space="preserve"> </w:t>
      </w:r>
      <w:r w:rsidR="00CA35CD">
        <w:t>economic</w:t>
      </w:r>
      <w:r w:rsidR="009F24CD">
        <w:t xml:space="preserve"> </w:t>
      </w:r>
      <w:r w:rsidR="00CA35CD">
        <w:t xml:space="preserve">security, </w:t>
      </w:r>
      <w:r>
        <w:t>this</w:t>
      </w:r>
      <w:r w:rsidR="00E94597">
        <w:t xml:space="preserve"> option would have a pos</w:t>
      </w:r>
      <w:r w:rsidR="0021505B">
        <w:t>itive impact on</w:t>
      </w:r>
      <w:r w:rsidR="00E94597">
        <w:t>:</w:t>
      </w:r>
    </w:p>
    <w:p w14:paraId="00978907" w14:textId="22A81D82" w:rsidR="00E94597" w:rsidRDefault="00E94597" w:rsidP="00A40BD4">
      <w:pPr>
        <w:pStyle w:val="ListParagraph"/>
        <w:numPr>
          <w:ilvl w:val="0"/>
          <w:numId w:val="9"/>
        </w:numPr>
        <w:ind w:left="357" w:hanging="357"/>
      </w:pPr>
      <w:r>
        <w:t xml:space="preserve">Parenting Payment recipients </w:t>
      </w:r>
      <w:r w:rsidR="0021505B">
        <w:t xml:space="preserve">who </w:t>
      </w:r>
      <w:r>
        <w:t xml:space="preserve">face the highest risk of </w:t>
      </w:r>
      <w:r w:rsidRPr="00041AB1">
        <w:t>poverty (72%) compared</w:t>
      </w:r>
      <w:r>
        <w:t xml:space="preserve"> to other income support recipients and other groups at risk of poverty (noting recent increases to income support payments may contribute to mitigating some of this risk)</w:t>
      </w:r>
      <w:r>
        <w:rPr>
          <w:rStyle w:val="FootnoteReference"/>
        </w:rPr>
        <w:footnoteReference w:id="32"/>
      </w:r>
    </w:p>
    <w:p w14:paraId="50708278" w14:textId="4A3E8DF3" w:rsidR="00E94597" w:rsidRDefault="00E94597" w:rsidP="00A40BD4">
      <w:pPr>
        <w:pStyle w:val="ListParagraph"/>
        <w:numPr>
          <w:ilvl w:val="0"/>
          <w:numId w:val="9"/>
        </w:numPr>
        <w:ind w:left="357" w:hanging="357"/>
      </w:pPr>
      <w:r>
        <w:t xml:space="preserve">Carer Payment recipients </w:t>
      </w:r>
      <w:r w:rsidR="0021505B">
        <w:t xml:space="preserve">who </w:t>
      </w:r>
      <w:r>
        <w:t>have one of the highest likelihoods of remaining long term on welfare in the absence of support to prepare for employment</w:t>
      </w:r>
    </w:p>
    <w:p w14:paraId="074A26E4" w14:textId="047875C4" w:rsidR="00E94597" w:rsidRDefault="00E94597" w:rsidP="00A40BD4">
      <w:pPr>
        <w:pStyle w:val="ListParagraph"/>
        <w:numPr>
          <w:ilvl w:val="0"/>
          <w:numId w:val="9"/>
        </w:numPr>
        <w:ind w:left="357" w:hanging="357"/>
      </w:pPr>
      <w:r>
        <w:t>Special Benefit recipients facing financial hardship who are not eligible for other income support payments and face challenges moving into the workforce</w:t>
      </w:r>
    </w:p>
    <w:p w14:paraId="42C2A9FB" w14:textId="5B52974B" w:rsidR="00E94597" w:rsidRPr="005602C1" w:rsidRDefault="00E94597" w:rsidP="00A40BD4">
      <w:pPr>
        <w:pStyle w:val="ListParagraph"/>
        <w:numPr>
          <w:ilvl w:val="0"/>
          <w:numId w:val="9"/>
        </w:numPr>
        <w:ind w:left="357" w:hanging="357"/>
      </w:pPr>
      <w:r>
        <w:t xml:space="preserve">single parent families and children living in single parent families </w:t>
      </w:r>
      <w:r w:rsidR="009B3D26">
        <w:t>who are</w:t>
      </w:r>
      <w:r>
        <w:t xml:space="preserve"> far more likely than couple families to have no </w:t>
      </w:r>
      <w:r w:rsidRPr="005602C1">
        <w:t>earnings from paid work (jobless families). The majority of jobless families with dependents (aged 0-14 years) are single parent families (69</w:t>
      </w:r>
      <w:r>
        <w:t>%</w:t>
      </w:r>
      <w:r w:rsidRPr="005602C1">
        <w:t>). Of children aged 0</w:t>
      </w:r>
      <w:r>
        <w:noBreakHyphen/>
      </w:r>
      <w:r w:rsidRPr="005602C1">
        <w:t>4</w:t>
      </w:r>
      <w:r>
        <w:t> </w:t>
      </w:r>
      <w:r w:rsidRPr="005602C1">
        <w:t>years living in jobless families, 61</w:t>
      </w:r>
      <w:r>
        <w:t>%</w:t>
      </w:r>
      <w:r w:rsidRPr="005602C1">
        <w:t xml:space="preserve"> (81,500) live in single parent families</w:t>
      </w:r>
      <w:r w:rsidRPr="00C4383E">
        <w:rPr>
          <w:vertAlign w:val="superscript"/>
        </w:rPr>
        <w:footnoteReference w:id="33"/>
      </w:r>
    </w:p>
    <w:p w14:paraId="061B1D4C" w14:textId="07EB953B" w:rsidR="00CE0ED5" w:rsidRDefault="00E94597" w:rsidP="00A40BD4">
      <w:pPr>
        <w:pStyle w:val="ListParagraph"/>
        <w:numPr>
          <w:ilvl w:val="0"/>
          <w:numId w:val="9"/>
        </w:numPr>
        <w:ind w:left="357" w:hanging="357"/>
      </w:pPr>
      <w:r>
        <w:t xml:space="preserve">single parents, First Nations people, young people and those with lower educational attainment </w:t>
      </w:r>
      <w:r w:rsidR="009B3D26">
        <w:t xml:space="preserve">who </w:t>
      </w:r>
      <w:r>
        <w:t>experience higher unemployment rates</w:t>
      </w:r>
      <w:r w:rsidR="003F2D5E">
        <w:t>.</w:t>
      </w:r>
      <w:r w:rsidRPr="005E2823">
        <w:rPr>
          <w:vertAlign w:val="superscript"/>
        </w:rPr>
        <w:footnoteReference w:id="34"/>
      </w:r>
    </w:p>
    <w:p w14:paraId="64137B6B" w14:textId="32BBA89C" w:rsidR="0099133D" w:rsidRDefault="003F2D5E" w:rsidP="004C0035">
      <w:r>
        <w:t xml:space="preserve">This option will </w:t>
      </w:r>
      <w:r w:rsidR="00F008F1">
        <w:t>predominantly</w:t>
      </w:r>
      <w:r>
        <w:t xml:space="preserve"> </w:t>
      </w:r>
      <w:r w:rsidR="00F008F1">
        <w:t xml:space="preserve">affect </w:t>
      </w:r>
      <w:r w:rsidR="002E5D98">
        <w:t>w</w:t>
      </w:r>
      <w:r w:rsidR="00DB24CB">
        <w:t>omen</w:t>
      </w:r>
      <w:r w:rsidR="0088063F">
        <w:t xml:space="preserve"> who </w:t>
      </w:r>
      <w:r w:rsidR="009B11DE">
        <w:t>will make up the majority of participants in the new service</w:t>
      </w:r>
      <w:r w:rsidR="00DE0544">
        <w:t xml:space="preserve"> given their </w:t>
      </w:r>
      <w:r w:rsidR="007009DB">
        <w:t xml:space="preserve">parenting </w:t>
      </w:r>
      <w:r w:rsidR="00DE0544">
        <w:t>r</w:t>
      </w:r>
      <w:r w:rsidR="008B1FC5">
        <w:t>ole</w:t>
      </w:r>
      <w:r w:rsidR="007009DB">
        <w:t xml:space="preserve">s </w:t>
      </w:r>
      <w:r w:rsidR="008B1FC5">
        <w:t xml:space="preserve">and as </w:t>
      </w:r>
      <w:r w:rsidR="002E5D98">
        <w:t xml:space="preserve">the majority </w:t>
      </w:r>
      <w:r w:rsidR="00CB0AD9">
        <w:t xml:space="preserve">of </w:t>
      </w:r>
      <w:r w:rsidR="00750678">
        <w:t>recipients</w:t>
      </w:r>
      <w:r w:rsidR="00CB0AD9">
        <w:t xml:space="preserve"> of </w:t>
      </w:r>
      <w:r w:rsidR="00750678">
        <w:t>Parenting Payment, Carer Payment and Special Benefit</w:t>
      </w:r>
      <w:r w:rsidR="004C0035">
        <w:t xml:space="preserve"> are women</w:t>
      </w:r>
      <w:r w:rsidR="003F2CCE">
        <w:t>.</w:t>
      </w:r>
      <w:r w:rsidR="00473FDA">
        <w:rPr>
          <w:rStyle w:val="FootnoteReference"/>
        </w:rPr>
        <w:footnoteReference w:id="35"/>
      </w:r>
      <w:r w:rsidR="00473FDA">
        <w:t xml:space="preserve"> </w:t>
      </w:r>
      <w:r w:rsidR="00E841DB">
        <w:t>Participation</w:t>
      </w:r>
      <w:r w:rsidR="008B1FC5">
        <w:t xml:space="preserve"> in the </w:t>
      </w:r>
      <w:r w:rsidR="00E841DB">
        <w:t>service</w:t>
      </w:r>
      <w:r w:rsidR="008B1FC5">
        <w:t xml:space="preserve"> that leads to future </w:t>
      </w:r>
      <w:r w:rsidR="00E841DB">
        <w:lastRenderedPageBreak/>
        <w:t>employment</w:t>
      </w:r>
      <w:r w:rsidR="008B1FC5">
        <w:t xml:space="preserve"> will con</w:t>
      </w:r>
      <w:r w:rsidR="00E841DB">
        <w:t>tribute</w:t>
      </w:r>
      <w:r w:rsidR="008B1FC5">
        <w:t xml:space="preserve"> to </w:t>
      </w:r>
      <w:r w:rsidR="00E841DB">
        <w:t xml:space="preserve">their economic security and reducing </w:t>
      </w:r>
      <w:r w:rsidR="0099133D">
        <w:t>the gender workforce participation gap</w:t>
      </w:r>
      <w:r w:rsidR="007B7316">
        <w:t>.</w:t>
      </w:r>
    </w:p>
    <w:p w14:paraId="1D3DEB07" w14:textId="722E65C9" w:rsidR="005330BA" w:rsidRPr="009D2818" w:rsidRDefault="005330BA" w:rsidP="004C0035">
      <w:r w:rsidRPr="005330BA">
        <w:t xml:space="preserve">The wider eligibility under this option to include First Nations parents not </w:t>
      </w:r>
      <w:r w:rsidR="00E82A7F">
        <w:t xml:space="preserve">receiving one of the </w:t>
      </w:r>
      <w:r w:rsidRPr="005330BA">
        <w:t>income support</w:t>
      </w:r>
      <w:r w:rsidR="00E82A7F">
        <w:t xml:space="preserve"> payments listed in the </w:t>
      </w:r>
      <w:r w:rsidR="0001222D">
        <w:t>eligibility criteria</w:t>
      </w:r>
      <w:r w:rsidRPr="005330BA">
        <w:t xml:space="preserve">, as well as First Nations parents who fall within the other </w:t>
      </w:r>
      <w:r w:rsidR="0001222D">
        <w:t>eligible</w:t>
      </w:r>
      <w:r w:rsidRPr="005330BA">
        <w:t xml:space="preserve"> cohorts, will also contribute to Closing the Gap on education and employment.</w:t>
      </w:r>
    </w:p>
    <w:p w14:paraId="35990C2A" w14:textId="07A8718C" w:rsidR="00894FD3" w:rsidRPr="002A45AC" w:rsidRDefault="002A45AC" w:rsidP="001C44B4">
      <w:pPr>
        <w:pStyle w:val="Heading3"/>
        <w:rPr>
          <w:lang w:val="en-US"/>
        </w:rPr>
      </w:pPr>
      <w:bookmarkStart w:id="66" w:name="_Toc151123118"/>
      <w:r>
        <w:rPr>
          <w:lang w:val="en-US"/>
        </w:rPr>
        <w:t>Overall impact</w:t>
      </w:r>
      <w:bookmarkEnd w:id="66"/>
    </w:p>
    <w:p w14:paraId="3D0E454D" w14:textId="479B3934" w:rsidR="00EE7A8C" w:rsidRDefault="00894FD3" w:rsidP="001C44B4">
      <w:pPr>
        <w:rPr>
          <w:rStyle w:val="normaltextrun"/>
        </w:rPr>
      </w:pPr>
      <w:r w:rsidRPr="576C9F19">
        <w:rPr>
          <w:rStyle w:val="normaltextrun"/>
        </w:rPr>
        <w:t>Under this option, vulnerable parents would have access to a flexible, strength-based pre</w:t>
      </w:r>
      <w:r w:rsidR="61136398" w:rsidRPr="576C9F19">
        <w:rPr>
          <w:rStyle w:val="normaltextrun"/>
        </w:rPr>
        <w:t>-</w:t>
      </w:r>
      <w:r w:rsidRPr="576C9F19">
        <w:rPr>
          <w:rStyle w:val="normaltextrun"/>
        </w:rPr>
        <w:t xml:space="preserve">employment service that focuses on building their vocational and non-vocational capability to prepare for </w:t>
      </w:r>
      <w:r w:rsidR="00524864">
        <w:rPr>
          <w:rStyle w:val="normaltextrun"/>
        </w:rPr>
        <w:t xml:space="preserve">the </w:t>
      </w:r>
      <w:r w:rsidRPr="576C9F19">
        <w:rPr>
          <w:rStyle w:val="normaltextrun"/>
        </w:rPr>
        <w:t>transition to paid work when they are ready.</w:t>
      </w:r>
    </w:p>
    <w:p w14:paraId="216C8F26" w14:textId="601EC21E" w:rsidR="001E2840" w:rsidRDefault="001E2840" w:rsidP="001E2840">
      <w:r>
        <w:t xml:space="preserve">The key </w:t>
      </w:r>
      <w:r w:rsidR="009F2921">
        <w:t xml:space="preserve">expected </w:t>
      </w:r>
      <w:r>
        <w:t>benefits and costs of this option are summarised in the table below.</w:t>
      </w:r>
    </w:p>
    <w:p w14:paraId="59C1407B" w14:textId="5D83B0B6" w:rsidR="006A3D08" w:rsidRPr="00683F15" w:rsidRDefault="006A3D08" w:rsidP="005A015C">
      <w:pPr>
        <w:pStyle w:val="Caption"/>
        <w:keepNext/>
      </w:pPr>
      <w:r w:rsidRPr="00683F15">
        <w:t>Table 3: Key benefits and costs for Option 2</w:t>
      </w:r>
    </w:p>
    <w:tbl>
      <w:tblPr>
        <w:tblStyle w:val="DESE"/>
        <w:tblW w:w="9072" w:type="dxa"/>
        <w:tblLayout w:type="fixed"/>
        <w:tblLook w:val="04A0" w:firstRow="1" w:lastRow="0" w:firstColumn="1" w:lastColumn="0" w:noHBand="0" w:noVBand="1"/>
      </w:tblPr>
      <w:tblGrid>
        <w:gridCol w:w="2268"/>
        <w:gridCol w:w="2268"/>
        <w:gridCol w:w="2268"/>
        <w:gridCol w:w="2268"/>
      </w:tblGrid>
      <w:tr w:rsidR="001A434B" w:rsidRPr="00B04938" w14:paraId="54108B8D" w14:textId="77777777" w:rsidTr="0017320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268" w:type="dxa"/>
            <w:tcBorders>
              <w:top w:val="single" w:sz="4" w:space="0" w:color="44546A"/>
              <w:bottom w:val="single" w:sz="4" w:space="0" w:color="auto"/>
            </w:tcBorders>
          </w:tcPr>
          <w:p w14:paraId="72D43029" w14:textId="4121B6F8" w:rsidR="00870D53" w:rsidRPr="00B04938" w:rsidRDefault="008A3053" w:rsidP="00620312">
            <w:pPr>
              <w:rPr>
                <w:rFonts w:eastAsia="Calibri" w:cs="Times New Roman"/>
                <w:color w:val="FFFFFF"/>
              </w:rPr>
            </w:pPr>
            <w:r>
              <w:rPr>
                <w:rFonts w:eastAsia="Calibri" w:cs="Times New Roman"/>
                <w:color w:val="FFFFFF"/>
              </w:rPr>
              <w:t>Criterion</w:t>
            </w:r>
          </w:p>
        </w:tc>
        <w:tc>
          <w:tcPr>
            <w:tcW w:w="2268" w:type="dxa"/>
            <w:tcBorders>
              <w:top w:val="single" w:sz="4" w:space="0" w:color="44546A"/>
              <w:bottom w:val="single" w:sz="4" w:space="0" w:color="auto"/>
            </w:tcBorders>
          </w:tcPr>
          <w:p w14:paraId="51487939" w14:textId="59E8A88B" w:rsidR="00870D53" w:rsidRPr="00B04938" w:rsidRDefault="00465B9B"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Benefits expected</w:t>
            </w:r>
          </w:p>
        </w:tc>
        <w:tc>
          <w:tcPr>
            <w:tcW w:w="2268" w:type="dxa"/>
            <w:tcBorders>
              <w:bottom w:val="single" w:sz="4" w:space="0" w:color="auto"/>
            </w:tcBorders>
          </w:tcPr>
          <w:p w14:paraId="645F61F0" w14:textId="398C9477" w:rsidR="00870D53" w:rsidRPr="00B04938" w:rsidRDefault="00465B9B"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Costs expected</w:t>
            </w:r>
          </w:p>
        </w:tc>
        <w:tc>
          <w:tcPr>
            <w:tcW w:w="2268" w:type="dxa"/>
            <w:tcBorders>
              <w:bottom w:val="single" w:sz="4" w:space="0" w:color="auto"/>
            </w:tcBorders>
          </w:tcPr>
          <w:p w14:paraId="3A3D130C" w14:textId="353D2D18" w:rsidR="00870D53" w:rsidRPr="00B04938" w:rsidRDefault="009F2921"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 xml:space="preserve">Net </w:t>
            </w:r>
            <w:r w:rsidR="00D81E6D">
              <w:rPr>
                <w:rFonts w:eastAsia="Calibri" w:cs="Times New Roman"/>
                <w:color w:val="FFFFFF"/>
              </w:rPr>
              <w:t xml:space="preserve">benefit </w:t>
            </w:r>
            <w:r>
              <w:rPr>
                <w:rFonts w:eastAsia="Calibri" w:cs="Times New Roman"/>
                <w:color w:val="FFFFFF"/>
              </w:rPr>
              <w:t>expected</w:t>
            </w:r>
          </w:p>
        </w:tc>
      </w:tr>
      <w:tr w:rsidR="00173200" w:rsidRPr="008E7CD4" w14:paraId="76A6ADFF" w14:textId="77777777" w:rsidTr="0017320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4CCBA723" w14:textId="527E962F" w:rsidR="00173200" w:rsidRPr="008E7CD4" w:rsidRDefault="00173200" w:rsidP="001A434B">
            <w:pPr>
              <w:pStyle w:val="ListBullet"/>
              <w:rPr>
                <w:rFonts w:cstheme="minorHAnsi"/>
              </w:rPr>
            </w:pPr>
            <w:r w:rsidRPr="008E7CD4">
              <w:t xml:space="preserve">Policy objectives </w:t>
            </w:r>
          </w:p>
        </w:tc>
        <w:tc>
          <w:tcPr>
            <w:tcW w:w="2268" w:type="dxa"/>
            <w:vAlign w:val="top"/>
          </w:tcPr>
          <w:p w14:paraId="06714161" w14:textId="201F1B46" w:rsidR="00173200" w:rsidRPr="008E7CD4" w:rsidRDefault="00173200" w:rsidP="001A434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t>Service offer directly addresses the policy objectives</w:t>
            </w:r>
          </w:p>
        </w:tc>
        <w:tc>
          <w:tcPr>
            <w:tcW w:w="2268" w:type="dxa"/>
          </w:tcPr>
          <w:p w14:paraId="6061A5A7" w14:textId="25962EE1" w:rsidR="00173200" w:rsidRPr="008E7CD4" w:rsidRDefault="00173200" w:rsidP="001A434B">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268" w:type="dxa"/>
            <w:tcBorders>
              <w:right w:val="single" w:sz="4" w:space="0" w:color="auto"/>
            </w:tcBorders>
            <w:vAlign w:val="top"/>
          </w:tcPr>
          <w:p w14:paraId="1D1CD867" w14:textId="75342713" w:rsidR="00173200" w:rsidRPr="008E7CD4" w:rsidRDefault="00173200" w:rsidP="001A434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t>Medium net benefit</w:t>
            </w:r>
          </w:p>
        </w:tc>
      </w:tr>
      <w:tr w:rsidR="00767727" w:rsidRPr="008E7CD4" w14:paraId="4CA34F87" w14:textId="77777777" w:rsidTr="00620312">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56AD8800" w14:textId="14176170" w:rsidR="00767727" w:rsidRPr="008E7CD4" w:rsidRDefault="00767727" w:rsidP="00767727">
            <w:r w:rsidRPr="008E7CD4">
              <w:t>Responds to stakeholder feedback</w:t>
            </w:r>
          </w:p>
        </w:tc>
        <w:tc>
          <w:tcPr>
            <w:tcW w:w="2268" w:type="dxa"/>
            <w:vAlign w:val="top"/>
          </w:tcPr>
          <w:p w14:paraId="2257218A" w14:textId="64660825"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t>Feedback strongly favoured a new voluntary pre-employment service for vulnerable parents</w:t>
            </w:r>
          </w:p>
        </w:tc>
        <w:tc>
          <w:tcPr>
            <w:tcW w:w="2268" w:type="dxa"/>
          </w:tcPr>
          <w:p w14:paraId="7BBE1AE0" w14:textId="3FD7909E"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268" w:type="dxa"/>
            <w:tcBorders>
              <w:right w:val="single" w:sz="4" w:space="0" w:color="auto"/>
            </w:tcBorders>
            <w:vAlign w:val="top"/>
          </w:tcPr>
          <w:p w14:paraId="471A07A0" w14:textId="51B16DF2"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t>High net benefit</w:t>
            </w:r>
          </w:p>
        </w:tc>
      </w:tr>
      <w:tr w:rsidR="00767727" w:rsidRPr="008E7CD4" w14:paraId="0B462106" w14:textId="77777777" w:rsidTr="0017320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19C6720C" w14:textId="410B82A4" w:rsidR="00767727" w:rsidRPr="008E7CD4" w:rsidRDefault="00767727" w:rsidP="00767727">
            <w:pPr>
              <w:pStyle w:val="ListBullet"/>
              <w:rPr>
                <w:rFonts w:cstheme="minorHAnsi"/>
              </w:rPr>
            </w:pPr>
            <w:r w:rsidRPr="008E7CD4">
              <w:rPr>
                <w:rFonts w:cstheme="minorHAnsi"/>
              </w:rPr>
              <w:t xml:space="preserve">Parents </w:t>
            </w:r>
          </w:p>
        </w:tc>
        <w:tc>
          <w:tcPr>
            <w:tcW w:w="2268" w:type="dxa"/>
          </w:tcPr>
          <w:p w14:paraId="6D11F752" w14:textId="6C19B901"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High - access to a new voluntary service with individual support and financial assistance; recognition of caring role; continuity of assistance from ParentsNext</w:t>
            </w:r>
          </w:p>
        </w:tc>
        <w:tc>
          <w:tcPr>
            <w:tcW w:w="2268" w:type="dxa"/>
          </w:tcPr>
          <w:p w14:paraId="6549F122" w14:textId="4995AB57"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Few costs expected</w:t>
            </w:r>
          </w:p>
        </w:tc>
        <w:tc>
          <w:tcPr>
            <w:tcW w:w="2268" w:type="dxa"/>
            <w:tcBorders>
              <w:right w:val="single" w:sz="4" w:space="0" w:color="auto"/>
            </w:tcBorders>
          </w:tcPr>
          <w:p w14:paraId="60B4985D" w14:textId="6EF11A45"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High net benefit</w:t>
            </w:r>
          </w:p>
        </w:tc>
      </w:tr>
      <w:tr w:rsidR="00767727" w:rsidRPr="008E7CD4" w14:paraId="707C7813" w14:textId="77777777" w:rsidTr="0017320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1C6D929D" w14:textId="77777777" w:rsidR="00767727" w:rsidRPr="008E7CD4" w:rsidRDefault="00767727" w:rsidP="00767727">
            <w:pPr>
              <w:pStyle w:val="ListBullet"/>
              <w:rPr>
                <w:rFonts w:cstheme="minorHAnsi"/>
              </w:rPr>
            </w:pPr>
            <w:r w:rsidRPr="008E7CD4">
              <w:rPr>
                <w:rFonts w:cstheme="minorHAnsi"/>
              </w:rPr>
              <w:t xml:space="preserve">Providers </w:t>
            </w:r>
          </w:p>
        </w:tc>
        <w:tc>
          <w:tcPr>
            <w:tcW w:w="2268" w:type="dxa"/>
          </w:tcPr>
          <w:p w14:paraId="329E43B0" w14:textId="3AD59898"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Medium – engaged to deliver the new flexible service with provider payments focusing on quality assistance and preparing parents for the workforce over short-term outcomes; extra funding for outreach and local engagement</w:t>
            </w:r>
          </w:p>
        </w:tc>
        <w:tc>
          <w:tcPr>
            <w:tcW w:w="2268" w:type="dxa"/>
          </w:tcPr>
          <w:p w14:paraId="7C9788AE" w14:textId="1609E738"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As required to deliver quality services and local connections</w:t>
            </w:r>
          </w:p>
        </w:tc>
        <w:tc>
          <w:tcPr>
            <w:tcW w:w="2268" w:type="dxa"/>
            <w:tcBorders>
              <w:right w:val="single" w:sz="4" w:space="0" w:color="auto"/>
            </w:tcBorders>
          </w:tcPr>
          <w:p w14:paraId="5C6381EE" w14:textId="6AE42ED8"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Medium net benefit</w:t>
            </w:r>
          </w:p>
        </w:tc>
      </w:tr>
      <w:tr w:rsidR="00767727" w:rsidRPr="008E7CD4" w14:paraId="759B134A" w14:textId="77777777" w:rsidTr="0017320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72177154" w14:textId="77777777" w:rsidR="00767727" w:rsidRPr="008E7CD4" w:rsidRDefault="00767727" w:rsidP="00767727">
            <w:pPr>
              <w:pStyle w:val="ListBullet"/>
              <w:rPr>
                <w:rFonts w:cstheme="minorHAnsi"/>
              </w:rPr>
            </w:pPr>
            <w:r w:rsidRPr="008E7CD4">
              <w:rPr>
                <w:rFonts w:cstheme="minorHAnsi"/>
              </w:rPr>
              <w:lastRenderedPageBreak/>
              <w:t>Employers</w:t>
            </w:r>
          </w:p>
        </w:tc>
        <w:tc>
          <w:tcPr>
            <w:tcW w:w="2268" w:type="dxa"/>
          </w:tcPr>
          <w:p w14:paraId="08638A3F" w14:textId="449E950F"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Limited – as it is a pre-employment service</w:t>
            </w:r>
          </w:p>
        </w:tc>
        <w:tc>
          <w:tcPr>
            <w:tcW w:w="2268" w:type="dxa"/>
          </w:tcPr>
          <w:p w14:paraId="6DBB478F" w14:textId="08B5D3D9"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Minimal</w:t>
            </w:r>
          </w:p>
        </w:tc>
        <w:tc>
          <w:tcPr>
            <w:tcW w:w="2268" w:type="dxa"/>
            <w:tcBorders>
              <w:right w:val="single" w:sz="4" w:space="0" w:color="auto"/>
            </w:tcBorders>
          </w:tcPr>
          <w:p w14:paraId="44B52D63" w14:textId="7C386037"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Limited</w:t>
            </w:r>
            <w:r w:rsidRPr="008E7CD4">
              <w:t xml:space="preserve"> net benefit</w:t>
            </w:r>
          </w:p>
        </w:tc>
      </w:tr>
      <w:tr w:rsidR="00767727" w:rsidRPr="008E7CD4" w14:paraId="00E39B1A" w14:textId="77777777" w:rsidTr="0017320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59400667" w14:textId="77777777" w:rsidR="00767727" w:rsidRPr="008E7CD4" w:rsidRDefault="00767727" w:rsidP="00767727">
            <w:pPr>
              <w:pStyle w:val="ListBullet"/>
              <w:rPr>
                <w:rFonts w:cstheme="minorHAnsi"/>
              </w:rPr>
            </w:pPr>
            <w:r w:rsidRPr="008E7CD4">
              <w:rPr>
                <w:rFonts w:cstheme="minorHAnsi"/>
              </w:rPr>
              <w:t xml:space="preserve">Government </w:t>
            </w:r>
          </w:p>
        </w:tc>
        <w:tc>
          <w:tcPr>
            <w:tcW w:w="2268" w:type="dxa"/>
          </w:tcPr>
          <w:p w14:paraId="08427576" w14:textId="382248D4"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Medium - reduced reliance on income support and increased tax revenue as parents take up work when they are ready; increased women’s participation with long term benefits due to reducing disadvantage narrowing the gender participation gap</w:t>
            </w:r>
          </w:p>
        </w:tc>
        <w:tc>
          <w:tcPr>
            <w:tcW w:w="2268" w:type="dxa"/>
          </w:tcPr>
          <w:p w14:paraId="78A0F3C0" w14:textId="44B43C2D"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Implementation and program costs</w:t>
            </w:r>
          </w:p>
        </w:tc>
        <w:tc>
          <w:tcPr>
            <w:tcW w:w="2268" w:type="dxa"/>
            <w:tcBorders>
              <w:right w:val="single" w:sz="4" w:space="0" w:color="auto"/>
            </w:tcBorders>
          </w:tcPr>
          <w:p w14:paraId="51B3FC51" w14:textId="6437B805"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Medium net benefit</w:t>
            </w:r>
          </w:p>
        </w:tc>
      </w:tr>
      <w:tr w:rsidR="00DA2DC2" w:rsidRPr="008E7CD4" w14:paraId="0198FF7D" w14:textId="77777777" w:rsidTr="00620312">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758AF41A" w14:textId="1B7FD9A9" w:rsidR="00DA2DC2" w:rsidRPr="008E7CD4" w:rsidRDefault="00DA2DC2" w:rsidP="00767727">
            <w:r w:rsidRPr="008E7CD4">
              <w:t>Caseload and servicing reach</w:t>
            </w:r>
          </w:p>
        </w:tc>
        <w:tc>
          <w:tcPr>
            <w:tcW w:w="2268" w:type="dxa"/>
            <w:vAlign w:val="top"/>
          </w:tcPr>
          <w:p w14:paraId="0F90521E" w14:textId="2192DD48" w:rsidR="00DA2DC2" w:rsidRPr="008E7CD4" w:rsidRDefault="00DF51AB"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FB7491">
              <w:rPr>
                <w:rFonts w:eastAsia="Calibri" w:cs="Times New Roman"/>
              </w:rPr>
              <w:t>Projected average point in time caseload of 22,100 parents</w:t>
            </w:r>
            <w:r w:rsidRPr="00FB7491" w:rsidDel="00DF51AB">
              <w:t xml:space="preserve"> </w:t>
            </w:r>
            <w:r w:rsidR="00DA2DC2" w:rsidRPr="00FB7491">
              <w:t>diversity of provid</w:t>
            </w:r>
            <w:r w:rsidR="00DA2DC2" w:rsidRPr="008E7CD4">
              <w:t xml:space="preserve">ers </w:t>
            </w:r>
          </w:p>
        </w:tc>
        <w:tc>
          <w:tcPr>
            <w:tcW w:w="2268" w:type="dxa"/>
          </w:tcPr>
          <w:p w14:paraId="5C680F5D" w14:textId="184F7355" w:rsidR="00DA2DC2" w:rsidRPr="008E7CD4" w:rsidRDefault="00DA2DC2"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268" w:type="dxa"/>
            <w:tcBorders>
              <w:right w:val="single" w:sz="4" w:space="0" w:color="auto"/>
            </w:tcBorders>
            <w:vAlign w:val="top"/>
          </w:tcPr>
          <w:p w14:paraId="1F224AB7" w14:textId="02B15FBC" w:rsidR="00DA2DC2" w:rsidRPr="008E7CD4" w:rsidRDefault="00DA2DC2"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Medium</w:t>
            </w:r>
            <w:r w:rsidRPr="008E7CD4">
              <w:t xml:space="preserve"> net benefit</w:t>
            </w:r>
          </w:p>
        </w:tc>
      </w:tr>
      <w:tr w:rsidR="00767727" w:rsidRPr="00B04938" w14:paraId="4FCF6E52" w14:textId="77777777" w:rsidTr="0017320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561D96FB" w14:textId="52E2BDFA" w:rsidR="00767727" w:rsidRPr="008E7CD4" w:rsidRDefault="00767727" w:rsidP="00767727">
            <w:pPr>
              <w:pStyle w:val="ListBullet"/>
            </w:pPr>
            <w:r w:rsidRPr="008E7CD4">
              <w:t>Regulatory cost</w:t>
            </w:r>
          </w:p>
        </w:tc>
        <w:tc>
          <w:tcPr>
            <w:tcW w:w="2268" w:type="dxa"/>
            <w:vAlign w:val="top"/>
          </w:tcPr>
          <w:p w14:paraId="48361039" w14:textId="5F9F01AD"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Not applicable</w:t>
            </w:r>
          </w:p>
        </w:tc>
        <w:tc>
          <w:tcPr>
            <w:tcW w:w="2268" w:type="dxa"/>
            <w:vAlign w:val="top"/>
          </w:tcPr>
          <w:p w14:paraId="5D1929E8" w14:textId="72102C3A" w:rsidR="00767727" w:rsidRPr="008E7CD4" w:rsidRDefault="00767727" w:rsidP="00767727">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8E7CD4">
              <w:rPr>
                <w:rFonts w:eastAsia="Calibri" w:cs="Times New Roman"/>
              </w:rPr>
              <w:t>Low</w:t>
            </w:r>
          </w:p>
        </w:tc>
        <w:tc>
          <w:tcPr>
            <w:tcW w:w="2268" w:type="dxa"/>
            <w:tcBorders>
              <w:right w:val="single" w:sz="4" w:space="0" w:color="auto"/>
            </w:tcBorders>
            <w:vAlign w:val="top"/>
          </w:tcPr>
          <w:p w14:paraId="296982E6" w14:textId="40D21C6F" w:rsidR="00767727" w:rsidRDefault="00767727" w:rsidP="00767727">
            <w:pPr>
              <w:cnfStyle w:val="000000000000" w:firstRow="0" w:lastRow="0" w:firstColumn="0" w:lastColumn="0" w:oddVBand="0" w:evenVBand="0" w:oddHBand="0" w:evenHBand="0" w:firstRowFirstColumn="0" w:firstRowLastColumn="0" w:lastRowFirstColumn="0" w:lastRowLastColumn="0"/>
            </w:pPr>
            <w:r w:rsidRPr="008E7CD4">
              <w:t>Low net benefit</w:t>
            </w:r>
          </w:p>
        </w:tc>
      </w:tr>
    </w:tbl>
    <w:p w14:paraId="18B10E25" w14:textId="77777777" w:rsidR="00AF2AD0" w:rsidRDefault="00AF2AD0" w:rsidP="001C44B4">
      <w:pPr>
        <w:rPr>
          <w:rStyle w:val="normaltextrun"/>
        </w:rPr>
      </w:pPr>
    </w:p>
    <w:p w14:paraId="3F950276" w14:textId="41F21F9F" w:rsidR="0071399A" w:rsidRDefault="001C429C" w:rsidP="00DF4880">
      <w:pPr>
        <w:pStyle w:val="Heading4"/>
        <w:rPr>
          <w:lang w:val="en-US"/>
        </w:rPr>
      </w:pPr>
      <w:bookmarkStart w:id="67" w:name="_Hlk145769807"/>
      <w:r w:rsidRPr="002A45AC">
        <w:rPr>
          <w:lang w:val="en-US"/>
        </w:rPr>
        <w:t>Parents</w:t>
      </w:r>
    </w:p>
    <w:p w14:paraId="353E91F3" w14:textId="036E4C91" w:rsidR="004A6E2F" w:rsidRPr="004A6E2F" w:rsidRDefault="004A6E2F" w:rsidP="00926A08">
      <w:pPr>
        <w:pStyle w:val="Heading5"/>
        <w:rPr>
          <w:lang w:val="en-US"/>
        </w:rPr>
      </w:pPr>
      <w:r>
        <w:rPr>
          <w:lang w:val="en-US"/>
        </w:rPr>
        <w:t xml:space="preserve">Benefits </w:t>
      </w:r>
    </w:p>
    <w:bookmarkEnd w:id="67"/>
    <w:p w14:paraId="11ED391B" w14:textId="05931136" w:rsidR="00CB6AAD" w:rsidRDefault="002C4168" w:rsidP="001C44B4">
      <w:pPr>
        <w:rPr>
          <w:lang w:val="en-US"/>
        </w:rPr>
      </w:pPr>
      <w:r>
        <w:rPr>
          <w:lang w:val="en-US"/>
        </w:rPr>
        <w:t xml:space="preserve">Parents in ParentsNext will benefit from changes already made </w:t>
      </w:r>
      <w:r w:rsidR="00CB6AAD">
        <w:rPr>
          <w:lang w:val="en-US"/>
        </w:rPr>
        <w:t xml:space="preserve">in 2023 </w:t>
      </w:r>
      <w:r>
        <w:rPr>
          <w:lang w:val="en-US"/>
        </w:rPr>
        <w:t xml:space="preserve">to </w:t>
      </w:r>
      <w:r w:rsidR="00CB6AAD">
        <w:rPr>
          <w:lang w:val="en-US"/>
        </w:rPr>
        <w:t xml:space="preserve">remove compliance, </w:t>
      </w:r>
      <w:r>
        <w:rPr>
          <w:lang w:val="en-US"/>
        </w:rPr>
        <w:t xml:space="preserve">make the </w:t>
      </w:r>
      <w:r w:rsidR="00CB6AAD">
        <w:rPr>
          <w:lang w:val="en-US"/>
        </w:rPr>
        <w:t xml:space="preserve">program voluntary and improve information about </w:t>
      </w:r>
      <w:r w:rsidR="005D0322">
        <w:rPr>
          <w:lang w:val="en-US"/>
        </w:rPr>
        <w:t xml:space="preserve">the assistance available. They will </w:t>
      </w:r>
      <w:r w:rsidR="001569A4">
        <w:rPr>
          <w:lang w:val="en-US"/>
        </w:rPr>
        <w:t>continue</w:t>
      </w:r>
      <w:r w:rsidR="005D0322">
        <w:rPr>
          <w:lang w:val="en-US"/>
        </w:rPr>
        <w:t xml:space="preserve"> to have access to the pooled </w:t>
      </w:r>
      <w:r w:rsidR="001569A4">
        <w:rPr>
          <w:lang w:val="en-US"/>
        </w:rPr>
        <w:t>Participation</w:t>
      </w:r>
      <w:r w:rsidR="005D0322">
        <w:rPr>
          <w:lang w:val="en-US"/>
        </w:rPr>
        <w:t xml:space="preserve"> Fund with $600 added each time a </w:t>
      </w:r>
      <w:r w:rsidR="001569A4">
        <w:rPr>
          <w:lang w:val="en-US"/>
        </w:rPr>
        <w:t>new</w:t>
      </w:r>
      <w:r w:rsidR="005D0322">
        <w:rPr>
          <w:lang w:val="en-US"/>
        </w:rPr>
        <w:t xml:space="preserve"> </w:t>
      </w:r>
      <w:r w:rsidR="001569A4">
        <w:rPr>
          <w:lang w:val="en-US"/>
        </w:rPr>
        <w:t>participant commences in ParentsNext.</w:t>
      </w:r>
    </w:p>
    <w:p w14:paraId="6D85EC95" w14:textId="09807D1C" w:rsidR="00712019" w:rsidRDefault="00E97658" w:rsidP="001C44B4">
      <w:r>
        <w:rPr>
          <w:lang w:val="en-US"/>
        </w:rPr>
        <w:t>In the new service</w:t>
      </w:r>
      <w:r w:rsidR="005D0322">
        <w:rPr>
          <w:lang w:val="en-US"/>
        </w:rPr>
        <w:t>, a</w:t>
      </w:r>
      <w:r w:rsidR="00712019">
        <w:rPr>
          <w:lang w:val="en-US"/>
        </w:rPr>
        <w:t xml:space="preserve">ccess to pre-employment support will be extended beyond Parenting Payment recipients with young children who would have been eligible under the ceasing ParentsNext program to </w:t>
      </w:r>
      <w:r w:rsidR="00164521">
        <w:rPr>
          <w:lang w:val="en-US"/>
        </w:rPr>
        <w:t xml:space="preserve">include </w:t>
      </w:r>
      <w:r w:rsidR="00712019">
        <w:rPr>
          <w:lang w:val="en-US"/>
        </w:rPr>
        <w:t xml:space="preserve">other </w:t>
      </w:r>
      <w:r w:rsidR="00891D79">
        <w:rPr>
          <w:lang w:val="en-US"/>
        </w:rPr>
        <w:t xml:space="preserve">vulnerable </w:t>
      </w:r>
      <w:r w:rsidR="00712019">
        <w:rPr>
          <w:lang w:val="en-US"/>
        </w:rPr>
        <w:t xml:space="preserve">parents who need coordinated support to return to the workforce. </w:t>
      </w:r>
      <w:r w:rsidR="00712019">
        <w:t xml:space="preserve">Parents with a youngest child aged 6 years and over who receive </w:t>
      </w:r>
      <w:r w:rsidR="683ED917">
        <w:t>Parenting Payment or other</w:t>
      </w:r>
      <w:r w:rsidR="00712019">
        <w:t xml:space="preserve"> income support would access other employment services.</w:t>
      </w:r>
    </w:p>
    <w:p w14:paraId="31644663" w14:textId="214C5C23" w:rsidR="00B87F1A" w:rsidRDefault="0071399A" w:rsidP="00894FD3">
      <w:r>
        <w:t xml:space="preserve">Comprehensive information </w:t>
      </w:r>
      <w:r w:rsidR="00D56EF1">
        <w:t xml:space="preserve">on the new service </w:t>
      </w:r>
      <w:r>
        <w:t>will be available through multiple channels such as delivery organisations, Services Australia, government websites and local community services.</w:t>
      </w:r>
      <w:r w:rsidR="00EE7A8C">
        <w:t xml:space="preserve"> </w:t>
      </w:r>
      <w:r w:rsidR="00B87F1A">
        <w:t>Services</w:t>
      </w:r>
      <w:r w:rsidR="00B87F1A" w:rsidRPr="0031751F">
        <w:t xml:space="preserve"> </w:t>
      </w:r>
      <w:r w:rsidR="00B87F1A">
        <w:t>will be</w:t>
      </w:r>
      <w:r w:rsidR="00B87F1A" w:rsidRPr="0031751F">
        <w:t xml:space="preserve"> child-friendly and </w:t>
      </w:r>
      <w:r w:rsidR="00B87F1A">
        <w:t>safe for participants</w:t>
      </w:r>
      <w:r w:rsidR="00B87F1A" w:rsidRPr="0031751F">
        <w:t xml:space="preserve"> and their children.</w:t>
      </w:r>
    </w:p>
    <w:p w14:paraId="710B254D" w14:textId="2C2914DE" w:rsidR="0071399A" w:rsidRDefault="00A613A6" w:rsidP="00894FD3">
      <w:pPr>
        <w:rPr>
          <w:rStyle w:val="normaltextrun"/>
          <w:rFonts w:ascii="Calibri" w:hAnsi="Calibri" w:cs="Calibri"/>
          <w:color w:val="000000"/>
          <w:shd w:val="clear" w:color="auto" w:fill="FFFFFF"/>
        </w:rPr>
      </w:pPr>
      <w:r>
        <w:t xml:space="preserve">Participation in the </w:t>
      </w:r>
      <w:r w:rsidR="0071399A">
        <w:t xml:space="preserve">new service will be voluntary. </w:t>
      </w:r>
      <w:r w:rsidR="575B7BFF">
        <w:t>The value of parenting as unpaid work and parents’ choice will be at the forefront of service</w:t>
      </w:r>
      <w:r w:rsidR="6CA74563">
        <w:t xml:space="preserve"> delivery.</w:t>
      </w:r>
      <w:r w:rsidR="575B7BFF">
        <w:t xml:space="preserve"> </w:t>
      </w:r>
      <w:r w:rsidR="001C429C">
        <w:t xml:space="preserve">Eligible parents </w:t>
      </w:r>
      <w:r w:rsidR="0071399A">
        <w:t>will be able to</w:t>
      </w:r>
      <w:r w:rsidR="001C429C">
        <w:t xml:space="preserve"> decide for themselves when and whether to </w:t>
      </w:r>
      <w:r w:rsidR="0071399A">
        <w:t xml:space="preserve">participate in the new service and may opt in and out as their circumstances change. While </w:t>
      </w:r>
      <w:r w:rsidR="0071399A">
        <w:rPr>
          <w:rStyle w:val="normaltextrun"/>
          <w:rFonts w:ascii="Calibri" w:hAnsi="Calibri" w:cs="Calibri"/>
          <w:color w:val="000000"/>
          <w:shd w:val="clear" w:color="auto" w:fill="FFFFFF"/>
        </w:rPr>
        <w:t xml:space="preserve">parents may </w:t>
      </w:r>
      <w:r w:rsidR="006B47CF">
        <w:rPr>
          <w:rStyle w:val="normaltextrun"/>
          <w:rFonts w:ascii="Calibri" w:hAnsi="Calibri" w:cs="Calibri"/>
          <w:color w:val="000000"/>
          <w:shd w:val="clear" w:color="auto" w:fill="FFFFFF"/>
        </w:rPr>
        <w:t xml:space="preserve">be </w:t>
      </w:r>
      <w:r w:rsidR="0071399A">
        <w:rPr>
          <w:rStyle w:val="normaltextrun"/>
          <w:rFonts w:ascii="Calibri" w:hAnsi="Calibri" w:cs="Calibri"/>
          <w:color w:val="000000"/>
          <w:shd w:val="clear" w:color="auto" w:fill="FFFFFF"/>
        </w:rPr>
        <w:t>more likely to choose to stay home and focus on nurturing their children in the first 2 years of their life and volunteer for the service when their child is older, parents of very young children will be able to participate</w:t>
      </w:r>
      <w:r w:rsidR="003B672E">
        <w:rPr>
          <w:rStyle w:val="normaltextrun"/>
          <w:rFonts w:ascii="Calibri" w:hAnsi="Calibri" w:cs="Calibri"/>
          <w:color w:val="000000"/>
          <w:shd w:val="clear" w:color="auto" w:fill="FFFFFF"/>
        </w:rPr>
        <w:t xml:space="preserve"> if they wish</w:t>
      </w:r>
      <w:r w:rsidR="0071399A">
        <w:rPr>
          <w:rStyle w:val="normaltextrun"/>
          <w:rFonts w:ascii="Calibri" w:hAnsi="Calibri" w:cs="Calibri"/>
          <w:color w:val="000000"/>
          <w:shd w:val="clear" w:color="auto" w:fill="FFFFFF"/>
        </w:rPr>
        <w:t>.</w:t>
      </w:r>
    </w:p>
    <w:p w14:paraId="53FD03BE" w14:textId="097770B4" w:rsidR="00D56EF1" w:rsidRDefault="00D56EF1" w:rsidP="00C63BC7">
      <w:r>
        <w:lastRenderedPageBreak/>
        <w:t xml:space="preserve">Each parent will be assigned a mentor. </w:t>
      </w:r>
      <w:r w:rsidR="004A0E24">
        <w:t xml:space="preserve">Parents will benefit from tailored and holistic support to overcome </w:t>
      </w:r>
      <w:r w:rsidR="006B47CF">
        <w:t>vocational</w:t>
      </w:r>
      <w:r w:rsidR="004A0E24">
        <w:t xml:space="preserve"> and non-</w:t>
      </w:r>
      <w:r w:rsidR="006B47CF">
        <w:t xml:space="preserve">vocational </w:t>
      </w:r>
      <w:r w:rsidR="004A0E24">
        <w:t xml:space="preserve">barriers and </w:t>
      </w:r>
      <w:r w:rsidR="006B47CF">
        <w:t>progress towards employment.</w:t>
      </w:r>
      <w:r>
        <w:t xml:space="preserve"> Activities and assistance will be arranged to help each parent achieve their personal goals. Initial and follow-up assessment of each parent’s strengths and capabilities will inform progress </w:t>
      </w:r>
      <w:r w:rsidR="00114916">
        <w:t>and next steps</w:t>
      </w:r>
      <w:r>
        <w:t>.</w:t>
      </w:r>
    </w:p>
    <w:p w14:paraId="5076E5DC" w14:textId="29AA56D5" w:rsidR="0077757D" w:rsidRDefault="00C63BC7" w:rsidP="0077757D">
      <w:pPr>
        <w:rPr>
          <w:rStyle w:val="normaltextrun"/>
          <w:rFonts w:cstheme="minorHAnsi"/>
        </w:rPr>
      </w:pPr>
      <w:r>
        <w:t>Services will provide</w:t>
      </w:r>
      <w:r w:rsidR="003B672E">
        <w:t xml:space="preserve"> parents with</w:t>
      </w:r>
      <w:r>
        <w:t xml:space="preserve"> financial support</w:t>
      </w:r>
      <w:r w:rsidR="003B672E">
        <w:t xml:space="preserve"> and</w:t>
      </w:r>
      <w:r>
        <w:t xml:space="preserve"> practical help to link with activities and </w:t>
      </w:r>
      <w:r w:rsidR="006B47CF">
        <w:t>local services</w:t>
      </w:r>
      <w:r>
        <w:t>.</w:t>
      </w:r>
      <w:r w:rsidR="00BA06E1">
        <w:t xml:space="preserve"> </w:t>
      </w:r>
      <w:r w:rsidR="00D43A43">
        <w:t>Par</w:t>
      </w:r>
      <w:r w:rsidR="004902AB">
        <w:t>ents</w:t>
      </w:r>
      <w:r w:rsidR="00D43A43">
        <w:t xml:space="preserve"> will have access through their provider to </w:t>
      </w:r>
      <w:r w:rsidR="002810BE" w:rsidRPr="002810BE">
        <w:t>pooled f</w:t>
      </w:r>
      <w:r w:rsidR="00DF2A61">
        <w:t>u</w:t>
      </w:r>
      <w:r w:rsidR="002810BE" w:rsidRPr="002810BE">
        <w:t>nding</w:t>
      </w:r>
      <w:r w:rsidR="000E1EA5">
        <w:t xml:space="preserve">, credited with $600 each time a </w:t>
      </w:r>
      <w:r w:rsidR="00F73512">
        <w:t xml:space="preserve">new </w:t>
      </w:r>
      <w:r w:rsidR="004902AB">
        <w:t>participant</w:t>
      </w:r>
      <w:r w:rsidR="000E1EA5">
        <w:t xml:space="preserve"> </w:t>
      </w:r>
      <w:r w:rsidR="004902AB">
        <w:t>starts,</w:t>
      </w:r>
      <w:r w:rsidR="002810BE" w:rsidRPr="002810BE">
        <w:t xml:space="preserve"> and the annual $1,250 </w:t>
      </w:r>
      <w:r w:rsidR="0035330A" w:rsidRPr="002810BE">
        <w:t xml:space="preserve">Individual Fund </w:t>
      </w:r>
      <w:r w:rsidR="00DF2A61">
        <w:t xml:space="preserve">for </w:t>
      </w:r>
      <w:r w:rsidR="00880DE4">
        <w:t>services and purchases that will support their pre-</w:t>
      </w:r>
      <w:r w:rsidR="000E1EA5">
        <w:t>employment</w:t>
      </w:r>
      <w:r w:rsidR="00880DE4">
        <w:t xml:space="preserve"> pathway.</w:t>
      </w:r>
      <w:r w:rsidR="00DF2A61">
        <w:t xml:space="preserve"> </w:t>
      </w:r>
      <w:r w:rsidR="00EF1678">
        <w:t>Participants</w:t>
      </w:r>
      <w:r w:rsidR="004902AB">
        <w:t xml:space="preserve"> </w:t>
      </w:r>
      <w:r w:rsidR="00114916">
        <w:t xml:space="preserve">will also benefit from flexible servicing with interactions in person, online and phone. </w:t>
      </w:r>
      <w:r w:rsidR="00114916">
        <w:rPr>
          <w:rStyle w:val="normaltextrun"/>
          <w:rFonts w:cstheme="minorHAnsi"/>
        </w:rPr>
        <w:t xml:space="preserve">Parents in the service may also receive prompts from their provider about forthcoming activities aligned with their goals. </w:t>
      </w:r>
      <w:r w:rsidR="00BA06E1">
        <w:t xml:space="preserve">There are also </w:t>
      </w:r>
      <w:r w:rsidR="003B16F2">
        <w:t xml:space="preserve">less </w:t>
      </w:r>
      <w:r w:rsidR="006B47CF">
        <w:t xml:space="preserve">tangible benefits </w:t>
      </w:r>
      <w:r w:rsidR="00891D79">
        <w:t xml:space="preserve">of </w:t>
      </w:r>
      <w:r w:rsidR="00113EBE">
        <w:t>participation</w:t>
      </w:r>
      <w:r w:rsidR="00BA06E1">
        <w:t xml:space="preserve"> </w:t>
      </w:r>
      <w:r w:rsidR="00891D79">
        <w:t xml:space="preserve">in pre-employment assistance </w:t>
      </w:r>
      <w:r w:rsidR="00113EBE">
        <w:t xml:space="preserve">including </w:t>
      </w:r>
      <w:r>
        <w:t xml:space="preserve">reducing the impact of social isolation, </w:t>
      </w:r>
      <w:r w:rsidR="006B47CF">
        <w:t>particularly</w:t>
      </w:r>
      <w:r>
        <w:t xml:space="preserve"> on single </w:t>
      </w:r>
      <w:r w:rsidR="006B47CF">
        <w:t>parents</w:t>
      </w:r>
      <w:r>
        <w:t>, with its con</w:t>
      </w:r>
      <w:r w:rsidR="006B47CF">
        <w:t xml:space="preserve">sequential impacts </w:t>
      </w:r>
      <w:r>
        <w:t xml:space="preserve">on physical and mental health </w:t>
      </w:r>
      <w:r w:rsidR="006B47CF">
        <w:t>outcomes</w:t>
      </w:r>
      <w:r w:rsidR="004A0E24" w:rsidRPr="004A0E24">
        <w:t>.</w:t>
      </w:r>
      <w:r w:rsidR="00BA06E1">
        <w:rPr>
          <w:rStyle w:val="FootnoteReference"/>
        </w:rPr>
        <w:footnoteReference w:id="36"/>
      </w:r>
    </w:p>
    <w:p w14:paraId="02E1CB6A" w14:textId="397C0DAD" w:rsidR="00C56F2E" w:rsidRPr="00CF19D8" w:rsidRDefault="00C56F2E" w:rsidP="004A6E2F">
      <w:pPr>
        <w:pStyle w:val="Heading5"/>
        <w:rPr>
          <w:lang w:val="en-US"/>
        </w:rPr>
      </w:pPr>
      <w:r w:rsidRPr="00CF19D8">
        <w:rPr>
          <w:lang w:val="en-US"/>
        </w:rPr>
        <w:t>Costs</w:t>
      </w:r>
      <w:r w:rsidR="004A6E2F" w:rsidRPr="00CF19D8">
        <w:rPr>
          <w:lang w:val="en-US"/>
        </w:rPr>
        <w:t xml:space="preserve"> </w:t>
      </w:r>
    </w:p>
    <w:p w14:paraId="23382CF3" w14:textId="59CEFD65" w:rsidR="00E204C0" w:rsidRDefault="003B672E" w:rsidP="003B672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There will be </w:t>
      </w:r>
      <w:r w:rsidR="005A4C63">
        <w:rPr>
          <w:rStyle w:val="normaltextrun"/>
          <w:rFonts w:ascii="Calibri" w:hAnsi="Calibri" w:cs="Calibri"/>
          <w:color w:val="000000"/>
          <w:shd w:val="clear" w:color="auto" w:fill="FFFFFF"/>
        </w:rPr>
        <w:t>minimal administrative cost</w:t>
      </w:r>
      <w:r w:rsidR="008B0884">
        <w:rPr>
          <w:rStyle w:val="normaltextrun"/>
          <w:rFonts w:ascii="Calibri" w:hAnsi="Calibri" w:cs="Calibri"/>
          <w:color w:val="000000"/>
          <w:shd w:val="clear" w:color="auto" w:fill="FFFFFF"/>
        </w:rPr>
        <w:t xml:space="preserve"> to</w:t>
      </w:r>
      <w:r>
        <w:rPr>
          <w:rStyle w:val="normaltextrun"/>
          <w:rFonts w:ascii="Calibri" w:hAnsi="Calibri" w:cs="Calibri"/>
          <w:color w:val="000000"/>
          <w:shd w:val="clear" w:color="auto" w:fill="FFFFFF"/>
        </w:rPr>
        <w:t xml:space="preserve"> parents</w:t>
      </w:r>
      <w:r w:rsidR="008B0884">
        <w:rPr>
          <w:rStyle w:val="normaltextrun"/>
          <w:rFonts w:ascii="Calibri" w:hAnsi="Calibri" w:cs="Calibri"/>
          <w:color w:val="000000"/>
          <w:shd w:val="clear" w:color="auto" w:fill="FFFFFF"/>
        </w:rPr>
        <w:t xml:space="preserve"> </w:t>
      </w:r>
      <w:r w:rsidR="00FF1980">
        <w:rPr>
          <w:rStyle w:val="normaltextrun"/>
          <w:rFonts w:ascii="Calibri" w:hAnsi="Calibri" w:cs="Calibri"/>
          <w:color w:val="000000"/>
          <w:shd w:val="clear" w:color="auto" w:fill="FFFFFF"/>
        </w:rPr>
        <w:t xml:space="preserve">from </w:t>
      </w:r>
      <w:r w:rsidR="00891D79">
        <w:rPr>
          <w:rStyle w:val="normaltextrun"/>
          <w:rFonts w:ascii="Calibri" w:hAnsi="Calibri" w:cs="Calibri"/>
          <w:color w:val="000000"/>
          <w:shd w:val="clear" w:color="auto" w:fill="FFFFFF"/>
        </w:rPr>
        <w:t xml:space="preserve">participating </w:t>
      </w:r>
      <w:r w:rsidR="008B0884">
        <w:rPr>
          <w:rStyle w:val="normaltextrun"/>
          <w:rFonts w:ascii="Calibri" w:hAnsi="Calibri" w:cs="Calibri"/>
          <w:color w:val="000000"/>
          <w:shd w:val="clear" w:color="auto" w:fill="FFFFFF"/>
        </w:rPr>
        <w:t>in the service</w:t>
      </w:r>
      <w:r w:rsidR="0035711E">
        <w:rPr>
          <w:rStyle w:val="normaltextrun"/>
          <w:rFonts w:ascii="Calibri" w:hAnsi="Calibri" w:cs="Calibri"/>
          <w:color w:val="000000"/>
          <w:shd w:val="clear" w:color="auto" w:fill="FFFFFF"/>
        </w:rPr>
        <w:t xml:space="preserve"> or the extended </w:t>
      </w:r>
      <w:r w:rsidR="00CF797D">
        <w:rPr>
          <w:rStyle w:val="normaltextrun"/>
          <w:rFonts w:ascii="Calibri" w:hAnsi="Calibri" w:cs="Calibri"/>
          <w:color w:val="000000"/>
          <w:shd w:val="clear" w:color="auto" w:fill="FFFFFF"/>
        </w:rPr>
        <w:t>ParentsNext.</w:t>
      </w:r>
      <w:r>
        <w:rPr>
          <w:rStyle w:val="normaltextrun"/>
          <w:rFonts w:ascii="Calibri" w:hAnsi="Calibri" w:cs="Calibri"/>
          <w:color w:val="000000"/>
          <w:shd w:val="clear" w:color="auto" w:fill="FFFFFF"/>
        </w:rPr>
        <w:t xml:space="preserve"> </w:t>
      </w:r>
      <w:r w:rsidR="0055372B">
        <w:rPr>
          <w:rStyle w:val="normaltextrun"/>
          <w:rFonts w:ascii="Calibri" w:hAnsi="Calibri" w:cs="Calibri"/>
          <w:color w:val="000000"/>
          <w:shd w:val="clear" w:color="auto" w:fill="FFFFFF"/>
        </w:rPr>
        <w:t xml:space="preserve">Some aspects of </w:t>
      </w:r>
      <w:r w:rsidR="008B0884">
        <w:rPr>
          <w:rStyle w:val="normaltextrun"/>
          <w:rFonts w:ascii="Calibri" w:hAnsi="Calibri" w:cs="Calibri"/>
          <w:color w:val="000000"/>
          <w:shd w:val="clear" w:color="auto" w:fill="FFFFFF"/>
        </w:rPr>
        <w:t>the service,</w:t>
      </w:r>
      <w:r w:rsidR="0055372B">
        <w:rPr>
          <w:rStyle w:val="normaltextrun"/>
          <w:rFonts w:ascii="Calibri" w:hAnsi="Calibri" w:cs="Calibri"/>
          <w:color w:val="000000"/>
          <w:shd w:val="clear" w:color="auto" w:fill="FFFFFF"/>
        </w:rPr>
        <w:t xml:space="preserve"> such as </w:t>
      </w:r>
      <w:r w:rsidR="004C23EE">
        <w:rPr>
          <w:rStyle w:val="normaltextrun"/>
          <w:rFonts w:ascii="Calibri" w:hAnsi="Calibri" w:cs="Calibri"/>
          <w:color w:val="000000"/>
          <w:shd w:val="clear" w:color="auto" w:fill="FFFFFF"/>
        </w:rPr>
        <w:t>request</w:t>
      </w:r>
      <w:r w:rsidR="00891D79">
        <w:rPr>
          <w:rStyle w:val="normaltextrun"/>
          <w:rFonts w:ascii="Calibri" w:hAnsi="Calibri" w:cs="Calibri"/>
          <w:color w:val="000000"/>
          <w:shd w:val="clear" w:color="auto" w:fill="FFFFFF"/>
        </w:rPr>
        <w:t xml:space="preserve">s for </w:t>
      </w:r>
      <w:r w:rsidR="0055372B">
        <w:rPr>
          <w:rStyle w:val="normaltextrun"/>
          <w:rFonts w:ascii="Calibri" w:hAnsi="Calibri" w:cs="Calibri"/>
          <w:color w:val="000000"/>
          <w:shd w:val="clear" w:color="auto" w:fill="FFFFFF"/>
        </w:rPr>
        <w:t xml:space="preserve">reimbursement </w:t>
      </w:r>
      <w:r w:rsidR="00666442">
        <w:rPr>
          <w:rStyle w:val="normaltextrun"/>
          <w:rFonts w:ascii="Calibri" w:hAnsi="Calibri" w:cs="Calibri"/>
          <w:color w:val="000000"/>
          <w:shd w:val="clear" w:color="auto" w:fill="FFFFFF"/>
        </w:rPr>
        <w:t>from pooled or individual funds</w:t>
      </w:r>
      <w:r w:rsidR="005D11EB">
        <w:rPr>
          <w:rStyle w:val="normaltextrun"/>
          <w:rFonts w:ascii="Calibri" w:hAnsi="Calibri" w:cs="Calibri"/>
          <w:color w:val="000000"/>
          <w:shd w:val="clear" w:color="auto" w:fill="FFFFFF"/>
        </w:rPr>
        <w:t>, or</w:t>
      </w:r>
      <w:r w:rsidR="005D11EB" w:rsidRPr="005D11EB">
        <w:rPr>
          <w:rStyle w:val="normaltextrun"/>
          <w:rFonts w:ascii="Calibri" w:hAnsi="Calibri" w:cs="Calibri"/>
          <w:color w:val="000000"/>
          <w:shd w:val="clear" w:color="auto" w:fill="FFFFFF"/>
        </w:rPr>
        <w:t xml:space="preserve"> </w:t>
      </w:r>
      <w:r w:rsidR="00891D79">
        <w:rPr>
          <w:rStyle w:val="normaltextrun"/>
          <w:rFonts w:ascii="Calibri" w:hAnsi="Calibri" w:cs="Calibri"/>
          <w:color w:val="000000"/>
          <w:shd w:val="clear" w:color="auto" w:fill="FFFFFF"/>
        </w:rPr>
        <w:t>request</w:t>
      </w:r>
      <w:r w:rsidR="0088483E">
        <w:rPr>
          <w:rStyle w:val="normaltextrun"/>
          <w:rFonts w:ascii="Calibri" w:hAnsi="Calibri" w:cs="Calibri"/>
          <w:color w:val="000000"/>
          <w:shd w:val="clear" w:color="auto" w:fill="FFFFFF"/>
        </w:rPr>
        <w:t>s</w:t>
      </w:r>
      <w:r w:rsidR="005D11EB">
        <w:rPr>
          <w:rStyle w:val="normaltextrun"/>
          <w:rFonts w:ascii="Calibri" w:hAnsi="Calibri" w:cs="Calibri"/>
          <w:color w:val="000000"/>
          <w:shd w:val="clear" w:color="auto" w:fill="FFFFFF"/>
        </w:rPr>
        <w:t xml:space="preserve"> to transfer between providers</w:t>
      </w:r>
      <w:r w:rsidR="00666442">
        <w:rPr>
          <w:rStyle w:val="normaltextrun"/>
          <w:rFonts w:ascii="Calibri" w:hAnsi="Calibri" w:cs="Calibri"/>
          <w:color w:val="000000"/>
          <w:shd w:val="clear" w:color="auto" w:fill="FFFFFF"/>
        </w:rPr>
        <w:t xml:space="preserve"> may require the </w:t>
      </w:r>
      <w:r w:rsidR="00967688">
        <w:rPr>
          <w:rStyle w:val="normaltextrun"/>
          <w:rFonts w:ascii="Calibri" w:hAnsi="Calibri" w:cs="Calibri"/>
          <w:color w:val="000000"/>
          <w:shd w:val="clear" w:color="auto" w:fill="FFFFFF"/>
        </w:rPr>
        <w:t xml:space="preserve">parent </w:t>
      </w:r>
      <w:r w:rsidR="004C23EE">
        <w:rPr>
          <w:rStyle w:val="normaltextrun"/>
          <w:rFonts w:ascii="Calibri" w:hAnsi="Calibri" w:cs="Calibri"/>
          <w:color w:val="000000"/>
          <w:shd w:val="clear" w:color="auto" w:fill="FFFFFF"/>
        </w:rPr>
        <w:t xml:space="preserve">to </w:t>
      </w:r>
      <w:r w:rsidR="00621FBB">
        <w:rPr>
          <w:rStyle w:val="normaltextrun"/>
          <w:rFonts w:ascii="Calibri" w:hAnsi="Calibri" w:cs="Calibri"/>
          <w:color w:val="000000"/>
          <w:shd w:val="clear" w:color="auto" w:fill="FFFFFF"/>
        </w:rPr>
        <w:t xml:space="preserve">provide information or documentary evidence. However, </w:t>
      </w:r>
      <w:r w:rsidR="001F1084">
        <w:rPr>
          <w:rStyle w:val="normaltextrun"/>
          <w:rFonts w:ascii="Calibri" w:hAnsi="Calibri" w:cs="Calibri"/>
          <w:color w:val="000000"/>
          <w:shd w:val="clear" w:color="auto" w:fill="FFFFFF"/>
        </w:rPr>
        <w:t xml:space="preserve">the incidence is expected to be low based on </w:t>
      </w:r>
      <w:r w:rsidR="00AA1CCC">
        <w:rPr>
          <w:rStyle w:val="normaltextrun"/>
          <w:rFonts w:ascii="Calibri" w:hAnsi="Calibri" w:cs="Calibri"/>
          <w:color w:val="000000"/>
          <w:shd w:val="clear" w:color="auto" w:fill="FFFFFF"/>
        </w:rPr>
        <w:t>experience in the ParentsNext program.</w:t>
      </w:r>
    </w:p>
    <w:p w14:paraId="43FF41DF" w14:textId="119C17A0" w:rsidR="00EE7A8C" w:rsidRDefault="00EE7A8C" w:rsidP="002A45AC">
      <w:pPr>
        <w:pStyle w:val="Heading4"/>
        <w:rPr>
          <w:lang w:val="en-US"/>
        </w:rPr>
      </w:pPr>
      <w:r w:rsidRPr="002A45AC">
        <w:rPr>
          <w:lang w:val="en-US"/>
        </w:rPr>
        <w:t>Providers</w:t>
      </w:r>
    </w:p>
    <w:p w14:paraId="07D278CE" w14:textId="720D26B8" w:rsidR="000107BA" w:rsidRDefault="000107BA" w:rsidP="000107BA">
      <w:pPr>
        <w:pStyle w:val="Heading5"/>
      </w:pPr>
      <w:r>
        <w:t>Benefits</w:t>
      </w:r>
    </w:p>
    <w:p w14:paraId="3296574C" w14:textId="641CBCA3" w:rsidR="00F06E94" w:rsidRDefault="00F06E94" w:rsidP="001F474B">
      <w:r w:rsidRPr="001F474B">
        <w:t xml:space="preserve">The voluntary nature of the </w:t>
      </w:r>
      <w:r>
        <w:t xml:space="preserve">new </w:t>
      </w:r>
      <w:r w:rsidRPr="001F474B">
        <w:t xml:space="preserve">service is likely to be attractive to eligible parents. </w:t>
      </w:r>
      <w:r>
        <w:t>Providers will be able to build on relationships with community organisations, support services, early childhood education and care providers, training organisations and employers to attract participants and have a range of options to effectively address parents’ non-vocational and vocational barriers.</w:t>
      </w:r>
    </w:p>
    <w:p w14:paraId="5FE86B18" w14:textId="70F61432" w:rsidR="006A48FC" w:rsidRDefault="00EE7AC5" w:rsidP="001F474B">
      <w:r>
        <w:t xml:space="preserve">During the contract extension period, ParentsNext providers will continue to benefit from </w:t>
      </w:r>
      <w:r w:rsidR="004D7148">
        <w:t xml:space="preserve">the existing payment model with </w:t>
      </w:r>
      <w:r w:rsidR="00250808">
        <w:t xml:space="preserve">service fees as well as </w:t>
      </w:r>
      <w:r w:rsidR="004D7148">
        <w:t xml:space="preserve">education and employment outcome </w:t>
      </w:r>
      <w:r w:rsidR="001E46C6">
        <w:t>payments</w:t>
      </w:r>
      <w:r w:rsidR="004D7148">
        <w:t xml:space="preserve"> </w:t>
      </w:r>
      <w:r w:rsidR="001E46C6" w:rsidRPr="002772B4">
        <w:t xml:space="preserve">of $313.20 </w:t>
      </w:r>
      <w:r w:rsidR="008B6C93" w:rsidRPr="002772B4">
        <w:t xml:space="preserve">when </w:t>
      </w:r>
      <w:r w:rsidR="002F4D85" w:rsidRPr="002772B4">
        <w:t>participants</w:t>
      </w:r>
      <w:r w:rsidR="008B6C93" w:rsidRPr="002772B4">
        <w:t xml:space="preserve"> attain eligible </w:t>
      </w:r>
      <w:r w:rsidR="002F4D85" w:rsidRPr="002772B4">
        <w:t>qualifications</w:t>
      </w:r>
      <w:r w:rsidR="008B6C93" w:rsidRPr="002772B4">
        <w:t xml:space="preserve"> </w:t>
      </w:r>
      <w:r w:rsidR="002F4D85" w:rsidRPr="002772B4">
        <w:t>or stay in work</w:t>
      </w:r>
      <w:r w:rsidR="008F6FF1">
        <w:t>.</w:t>
      </w:r>
    </w:p>
    <w:p w14:paraId="6EB75BAE" w14:textId="12FD745F" w:rsidR="00F06E94" w:rsidRPr="001F474B" w:rsidRDefault="00F06E94" w:rsidP="00F06E94">
      <w:r>
        <w:t xml:space="preserve">With annual outreach and engagement funding of $25,000 for each servicing site and half-yearly </w:t>
      </w:r>
      <w:r w:rsidRPr="00681A8E">
        <w:t>service fees of $1,500</w:t>
      </w:r>
      <w:r w:rsidR="00C07D29">
        <w:t xml:space="preserve"> per participant</w:t>
      </w:r>
      <w:r w:rsidRPr="00681A8E">
        <w:t>, providers</w:t>
      </w:r>
      <w:r>
        <w:t xml:space="preserve"> of the new service will be able to attract and assist participants.</w:t>
      </w:r>
    </w:p>
    <w:p w14:paraId="5BD760EF" w14:textId="6A8D41D7" w:rsidR="00160322" w:rsidRDefault="000107BA" w:rsidP="001F474B">
      <w:r w:rsidRPr="001F474B">
        <w:t>Providers will benefit from clearly articulated requirements and expectations in deeds and guidelines.</w:t>
      </w:r>
      <w:r w:rsidR="005F242D" w:rsidRPr="001F474B">
        <w:t xml:space="preserve"> </w:t>
      </w:r>
      <w:r w:rsidR="006D0517" w:rsidRPr="001F474B">
        <w:t>Eligibility</w:t>
      </w:r>
      <w:r w:rsidR="00D147BE">
        <w:t xml:space="preserve"> for the new service</w:t>
      </w:r>
      <w:r w:rsidR="005F242D" w:rsidRPr="001F474B">
        <w:t xml:space="preserve"> is simple and is not overlaid by </w:t>
      </w:r>
      <w:r w:rsidR="006D0517" w:rsidRPr="001F474B">
        <w:t>complex</w:t>
      </w:r>
      <w:r w:rsidR="005F242D" w:rsidRPr="001F474B">
        <w:t xml:space="preserve"> </w:t>
      </w:r>
      <w:r w:rsidR="006D0517" w:rsidRPr="001F474B">
        <w:t>assessments</w:t>
      </w:r>
      <w:r w:rsidR="005F242D" w:rsidRPr="001F474B">
        <w:t>.</w:t>
      </w:r>
    </w:p>
    <w:p w14:paraId="4A87CC08" w14:textId="3D7DB7D8" w:rsidR="004C4580" w:rsidRDefault="00160322" w:rsidP="001F474B">
      <w:r>
        <w:t>I</w:t>
      </w:r>
      <w:r w:rsidR="008759BF">
        <w:t>C</w:t>
      </w:r>
      <w:r>
        <w:t xml:space="preserve">T </w:t>
      </w:r>
      <w:r w:rsidR="009956E5">
        <w:t xml:space="preserve">systems will simplify </w:t>
      </w:r>
      <w:r w:rsidR="00CF4FFE">
        <w:t>administrative processes and support s</w:t>
      </w:r>
      <w:r w:rsidR="004C4580">
        <w:t>ervice delivery</w:t>
      </w:r>
      <w:r w:rsidR="00CF4FFE">
        <w:t>.</w:t>
      </w:r>
    </w:p>
    <w:p w14:paraId="0D0B5DA2" w14:textId="77777777" w:rsidR="00FA3EA7" w:rsidRDefault="00FA3EA7" w:rsidP="000107BA">
      <w:pPr>
        <w:pStyle w:val="Heading5"/>
      </w:pPr>
      <w:r>
        <w:lastRenderedPageBreak/>
        <w:t>Costs</w:t>
      </w:r>
    </w:p>
    <w:p w14:paraId="4D5BB052" w14:textId="1B02B243" w:rsidR="000107BA" w:rsidRDefault="00104D0B" w:rsidP="000107BA">
      <w:r>
        <w:t xml:space="preserve">As it is a voluntary service, </w:t>
      </w:r>
      <w:r w:rsidR="000107BA">
        <w:t>provider</w:t>
      </w:r>
      <w:r w:rsidR="00294D71">
        <w:t>s</w:t>
      </w:r>
      <w:r w:rsidR="000107BA">
        <w:t xml:space="preserve"> will need to </w:t>
      </w:r>
      <w:r w:rsidR="006D0517">
        <w:t xml:space="preserve">maintain a </w:t>
      </w:r>
      <w:r w:rsidR="000107BA">
        <w:t xml:space="preserve">reputation </w:t>
      </w:r>
      <w:r w:rsidR="006D0517">
        <w:t xml:space="preserve">of providing </w:t>
      </w:r>
      <w:r w:rsidR="000107BA">
        <w:t xml:space="preserve">quality </w:t>
      </w:r>
      <w:r w:rsidR="008D0016">
        <w:t>services</w:t>
      </w:r>
      <w:r w:rsidR="000107BA">
        <w:t xml:space="preserve"> and invest in </w:t>
      </w:r>
      <w:r w:rsidR="0038603B">
        <w:t xml:space="preserve">local connections and </w:t>
      </w:r>
      <w:r w:rsidR="000107BA">
        <w:t xml:space="preserve">attracting and retaining </w:t>
      </w:r>
      <w:r w:rsidR="0037677A">
        <w:t>participants</w:t>
      </w:r>
      <w:r w:rsidR="000107BA">
        <w:t>.</w:t>
      </w:r>
    </w:p>
    <w:p w14:paraId="0813C0DC" w14:textId="1CEC7CAC" w:rsidR="00FA3EA7" w:rsidRDefault="00AE30CB" w:rsidP="00FA3EA7">
      <w:r>
        <w:t xml:space="preserve">Any </w:t>
      </w:r>
      <w:r w:rsidR="7E1D3559">
        <w:t xml:space="preserve">successful tenderers </w:t>
      </w:r>
      <w:r w:rsidR="68E90EC1">
        <w:t>who</w:t>
      </w:r>
      <w:r w:rsidR="00FA3EA7">
        <w:t xml:space="preserve"> previously deliver</w:t>
      </w:r>
      <w:r w:rsidR="78EC6594">
        <w:t>ed</w:t>
      </w:r>
      <w:r w:rsidR="00FA3EA7">
        <w:t xml:space="preserve"> ParentsNext will need to invest time and resources into developing a new servicing model for a greater variety of eligible participants</w:t>
      </w:r>
      <w:r w:rsidR="009A0ADA">
        <w:t xml:space="preserve"> with a more flexible </w:t>
      </w:r>
      <w:r w:rsidR="141A933B">
        <w:t xml:space="preserve">and high quality </w:t>
      </w:r>
      <w:r w:rsidR="009A0ADA">
        <w:t>service offer</w:t>
      </w:r>
      <w:r w:rsidR="00FA3EA7">
        <w:t xml:space="preserve">. </w:t>
      </w:r>
      <w:r w:rsidR="00D824F2">
        <w:t xml:space="preserve">They will </w:t>
      </w:r>
      <w:r w:rsidR="00FA3EA7">
        <w:t xml:space="preserve">need to have appropriately qualified </w:t>
      </w:r>
      <w:r w:rsidR="00591421">
        <w:t xml:space="preserve">frontline mentors </w:t>
      </w:r>
      <w:r w:rsidR="00FA3EA7">
        <w:t>and will need to engage differently with parents who will be at the centre of the service.</w:t>
      </w:r>
    </w:p>
    <w:p w14:paraId="4D00209A" w14:textId="58A05EEE" w:rsidR="004B5279" w:rsidRDefault="009A0ADA" w:rsidP="008F71EF">
      <w:r>
        <w:t>Th</w:t>
      </w:r>
      <w:r w:rsidR="006C6E7A">
        <w:t>ere</w:t>
      </w:r>
      <w:r>
        <w:t xml:space="preserve"> will be some administrative burden on </w:t>
      </w:r>
      <w:r w:rsidR="005527CF">
        <w:t>providers</w:t>
      </w:r>
      <w:r w:rsidR="001B7DAC">
        <w:t xml:space="preserve"> </w:t>
      </w:r>
      <w:r w:rsidR="0067005F">
        <w:t>for activities wh</w:t>
      </w:r>
      <w:r w:rsidR="009963EF">
        <w:t>ich</w:t>
      </w:r>
      <w:r w:rsidR="0067005F">
        <w:t xml:space="preserve"> are fundamental to the operation of the service</w:t>
      </w:r>
      <w:r w:rsidR="0037677A">
        <w:t xml:space="preserve"> and ensuring value for money in expenditure</w:t>
      </w:r>
      <w:r w:rsidR="0067005F">
        <w:t xml:space="preserve">. </w:t>
      </w:r>
      <w:r w:rsidR="009963EF">
        <w:t>Thes</w:t>
      </w:r>
      <w:r w:rsidR="0037677A">
        <w:t>e</w:t>
      </w:r>
      <w:r w:rsidR="009963EF">
        <w:t xml:space="preserve"> </w:t>
      </w:r>
      <w:r w:rsidR="001428E8">
        <w:t>include</w:t>
      </w:r>
      <w:r w:rsidR="009963EF">
        <w:t xml:space="preserve"> </w:t>
      </w:r>
      <w:r w:rsidR="001428E8">
        <w:t>registration</w:t>
      </w:r>
      <w:r w:rsidR="009963EF">
        <w:t xml:space="preserve"> </w:t>
      </w:r>
      <w:r w:rsidR="001428E8">
        <w:t>of participants</w:t>
      </w:r>
      <w:r w:rsidR="009963EF">
        <w:t xml:space="preserve">, </w:t>
      </w:r>
      <w:r w:rsidR="00DD065B">
        <w:t xml:space="preserve">staff training, </w:t>
      </w:r>
      <w:r w:rsidR="001428E8">
        <w:t xml:space="preserve">management of </w:t>
      </w:r>
      <w:r w:rsidR="008F566C">
        <w:t>financial assistance</w:t>
      </w:r>
      <w:r w:rsidR="001651FD">
        <w:t xml:space="preserve"> and</w:t>
      </w:r>
      <w:r w:rsidR="00E625C8">
        <w:t>, in the new service,</w:t>
      </w:r>
      <w:r w:rsidR="00BF0088">
        <w:t xml:space="preserve"> </w:t>
      </w:r>
      <w:r w:rsidR="001428E8">
        <w:t xml:space="preserve">reporting on outreach </w:t>
      </w:r>
      <w:r w:rsidR="0037677A">
        <w:t xml:space="preserve">and collaboration activities. </w:t>
      </w:r>
      <w:r w:rsidR="001651FD">
        <w:t>Provider</w:t>
      </w:r>
      <w:r w:rsidR="001F474B">
        <w:t xml:space="preserve">s </w:t>
      </w:r>
      <w:r w:rsidR="001651FD">
        <w:t xml:space="preserve">will have access to </w:t>
      </w:r>
      <w:r w:rsidR="001F474B">
        <w:t>the department’s I</w:t>
      </w:r>
      <w:r w:rsidR="009C7EF7">
        <w:t>C</w:t>
      </w:r>
      <w:r w:rsidR="001F474B">
        <w:t>T systems to support them in delivering the services.</w:t>
      </w:r>
    </w:p>
    <w:p w14:paraId="2BD9ED1A" w14:textId="70ECA113" w:rsidR="00AA1CCC" w:rsidRDefault="00AA1CCC" w:rsidP="00AA1CCC">
      <w:pPr>
        <w:pStyle w:val="Heading4"/>
        <w:rPr>
          <w:lang w:val="en-US"/>
        </w:rPr>
      </w:pPr>
      <w:r>
        <w:rPr>
          <w:lang w:val="en-US"/>
        </w:rPr>
        <w:t>Employers</w:t>
      </w:r>
    </w:p>
    <w:p w14:paraId="6269C819" w14:textId="77777777" w:rsidR="00AA1CCC" w:rsidRDefault="00AA1CCC" w:rsidP="00AA1CCC">
      <w:pPr>
        <w:pStyle w:val="Heading5"/>
      </w:pPr>
      <w:r>
        <w:t>Benefits</w:t>
      </w:r>
    </w:p>
    <w:p w14:paraId="0F1C43D8" w14:textId="39536ABA" w:rsidR="00FC3669" w:rsidRDefault="00F04CF0" w:rsidP="00782BBB">
      <w:pPr>
        <w:rPr>
          <w:lang w:val="en-US"/>
        </w:rPr>
      </w:pPr>
      <w:r w:rsidRPr="009C4194">
        <w:rPr>
          <w:lang w:val="en-US"/>
        </w:rPr>
        <w:t xml:space="preserve">As it is a pre-employment service, </w:t>
      </w:r>
      <w:r w:rsidR="00B63DBE" w:rsidRPr="009C4194">
        <w:rPr>
          <w:lang w:val="en-US"/>
        </w:rPr>
        <w:t xml:space="preserve">there will be limited direct involvement of employers. </w:t>
      </w:r>
      <w:r w:rsidR="009C4194" w:rsidRPr="009C4194">
        <w:rPr>
          <w:lang w:val="en-US"/>
        </w:rPr>
        <w:t>Employers</w:t>
      </w:r>
      <w:r w:rsidR="00E8465C" w:rsidRPr="009C4194">
        <w:rPr>
          <w:lang w:val="en-US"/>
        </w:rPr>
        <w:t xml:space="preserve"> will benefit from recruiting </w:t>
      </w:r>
      <w:r w:rsidR="009C4194" w:rsidRPr="009C4194">
        <w:rPr>
          <w:lang w:val="en-US"/>
        </w:rPr>
        <w:t>p</w:t>
      </w:r>
      <w:r w:rsidR="002B35AD" w:rsidRPr="009C4194">
        <w:rPr>
          <w:lang w:val="en-US"/>
        </w:rPr>
        <w:t xml:space="preserve">arents </w:t>
      </w:r>
      <w:r w:rsidR="009C4194" w:rsidRPr="009C4194">
        <w:rPr>
          <w:lang w:val="en-US"/>
        </w:rPr>
        <w:t>who are</w:t>
      </w:r>
      <w:r w:rsidR="002B35AD" w:rsidRPr="009C4194">
        <w:rPr>
          <w:lang w:val="en-US"/>
        </w:rPr>
        <w:t xml:space="preserve"> prepared, motivated and skilled for their return to the workforce</w:t>
      </w:r>
      <w:r w:rsidR="00E8465C" w:rsidRPr="009C4194">
        <w:rPr>
          <w:lang w:val="en-US"/>
        </w:rPr>
        <w:t>.</w:t>
      </w:r>
      <w:r w:rsidR="00782BBB">
        <w:rPr>
          <w:lang w:val="en-US"/>
        </w:rPr>
        <w:t xml:space="preserve"> </w:t>
      </w:r>
      <w:r w:rsidR="0018045B">
        <w:rPr>
          <w:lang w:val="en-US"/>
        </w:rPr>
        <w:t>Provider</w:t>
      </w:r>
      <w:r w:rsidR="00C710C8">
        <w:rPr>
          <w:lang w:val="en-US"/>
        </w:rPr>
        <w:t>s</w:t>
      </w:r>
      <w:r w:rsidR="0018045B">
        <w:rPr>
          <w:lang w:val="en-US"/>
        </w:rPr>
        <w:t xml:space="preserve"> will be able to continue to assist parents as they settle into the workplace and w</w:t>
      </w:r>
      <w:r w:rsidR="00935C11">
        <w:rPr>
          <w:lang w:val="en-US"/>
        </w:rPr>
        <w:t xml:space="preserve">age subsidies may be available </w:t>
      </w:r>
      <w:r w:rsidR="0018045B">
        <w:rPr>
          <w:lang w:val="en-US"/>
        </w:rPr>
        <w:t xml:space="preserve">to employers </w:t>
      </w:r>
      <w:r w:rsidR="00A04C45">
        <w:rPr>
          <w:lang w:val="en-US"/>
        </w:rPr>
        <w:t>where appropriate</w:t>
      </w:r>
      <w:r w:rsidR="0018045B">
        <w:rPr>
          <w:lang w:val="en-US"/>
        </w:rPr>
        <w:t>.</w:t>
      </w:r>
    </w:p>
    <w:p w14:paraId="1EB0E9B1" w14:textId="06EED206" w:rsidR="006C6E7A" w:rsidRDefault="006C6E7A" w:rsidP="006C6E7A">
      <w:pPr>
        <w:pStyle w:val="Heading5"/>
      </w:pPr>
      <w:r w:rsidRPr="006C6E7A">
        <w:t>Costs</w:t>
      </w:r>
    </w:p>
    <w:p w14:paraId="66CC1982" w14:textId="7156445F" w:rsidR="00F74782" w:rsidRPr="00F74782" w:rsidRDefault="00F1058A" w:rsidP="00F74782">
      <w:r>
        <w:t xml:space="preserve">There will be minimal </w:t>
      </w:r>
      <w:r w:rsidR="00AD701B">
        <w:t xml:space="preserve">administrative </w:t>
      </w:r>
      <w:r>
        <w:t xml:space="preserve">cost to employers </w:t>
      </w:r>
      <w:r w:rsidR="00AD701B">
        <w:t xml:space="preserve">who attract wage subsidies </w:t>
      </w:r>
      <w:r w:rsidR="00466C74">
        <w:t xml:space="preserve">or participant placements </w:t>
      </w:r>
      <w:r w:rsidR="00AD701B">
        <w:t xml:space="preserve">and are required to enter into </w:t>
      </w:r>
      <w:r w:rsidR="00437FA9">
        <w:t xml:space="preserve">agreements which set out their obligations </w:t>
      </w:r>
      <w:r w:rsidR="001F222E">
        <w:t>and any</w:t>
      </w:r>
      <w:r w:rsidR="000D2600">
        <w:t xml:space="preserve"> payments.</w:t>
      </w:r>
    </w:p>
    <w:p w14:paraId="5B1CEEE9" w14:textId="1107B0C8" w:rsidR="00591421" w:rsidRPr="002A45AC" w:rsidRDefault="00591421" w:rsidP="002A45AC">
      <w:pPr>
        <w:pStyle w:val="Heading4"/>
        <w:rPr>
          <w:lang w:val="en-US"/>
        </w:rPr>
      </w:pPr>
      <w:r w:rsidRPr="002A45AC">
        <w:rPr>
          <w:lang w:val="en-US"/>
        </w:rPr>
        <w:t>Government</w:t>
      </w:r>
    </w:p>
    <w:p w14:paraId="2FE749CA" w14:textId="0E88F5C9" w:rsidR="000A106F" w:rsidRDefault="000A106F" w:rsidP="000A106F">
      <w:pPr>
        <w:pStyle w:val="Heading5"/>
      </w:pPr>
      <w:r>
        <w:t>Benefits</w:t>
      </w:r>
    </w:p>
    <w:p w14:paraId="333A8B9F" w14:textId="517D712E" w:rsidR="0075154E" w:rsidRPr="00B92341" w:rsidRDefault="0075154E" w:rsidP="0075154E">
      <w:pPr>
        <w:rPr>
          <w:lang w:val="en-US"/>
        </w:rPr>
      </w:pPr>
      <w:r>
        <w:rPr>
          <w:lang w:val="en-US"/>
        </w:rPr>
        <w:t xml:space="preserve">The new service has been designed taking into account extensive consultation </w:t>
      </w:r>
      <w:r w:rsidR="78C57A41" w:rsidRPr="0752E465">
        <w:rPr>
          <w:lang w:val="en-US"/>
        </w:rPr>
        <w:t xml:space="preserve">with parents and stakeholders </w:t>
      </w:r>
      <w:r w:rsidR="00CE16E4">
        <w:rPr>
          <w:lang w:val="en-US"/>
        </w:rPr>
        <w:t xml:space="preserve">and </w:t>
      </w:r>
      <w:r>
        <w:rPr>
          <w:lang w:val="en-US"/>
        </w:rPr>
        <w:t>feedback on what should be its key features.</w:t>
      </w:r>
    </w:p>
    <w:p w14:paraId="22B1F02A" w14:textId="579CAA0C" w:rsidR="00B85A9B" w:rsidRDefault="00B85A9B" w:rsidP="00DC503D">
      <w:r>
        <w:t>Benefit</w:t>
      </w:r>
      <w:r w:rsidR="00DD5363">
        <w:t xml:space="preserve"> to government </w:t>
      </w:r>
      <w:r w:rsidR="000B0356">
        <w:t xml:space="preserve">will </w:t>
      </w:r>
      <w:r>
        <w:t>come</w:t>
      </w:r>
      <w:r w:rsidR="000B0356">
        <w:t xml:space="preserve"> from investing in </w:t>
      </w:r>
      <w:r w:rsidR="00C2741E">
        <w:t xml:space="preserve">a </w:t>
      </w:r>
      <w:r w:rsidR="000B0356">
        <w:t xml:space="preserve">pre-employment service that </w:t>
      </w:r>
      <w:r w:rsidR="00A2444C">
        <w:t>help</w:t>
      </w:r>
      <w:r w:rsidR="00DE6574">
        <w:t>s</w:t>
      </w:r>
      <w:r w:rsidR="00A2444C">
        <w:t xml:space="preserve"> </w:t>
      </w:r>
      <w:r w:rsidR="000B0356">
        <w:t xml:space="preserve">vulnerable parents </w:t>
      </w:r>
      <w:r w:rsidR="00635346">
        <w:t xml:space="preserve">when it is appropriate </w:t>
      </w:r>
      <w:r w:rsidR="007802D5">
        <w:t>for them and facilitat</w:t>
      </w:r>
      <w:r w:rsidR="00410928">
        <w:t>es</w:t>
      </w:r>
      <w:r w:rsidR="007802D5">
        <w:t xml:space="preserve"> them </w:t>
      </w:r>
      <w:r w:rsidR="001161FA">
        <w:t xml:space="preserve">overcoming barriers to </w:t>
      </w:r>
      <w:r w:rsidR="00B634EA">
        <w:t>employment</w:t>
      </w:r>
      <w:r w:rsidR="00E74FF4">
        <w:t xml:space="preserve"> a</w:t>
      </w:r>
      <w:r w:rsidR="00B634EA">
        <w:t xml:space="preserve">nd </w:t>
      </w:r>
      <w:r w:rsidR="000B0356">
        <w:t>retu</w:t>
      </w:r>
      <w:r w:rsidR="003F1857">
        <w:t>r</w:t>
      </w:r>
      <w:r w:rsidR="000B0356">
        <w:t>ning to the workforce</w:t>
      </w:r>
      <w:r w:rsidR="00AB7858">
        <w:t xml:space="preserve">. </w:t>
      </w:r>
      <w:r w:rsidR="00096F65">
        <w:t>By</w:t>
      </w:r>
      <w:r w:rsidR="00125F09">
        <w:t xml:space="preserve"> unlocking the </w:t>
      </w:r>
      <w:r w:rsidR="009F396A">
        <w:t>individual</w:t>
      </w:r>
      <w:r w:rsidR="00575387">
        <w:t xml:space="preserve"> </w:t>
      </w:r>
      <w:r w:rsidR="00125F09">
        <w:t xml:space="preserve">potential </w:t>
      </w:r>
      <w:r w:rsidR="00575387">
        <w:t xml:space="preserve">of these </w:t>
      </w:r>
      <w:r w:rsidR="009F396A">
        <w:t>parents</w:t>
      </w:r>
      <w:r w:rsidR="00B724C2">
        <w:t xml:space="preserve">, </w:t>
      </w:r>
      <w:r w:rsidR="00096F65">
        <w:t xml:space="preserve">the service will contribute to </w:t>
      </w:r>
      <w:r w:rsidR="00C26960">
        <w:t xml:space="preserve">breaking the </w:t>
      </w:r>
      <w:r w:rsidR="00982C4C">
        <w:t xml:space="preserve">cycle of </w:t>
      </w:r>
      <w:r w:rsidR="00AB7858">
        <w:t xml:space="preserve">disadvantage and </w:t>
      </w:r>
      <w:r w:rsidR="00ED785C">
        <w:t>achieving f</w:t>
      </w:r>
      <w:r w:rsidR="007D4627">
        <w:t>inancial</w:t>
      </w:r>
      <w:r w:rsidR="00ED785C">
        <w:t xml:space="preserve"> </w:t>
      </w:r>
      <w:r w:rsidR="007D4627">
        <w:t>security</w:t>
      </w:r>
      <w:r w:rsidR="00ED785C">
        <w:t xml:space="preserve"> for </w:t>
      </w:r>
      <w:r w:rsidR="007D4627">
        <w:t>parents.</w:t>
      </w:r>
      <w:r w:rsidR="00A55878">
        <w:t xml:space="preserve"> </w:t>
      </w:r>
      <w:r w:rsidR="004D0461">
        <w:t xml:space="preserve">More broadly, </w:t>
      </w:r>
      <w:r w:rsidR="007D6D4C">
        <w:t xml:space="preserve">participation may have a </w:t>
      </w:r>
      <w:r w:rsidR="00DC503D">
        <w:t>positive</w:t>
      </w:r>
      <w:r w:rsidR="007D6D4C">
        <w:t xml:space="preserve"> </w:t>
      </w:r>
      <w:r w:rsidR="00DC503D">
        <w:t>impact</w:t>
      </w:r>
      <w:r w:rsidR="007D6D4C">
        <w:t xml:space="preserve"> on the </w:t>
      </w:r>
      <w:r w:rsidR="006B44AA">
        <w:t xml:space="preserve">mental and physical health of </w:t>
      </w:r>
      <w:r w:rsidR="00DC503D">
        <w:t>participants</w:t>
      </w:r>
      <w:r w:rsidR="006B44AA">
        <w:t xml:space="preserve"> </w:t>
      </w:r>
      <w:r w:rsidR="00DC503D">
        <w:t>through reduced isolation</w:t>
      </w:r>
      <w:r w:rsidR="004D26A9">
        <w:t>.</w:t>
      </w:r>
    </w:p>
    <w:p w14:paraId="6AE1404E" w14:textId="6600EEFB" w:rsidR="00C87472" w:rsidRDefault="00CF221A" w:rsidP="00DC503D">
      <w:r>
        <w:t>The service will also con</w:t>
      </w:r>
      <w:r w:rsidR="00BC6ADD">
        <w:t>tribute</w:t>
      </w:r>
      <w:r>
        <w:t xml:space="preserve"> to increasing workforce participation by </w:t>
      </w:r>
      <w:r w:rsidR="003268FA">
        <w:t>participants</w:t>
      </w:r>
      <w:r>
        <w:t xml:space="preserve"> who </w:t>
      </w:r>
      <w:r w:rsidR="003268FA">
        <w:t>are predominantly women.</w:t>
      </w:r>
    </w:p>
    <w:p w14:paraId="6BE8F86E" w14:textId="72EEACE2" w:rsidR="003F1857" w:rsidRDefault="00B40929" w:rsidP="00051848">
      <w:pPr>
        <w:pStyle w:val="Heading5"/>
      </w:pPr>
      <w:r>
        <w:t>Costs</w:t>
      </w:r>
    </w:p>
    <w:p w14:paraId="34662BAD" w14:textId="1589E268" w:rsidR="00B40929" w:rsidRDefault="001F222E" w:rsidP="008F71EF">
      <w:r>
        <w:t>As well as ongoing program costs, there</w:t>
      </w:r>
      <w:r w:rsidR="009C2EAF">
        <w:t xml:space="preserve"> are short term costs to </w:t>
      </w:r>
      <w:r w:rsidR="006A00CD">
        <w:t>government</w:t>
      </w:r>
      <w:r w:rsidR="009C2EAF">
        <w:t xml:space="preserve"> in delivering a new </w:t>
      </w:r>
      <w:r w:rsidR="006A00CD">
        <w:t>service</w:t>
      </w:r>
      <w:r w:rsidR="009C2EAF">
        <w:t xml:space="preserve"> for parents. These include the </w:t>
      </w:r>
      <w:r w:rsidR="001063BB">
        <w:t>costs associated with</w:t>
      </w:r>
      <w:r w:rsidR="009C2EAF">
        <w:t xml:space="preserve"> </w:t>
      </w:r>
      <w:r w:rsidR="00632CC6">
        <w:t xml:space="preserve">consultation </w:t>
      </w:r>
      <w:r w:rsidR="001063BB">
        <w:t xml:space="preserve">on servicing details and </w:t>
      </w:r>
      <w:r w:rsidR="006A00CD">
        <w:lastRenderedPageBreak/>
        <w:t>developing</w:t>
      </w:r>
      <w:r w:rsidR="009C2EAF">
        <w:t xml:space="preserve"> a </w:t>
      </w:r>
      <w:r w:rsidR="00CA0144">
        <w:t>new I</w:t>
      </w:r>
      <w:r w:rsidR="009C7EF7">
        <w:t>C</w:t>
      </w:r>
      <w:r w:rsidR="00CA0144">
        <w:t xml:space="preserve">T system </w:t>
      </w:r>
      <w:r w:rsidR="006A00CD">
        <w:t>as well as</w:t>
      </w:r>
      <w:r w:rsidR="00866C5B">
        <w:t xml:space="preserve"> </w:t>
      </w:r>
      <w:r w:rsidR="006A00CD">
        <w:t>implementation and communication costs</w:t>
      </w:r>
      <w:r w:rsidR="00225953">
        <w:t xml:space="preserve">. These costs should </w:t>
      </w:r>
      <w:r w:rsidR="0078143A">
        <w:t xml:space="preserve">lead to savings </w:t>
      </w:r>
      <w:r w:rsidR="004A0086">
        <w:t xml:space="preserve">in the long term </w:t>
      </w:r>
      <w:r w:rsidR="0078143A">
        <w:t xml:space="preserve">as parents develop their capacity and capability </w:t>
      </w:r>
      <w:r w:rsidR="0020706C">
        <w:t xml:space="preserve">to </w:t>
      </w:r>
      <w:r w:rsidR="00346CBE">
        <w:t>fulfil their education and employment goals, return</w:t>
      </w:r>
      <w:r w:rsidR="004A0086">
        <w:t>ing</w:t>
      </w:r>
      <w:r w:rsidR="00346CBE">
        <w:t xml:space="preserve"> t</w:t>
      </w:r>
      <w:r w:rsidR="004A0086">
        <w:t>o</w:t>
      </w:r>
      <w:r w:rsidR="00346CBE">
        <w:t xml:space="preserve"> the </w:t>
      </w:r>
      <w:r w:rsidR="004A0086">
        <w:t>workforce and reducing welfare expenditure.</w:t>
      </w:r>
    </w:p>
    <w:p w14:paraId="2A47A1E3" w14:textId="7D645287" w:rsidR="00591421" w:rsidRPr="00D533FF" w:rsidRDefault="00FB2629" w:rsidP="0062765D">
      <w:pPr>
        <w:pStyle w:val="Heading4"/>
        <w:rPr>
          <w:lang w:val="en-US"/>
        </w:rPr>
      </w:pPr>
      <w:r w:rsidRPr="00D533FF">
        <w:rPr>
          <w:lang w:val="en-US"/>
        </w:rPr>
        <w:t xml:space="preserve">Risks and </w:t>
      </w:r>
      <w:r w:rsidR="00C00853">
        <w:rPr>
          <w:lang w:val="en-US"/>
        </w:rPr>
        <w:t>m</w:t>
      </w:r>
      <w:r w:rsidR="00C00853" w:rsidRPr="00D533FF">
        <w:rPr>
          <w:lang w:val="en-US"/>
        </w:rPr>
        <w:t xml:space="preserve">itigation </w:t>
      </w:r>
      <w:r w:rsidR="00C00853">
        <w:rPr>
          <w:lang w:val="en-US"/>
        </w:rPr>
        <w:t>s</w:t>
      </w:r>
      <w:r w:rsidR="00C00853" w:rsidRPr="00D533FF">
        <w:rPr>
          <w:lang w:val="en-US"/>
        </w:rPr>
        <w:t xml:space="preserve">trategies </w:t>
      </w:r>
    </w:p>
    <w:p w14:paraId="40E0C833" w14:textId="77777777" w:rsidR="00051848" w:rsidRDefault="00583BDD" w:rsidP="00051848">
      <w:pPr>
        <w:pStyle w:val="Heading5"/>
      </w:pPr>
      <w:r w:rsidRPr="00051848">
        <w:t xml:space="preserve">Attracting </w:t>
      </w:r>
      <w:r w:rsidR="002B723C" w:rsidRPr="00051848">
        <w:t>Participants</w:t>
      </w:r>
      <w:r w:rsidR="00672442" w:rsidRPr="00D533FF">
        <w:t xml:space="preserve"> </w:t>
      </w:r>
    </w:p>
    <w:p w14:paraId="534BAF25" w14:textId="5036C188" w:rsidR="00BE4526" w:rsidRDefault="0094369E" w:rsidP="00D11C1D">
      <w:pPr>
        <w:keepNext/>
      </w:pPr>
      <w:r w:rsidRPr="002B723C">
        <w:t>In a voluntary program it is difficult to predict take-up</w:t>
      </w:r>
      <w:r w:rsidR="001A4D81">
        <w:t xml:space="preserve">. There is a </w:t>
      </w:r>
      <w:r w:rsidR="001A4D81" w:rsidRPr="00E95BA7">
        <w:t xml:space="preserve">risk that </w:t>
      </w:r>
      <w:r w:rsidR="00123E66" w:rsidRPr="00E95BA7">
        <w:t xml:space="preserve">parents, </w:t>
      </w:r>
      <w:r w:rsidR="00AE2439" w:rsidRPr="00E95BA7">
        <w:t xml:space="preserve">particularly </w:t>
      </w:r>
      <w:r w:rsidR="00D169D4" w:rsidRPr="00E95BA7">
        <w:t>those</w:t>
      </w:r>
      <w:r w:rsidR="00B55B92" w:rsidRPr="00E95BA7">
        <w:t xml:space="preserve"> who are most disengaged, may not </w:t>
      </w:r>
      <w:r w:rsidR="001616A2" w:rsidRPr="00E95BA7">
        <w:t>parti</w:t>
      </w:r>
      <w:r w:rsidR="00BE7DE2" w:rsidRPr="00E95BA7">
        <w:t xml:space="preserve">cipate. </w:t>
      </w:r>
      <w:r w:rsidR="00E95BA7" w:rsidRPr="00E95BA7">
        <w:t>Without mitigation, t</w:t>
      </w:r>
      <w:r w:rsidR="00BE7DE2" w:rsidRPr="00E95BA7">
        <w:t xml:space="preserve">his </w:t>
      </w:r>
      <w:r w:rsidR="00D169D4" w:rsidRPr="00E95BA7">
        <w:t>would</w:t>
      </w:r>
      <w:r w:rsidR="00BE7DE2" w:rsidRPr="00E95BA7">
        <w:t xml:space="preserve"> have </w:t>
      </w:r>
      <w:r w:rsidR="00D169D4" w:rsidRPr="00E95BA7">
        <w:t>consequential</w:t>
      </w:r>
      <w:r w:rsidR="00BE7DE2" w:rsidRPr="00E95BA7">
        <w:t xml:space="preserve"> </w:t>
      </w:r>
      <w:r w:rsidR="00D169D4" w:rsidRPr="00E95BA7">
        <w:t xml:space="preserve">impacts on the viability </w:t>
      </w:r>
      <w:r w:rsidR="005D6ADE" w:rsidRPr="00E95BA7">
        <w:t xml:space="preserve">of </w:t>
      </w:r>
      <w:r w:rsidR="00FF21E1" w:rsidRPr="00E95BA7">
        <w:t>service delivery</w:t>
      </w:r>
      <w:r w:rsidR="00F359F9" w:rsidRPr="00E95BA7">
        <w:t>.</w:t>
      </w:r>
      <w:r w:rsidR="00C00971" w:rsidRPr="00E95BA7">
        <w:t xml:space="preserve"> While t</w:t>
      </w:r>
      <w:r w:rsidR="00163B5F" w:rsidRPr="00E95BA7">
        <w:t xml:space="preserve">he </w:t>
      </w:r>
      <w:r w:rsidR="008C4006" w:rsidRPr="00E95BA7">
        <w:t xml:space="preserve">design of the </w:t>
      </w:r>
      <w:r w:rsidR="00AF6286" w:rsidRPr="00E95BA7">
        <w:t xml:space="preserve">new </w:t>
      </w:r>
      <w:r w:rsidR="00163B5F" w:rsidRPr="00E95BA7">
        <w:t>service</w:t>
      </w:r>
      <w:r w:rsidR="00AF6286" w:rsidRPr="00E95BA7">
        <w:t xml:space="preserve"> overall</w:t>
      </w:r>
      <w:r w:rsidR="00163B5F" w:rsidRPr="00E95BA7">
        <w:t xml:space="preserve"> </w:t>
      </w:r>
      <w:r w:rsidR="008C4006" w:rsidRPr="00E95BA7">
        <w:t xml:space="preserve">reflects both research and evaluation evidence on engaging </w:t>
      </w:r>
      <w:r w:rsidR="00D76570" w:rsidRPr="00E95BA7">
        <w:t xml:space="preserve">vulnerable </w:t>
      </w:r>
      <w:r w:rsidR="00A1390E" w:rsidRPr="00E95BA7">
        <w:t>parents</w:t>
      </w:r>
      <w:r w:rsidR="008C4006" w:rsidRPr="00E95BA7">
        <w:t>, as well as</w:t>
      </w:r>
      <w:r w:rsidR="008C4006" w:rsidRPr="00792E4B">
        <w:t xml:space="preserve"> feedback from parents themselves</w:t>
      </w:r>
      <w:r w:rsidR="006A2DE9">
        <w:t>, providers</w:t>
      </w:r>
      <w:r w:rsidR="000C76B4" w:rsidRPr="005D6ADE">
        <w:t xml:space="preserve"> will need to ensure that their services are relevant and attractive to parents. E</w:t>
      </w:r>
      <w:r w:rsidR="002622F0" w:rsidRPr="005D6ADE">
        <w:t>ligible parents are not obliged</w:t>
      </w:r>
      <w:r w:rsidR="002622F0">
        <w:t xml:space="preserve"> to participate in the new service</w:t>
      </w:r>
      <w:r w:rsidR="00583BDD">
        <w:t xml:space="preserve"> and there will be no compulsory activities</w:t>
      </w:r>
      <w:r w:rsidR="002622F0">
        <w:t>.</w:t>
      </w:r>
    </w:p>
    <w:p w14:paraId="307F63D7" w14:textId="4B5BD5E4" w:rsidR="00E9611C" w:rsidRPr="00610772" w:rsidRDefault="00191F2D" w:rsidP="00FB2629">
      <w:pPr>
        <w:rPr>
          <w:rFonts w:eastAsiaTheme="minorEastAsia" w:cstheme="minorHAnsi"/>
        </w:rPr>
      </w:pPr>
      <w:r>
        <w:t xml:space="preserve">The introduction of the new pre-employment service will require significant communication with parents, communities and providers. </w:t>
      </w:r>
      <w:r w:rsidR="00DB7618">
        <w:t xml:space="preserve">Parents have told the department that they want transparency and clear communication about the services that are available and to </w:t>
      </w:r>
      <w:r w:rsidR="00DB7618">
        <w:rPr>
          <w:rStyle w:val="normaltextrun"/>
          <w:rFonts w:eastAsiaTheme="minorEastAsia" w:cstheme="minorHAnsi"/>
        </w:rPr>
        <w:t xml:space="preserve">hear </w:t>
      </w:r>
      <w:r w:rsidR="00DB7618" w:rsidRPr="00FB2629">
        <w:rPr>
          <w:rStyle w:val="normaltextrun"/>
          <w:rFonts w:eastAsiaTheme="minorEastAsia" w:cstheme="minorHAnsi"/>
        </w:rPr>
        <w:t>about the benefits and expectations of the</w:t>
      </w:r>
      <w:r w:rsidR="00DB7618" w:rsidRPr="007C00F2">
        <w:rPr>
          <w:rStyle w:val="normaltextrun"/>
          <w:rFonts w:eastAsiaTheme="minorEastAsia" w:cstheme="minorHAnsi"/>
        </w:rPr>
        <w:t xml:space="preserve"> new service throughout the wider community to increase awareness and engagement</w:t>
      </w:r>
      <w:r w:rsidR="00DB7618">
        <w:rPr>
          <w:rStyle w:val="normaltextrun"/>
          <w:rFonts w:eastAsiaTheme="minorEastAsia" w:cstheme="minorHAnsi"/>
        </w:rPr>
        <w:t>.</w:t>
      </w:r>
    </w:p>
    <w:p w14:paraId="3D7C0638" w14:textId="093B4908" w:rsidR="00FB2629" w:rsidRDefault="002622F0" w:rsidP="00FB2629">
      <w:r>
        <w:t xml:space="preserve">Providers will receive specific funding to support their outreach initiatives. This will be complemented by information on </w:t>
      </w:r>
      <w:r w:rsidR="007574E6">
        <w:t xml:space="preserve">government </w:t>
      </w:r>
      <w:r>
        <w:t xml:space="preserve">websites and </w:t>
      </w:r>
      <w:r w:rsidR="00BE4526">
        <w:t xml:space="preserve">available in the community as well as messaging when potential participants engage with </w:t>
      </w:r>
      <w:r w:rsidR="007574E6">
        <w:t>g</w:t>
      </w:r>
      <w:r>
        <w:t>overnment services.</w:t>
      </w:r>
    </w:p>
    <w:p w14:paraId="5B08993E" w14:textId="506DB8B7" w:rsidR="002B723C" w:rsidRPr="7AE3B542" w:rsidRDefault="002B723C" w:rsidP="002B723C">
      <w:r>
        <w:t>The procurement process, deed, guidelines and performance framework will be designed to ensure that providers are reaching out to potential participants and are not relying on referrals of income support recipients.</w:t>
      </w:r>
    </w:p>
    <w:p w14:paraId="46E90016" w14:textId="64AF1192" w:rsidR="002622F0" w:rsidRDefault="00961DB0" w:rsidP="00961DB0">
      <w:pPr>
        <w:pStyle w:val="Heading5"/>
      </w:pPr>
      <w:r>
        <w:t xml:space="preserve">Role of </w:t>
      </w:r>
      <w:r w:rsidR="00D824F2">
        <w:t>community</w:t>
      </w:r>
      <w:r w:rsidR="00051848">
        <w:t xml:space="preserve">-based </w:t>
      </w:r>
      <w:r w:rsidR="00D824F2">
        <w:t>organisations in delivering the service</w:t>
      </w:r>
    </w:p>
    <w:p w14:paraId="296E406C" w14:textId="07C2BBFA" w:rsidR="008D0016" w:rsidRPr="0021017C" w:rsidRDefault="00F7708C" w:rsidP="008D0016">
      <w:pPr>
        <w:rPr>
          <w:lang w:eastAsia="en-AU"/>
        </w:rPr>
      </w:pPr>
      <w:r>
        <w:t>Principles</w:t>
      </w:r>
      <w:r w:rsidR="008D0016">
        <w:t xml:space="preserve"> underpinning the </w:t>
      </w:r>
      <w:r w:rsidR="004B0613">
        <w:t xml:space="preserve">new </w:t>
      </w:r>
      <w:r w:rsidR="008D0016">
        <w:t>service offer</w:t>
      </w:r>
      <w:r>
        <w:t>ing</w:t>
      </w:r>
      <w:r w:rsidR="008D0016">
        <w:t xml:space="preserve"> include that it is </w:t>
      </w:r>
      <w:r w:rsidR="008D0016" w:rsidRPr="0021017C">
        <w:rPr>
          <w:lang w:eastAsia="en-AU"/>
        </w:rPr>
        <w:t xml:space="preserve">available </w:t>
      </w:r>
      <w:r w:rsidR="00E72D76">
        <w:rPr>
          <w:lang w:eastAsia="en-AU"/>
        </w:rPr>
        <w:t xml:space="preserve">across non-remote Australia </w:t>
      </w:r>
      <w:r w:rsidR="008D0016" w:rsidRPr="0021017C">
        <w:rPr>
          <w:lang w:eastAsia="en-AU"/>
        </w:rPr>
        <w:t>but adapted and delivered locally</w:t>
      </w:r>
      <w:r w:rsidR="008D0016">
        <w:rPr>
          <w:lang w:eastAsia="en-AU"/>
        </w:rPr>
        <w:t xml:space="preserve"> </w:t>
      </w:r>
      <w:r w:rsidR="008D0016" w:rsidRPr="0021017C">
        <w:rPr>
          <w:lang w:eastAsia="en-AU"/>
        </w:rPr>
        <w:t>in partnership with parents and other local communit</w:t>
      </w:r>
      <w:r w:rsidR="008D0016">
        <w:rPr>
          <w:lang w:eastAsia="en-AU"/>
        </w:rPr>
        <w:t>y</w:t>
      </w:r>
      <w:r w:rsidR="008D0016" w:rsidRPr="0021017C">
        <w:rPr>
          <w:lang w:eastAsia="en-AU"/>
        </w:rPr>
        <w:t xml:space="preserve"> service organisations.</w:t>
      </w:r>
    </w:p>
    <w:p w14:paraId="671D61B4" w14:textId="29EF272A" w:rsidR="00DF7979" w:rsidRDefault="00DF7979" w:rsidP="00DF7979">
      <w:r w:rsidRPr="00610772">
        <w:t xml:space="preserve">Through the procurement process, it is expected that </w:t>
      </w:r>
      <w:r w:rsidR="00335107">
        <w:t>organisations</w:t>
      </w:r>
      <w:r w:rsidRPr="00610772">
        <w:t xml:space="preserve"> will be aware of the number of potential participants in the locations for which they bid. The number of providers in a location may vary depending on the number of potential participants and their characteristics.</w:t>
      </w:r>
    </w:p>
    <w:p w14:paraId="54F74BA5" w14:textId="485F6503" w:rsidR="00C364B2" w:rsidRDefault="008A5D2F" w:rsidP="00C364B2">
      <w:r w:rsidRPr="0062765D">
        <w:t xml:space="preserve">A diversity of providers will be sought. </w:t>
      </w:r>
      <w:r w:rsidR="002E3726" w:rsidRPr="0062765D">
        <w:t xml:space="preserve">Smaller local organisations </w:t>
      </w:r>
      <w:r w:rsidR="00F21FFD" w:rsidRPr="0062765D">
        <w:t xml:space="preserve">may have the local connections with other services and potential participants </w:t>
      </w:r>
      <w:r w:rsidR="002E3726" w:rsidRPr="0062765D">
        <w:t xml:space="preserve">in their communities </w:t>
      </w:r>
      <w:r w:rsidR="00F21FFD" w:rsidRPr="0062765D">
        <w:t xml:space="preserve">that will be essential to delivering the new service. However, they may </w:t>
      </w:r>
      <w:r w:rsidR="00E668BE" w:rsidRPr="0062765D">
        <w:t xml:space="preserve">not have previously </w:t>
      </w:r>
      <w:r w:rsidR="0057748B" w:rsidRPr="0062765D">
        <w:t xml:space="preserve">competed in a </w:t>
      </w:r>
      <w:r w:rsidR="008D0016" w:rsidRPr="0062765D">
        <w:t>procurement proces</w:t>
      </w:r>
      <w:r w:rsidR="0001673D" w:rsidRPr="0062765D">
        <w:t xml:space="preserve">s or provided </w:t>
      </w:r>
      <w:r w:rsidR="00BA09E1" w:rsidRPr="0062765D">
        <w:t>services</w:t>
      </w:r>
      <w:r w:rsidR="0001673D" w:rsidRPr="0062765D">
        <w:t xml:space="preserve"> as part of a national program.</w:t>
      </w:r>
      <w:r w:rsidR="000C296F">
        <w:t xml:space="preserve"> </w:t>
      </w:r>
      <w:r w:rsidR="00EE1A55">
        <w:t>Addi</w:t>
      </w:r>
      <w:r w:rsidR="003E5024">
        <w:t>tio</w:t>
      </w:r>
      <w:r w:rsidR="00EE1A55">
        <w:t xml:space="preserve">nal support will </w:t>
      </w:r>
      <w:r w:rsidR="003E5024">
        <w:t>be</w:t>
      </w:r>
      <w:r w:rsidR="00EE1A55">
        <w:t xml:space="preserve"> available to </w:t>
      </w:r>
      <w:r w:rsidR="00E61B6C">
        <w:t xml:space="preserve">build the capacity of </w:t>
      </w:r>
      <w:r w:rsidR="00EE1A55">
        <w:t xml:space="preserve">small organisations engaged to </w:t>
      </w:r>
      <w:r w:rsidR="003E5024">
        <w:t>provide</w:t>
      </w:r>
      <w:r w:rsidR="00EE1A55">
        <w:t xml:space="preserve"> the services.</w:t>
      </w:r>
    </w:p>
    <w:p w14:paraId="4C380379" w14:textId="284D1B75" w:rsidR="00D527F8" w:rsidRPr="005C394D" w:rsidRDefault="00D527F8" w:rsidP="00E85C23">
      <w:pPr>
        <w:pStyle w:val="Heading3"/>
        <w:rPr>
          <w:lang w:val="en-US"/>
        </w:rPr>
      </w:pPr>
      <w:bookmarkStart w:id="68" w:name="_Toc151123119"/>
      <w:r w:rsidRPr="005C394D">
        <w:rPr>
          <w:lang w:val="en-US"/>
        </w:rPr>
        <w:t>Regul</w:t>
      </w:r>
      <w:r w:rsidR="000B6EAB">
        <w:rPr>
          <w:lang w:val="en-US"/>
        </w:rPr>
        <w:t>a</w:t>
      </w:r>
      <w:r w:rsidRPr="005C394D">
        <w:rPr>
          <w:lang w:val="en-US"/>
        </w:rPr>
        <w:t xml:space="preserve">tory </w:t>
      </w:r>
      <w:r w:rsidR="00183BBE">
        <w:rPr>
          <w:lang w:val="en-US"/>
        </w:rPr>
        <w:t>c</w:t>
      </w:r>
      <w:r w:rsidR="00183BBE" w:rsidRPr="005C394D">
        <w:rPr>
          <w:lang w:val="en-US"/>
        </w:rPr>
        <w:t>osts</w:t>
      </w:r>
      <w:bookmarkEnd w:id="68"/>
    </w:p>
    <w:p w14:paraId="2A1FEEA5" w14:textId="01ADBD31" w:rsidR="00DF7979" w:rsidRDefault="00D527F8" w:rsidP="00C364B2">
      <w:r>
        <w:t>Regulatory costs associated with Option 2 are provided in Table</w:t>
      </w:r>
      <w:r w:rsidR="00E40825">
        <w:t>s</w:t>
      </w:r>
      <w:r>
        <w:t xml:space="preserve"> </w:t>
      </w:r>
      <w:r w:rsidR="00E40825">
        <w:t xml:space="preserve">4 and 5 </w:t>
      </w:r>
      <w:r>
        <w:t>and are based on the Regulatory Burden Measurement Framework</w:t>
      </w:r>
      <w:r w:rsidR="00816771">
        <w:t>. Th</w:t>
      </w:r>
      <w:r w:rsidR="00BD53EB">
        <w:t>ese</w:t>
      </w:r>
      <w:r w:rsidR="00816771">
        <w:t xml:space="preserve"> regulatory costs </w:t>
      </w:r>
      <w:r w:rsidR="00F42435">
        <w:t xml:space="preserve">cover the extension of the </w:t>
      </w:r>
      <w:r w:rsidR="00F42435">
        <w:lastRenderedPageBreak/>
        <w:t xml:space="preserve">ParentsNext program for the period July 2024 to </w:t>
      </w:r>
      <w:r w:rsidR="00F5380A">
        <w:t>October 2024</w:t>
      </w:r>
      <w:r w:rsidR="00F42435">
        <w:t xml:space="preserve"> as well as the operation of the ne</w:t>
      </w:r>
      <w:r w:rsidR="00BD53EB">
        <w:t>w</w:t>
      </w:r>
      <w:r w:rsidR="00F42435">
        <w:t xml:space="preserve"> service f</w:t>
      </w:r>
      <w:r w:rsidR="000C51AE">
        <w:t>ro</w:t>
      </w:r>
      <w:r w:rsidR="00F42435">
        <w:t xml:space="preserve">m </w:t>
      </w:r>
      <w:r w:rsidR="00F5380A">
        <w:t>November 2024</w:t>
      </w:r>
      <w:r w:rsidR="00F42435">
        <w:t xml:space="preserve">. </w:t>
      </w:r>
      <w:r w:rsidR="00D63869">
        <w:t xml:space="preserve">They arise </w:t>
      </w:r>
      <w:r w:rsidR="008567D8">
        <w:rPr>
          <w:rFonts w:cstheme="minorHAnsi"/>
          <w:color w:val="000000" w:themeColor="text1"/>
        </w:rPr>
        <w:t>mainly</w:t>
      </w:r>
      <w:r w:rsidR="00502C9B">
        <w:rPr>
          <w:rFonts w:cstheme="minorHAnsi"/>
          <w:color w:val="000000" w:themeColor="text1"/>
        </w:rPr>
        <w:t xml:space="preserve"> from businesses and community organisations that deliver the services undertaking essential contractual activities.</w:t>
      </w:r>
    </w:p>
    <w:p w14:paraId="3F1CF1C2" w14:textId="41586837" w:rsidR="000B6EAB" w:rsidRDefault="00D538D7" w:rsidP="00C364B2">
      <w:r>
        <w:t xml:space="preserve">Regulatory </w:t>
      </w:r>
      <w:r w:rsidR="00A06DF0">
        <w:t xml:space="preserve">burden is assessed by comparison with </w:t>
      </w:r>
      <w:r w:rsidR="008173EB">
        <w:t>O</w:t>
      </w:r>
      <w:r w:rsidR="00A06DF0">
        <w:t xml:space="preserve">ption 1. </w:t>
      </w:r>
      <w:r w:rsidR="00816771">
        <w:t>Assumptions underlying these costs are set out at Appendix A</w:t>
      </w:r>
      <w:r w:rsidR="00BD53EB">
        <w:t>.</w:t>
      </w:r>
    </w:p>
    <w:p w14:paraId="529E0A34" w14:textId="21C85011" w:rsidR="009A555B" w:rsidRPr="00520A33" w:rsidRDefault="009A555B" w:rsidP="007F21B3">
      <w:pPr>
        <w:pStyle w:val="Caption"/>
        <w:keepNext/>
      </w:pPr>
      <w:r>
        <w:fldChar w:fldCharType="begin"/>
      </w:r>
      <w:r>
        <w:instrText>TOC \o "1-3" \h \z \u</w:instrText>
      </w:r>
      <w:r>
        <w:fldChar w:fldCharType="end"/>
      </w:r>
      <w:r w:rsidRPr="00520A33">
        <w:t xml:space="preserve">Table </w:t>
      </w:r>
      <w:r w:rsidR="006A3D08">
        <w:t>4</w:t>
      </w:r>
      <w:r w:rsidRPr="00520A33">
        <w:t xml:space="preserve">: </w:t>
      </w:r>
      <w:r>
        <w:t>Re</w:t>
      </w:r>
      <w:r w:rsidR="00634B2C">
        <w:t xml:space="preserve">gulatory burden estimate table </w:t>
      </w:r>
      <w:r w:rsidR="0031149B">
        <w:t>for</w:t>
      </w:r>
      <w:r w:rsidR="00634B2C">
        <w:t xml:space="preserve"> Option 2</w:t>
      </w:r>
      <w:r w:rsidR="00BF0088">
        <w:t xml:space="preserve"> – New </w:t>
      </w:r>
      <w:r w:rsidR="00610569">
        <w:t>Service</w:t>
      </w:r>
      <w:r w:rsidR="00532D45">
        <w:t xml:space="preserve"> – </w:t>
      </w:r>
      <w:r w:rsidR="009D2113">
        <w:t>average a</w:t>
      </w:r>
      <w:r w:rsidR="00532D45">
        <w:t>nnual regulatory costs</w:t>
      </w:r>
    </w:p>
    <w:tbl>
      <w:tblPr>
        <w:tblStyle w:val="DESE"/>
        <w:tblW w:w="0" w:type="auto"/>
        <w:tblLook w:val="04A0" w:firstRow="1" w:lastRow="0" w:firstColumn="1" w:lastColumn="0" w:noHBand="0" w:noVBand="1"/>
      </w:tblPr>
      <w:tblGrid>
        <w:gridCol w:w="1948"/>
        <w:gridCol w:w="1950"/>
        <w:gridCol w:w="1950"/>
        <w:gridCol w:w="1606"/>
        <w:gridCol w:w="1606"/>
      </w:tblGrid>
      <w:tr w:rsidR="009A555B" w14:paraId="49C4466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8" w:type="dxa"/>
          </w:tcPr>
          <w:p w14:paraId="1C5AA5D8" w14:textId="77777777" w:rsidR="009A555B" w:rsidRPr="00861934" w:rsidRDefault="009A555B" w:rsidP="007F21B3">
            <w:pPr>
              <w:keepNext/>
              <w:rPr>
                <w:b/>
                <w:bCs/>
              </w:rPr>
            </w:pPr>
            <w:r>
              <w:rPr>
                <w:b/>
                <w:bCs/>
              </w:rPr>
              <w:t>Change in costs ($million)</w:t>
            </w:r>
          </w:p>
        </w:tc>
        <w:tc>
          <w:tcPr>
            <w:tcW w:w="1950" w:type="dxa"/>
          </w:tcPr>
          <w:p w14:paraId="5C9915AD" w14:textId="0D30AE1A" w:rsidR="009A555B" w:rsidRDefault="009A555B" w:rsidP="007F21B3">
            <w:pPr>
              <w:keepNext/>
              <w:cnfStyle w:val="100000000000" w:firstRow="1" w:lastRow="0" w:firstColumn="0" w:lastColumn="0" w:oddVBand="0" w:evenVBand="0" w:oddHBand="0" w:evenHBand="0" w:firstRowFirstColumn="0" w:firstRowLastColumn="0" w:lastRowFirstColumn="0" w:lastRowLastColumn="0"/>
            </w:pPr>
            <w:r>
              <w:t>Business</w:t>
            </w:r>
            <w:r w:rsidR="002F7F3A">
              <w:t xml:space="preserve"> engaged by government to deliver the new service</w:t>
            </w:r>
            <w:r w:rsidR="00EB572A">
              <w:t>*</w:t>
            </w:r>
          </w:p>
        </w:tc>
        <w:tc>
          <w:tcPr>
            <w:tcW w:w="1950" w:type="dxa"/>
          </w:tcPr>
          <w:p w14:paraId="77E16F40" w14:textId="77D21B32" w:rsidR="009A555B" w:rsidRDefault="009A555B" w:rsidP="007F21B3">
            <w:pPr>
              <w:keepNext/>
              <w:cnfStyle w:val="100000000000" w:firstRow="1" w:lastRow="0" w:firstColumn="0" w:lastColumn="0" w:oddVBand="0" w:evenVBand="0" w:oddHBand="0" w:evenHBand="0" w:firstRowFirstColumn="0" w:firstRowLastColumn="0" w:lastRowFirstColumn="0" w:lastRowLastColumn="0"/>
            </w:pPr>
            <w:r>
              <w:t>Community organisations</w:t>
            </w:r>
            <w:r w:rsidR="002F7F3A">
              <w:t xml:space="preserve"> engaged by government to deliver the new service</w:t>
            </w:r>
            <w:r w:rsidR="00EB572A">
              <w:t>*</w:t>
            </w:r>
          </w:p>
        </w:tc>
        <w:tc>
          <w:tcPr>
            <w:tcW w:w="1606" w:type="dxa"/>
          </w:tcPr>
          <w:p w14:paraId="1E75EF8D" w14:textId="77777777" w:rsidR="009A555B" w:rsidRDefault="009A555B" w:rsidP="007F21B3">
            <w:pPr>
              <w:keepNext/>
              <w:cnfStyle w:val="100000000000" w:firstRow="1" w:lastRow="0" w:firstColumn="0" w:lastColumn="0" w:oddVBand="0" w:evenVBand="0" w:oddHBand="0" w:evenHBand="0" w:firstRowFirstColumn="0" w:firstRowLastColumn="0" w:lastRowFirstColumn="0" w:lastRowLastColumn="0"/>
            </w:pPr>
            <w:r>
              <w:t>Individuals</w:t>
            </w:r>
          </w:p>
        </w:tc>
        <w:tc>
          <w:tcPr>
            <w:tcW w:w="1606" w:type="dxa"/>
          </w:tcPr>
          <w:p w14:paraId="2D73AD18" w14:textId="77777777" w:rsidR="009A555B" w:rsidRDefault="009A555B" w:rsidP="007F21B3">
            <w:pPr>
              <w:keepNext/>
              <w:cnfStyle w:val="100000000000" w:firstRow="1" w:lastRow="0" w:firstColumn="0" w:lastColumn="0" w:oddVBand="0" w:evenVBand="0" w:oddHBand="0" w:evenHBand="0" w:firstRowFirstColumn="0" w:firstRowLastColumn="0" w:lastRowFirstColumn="0" w:lastRowLastColumn="0"/>
            </w:pPr>
            <w:r>
              <w:t>Total change in costs</w:t>
            </w:r>
          </w:p>
        </w:tc>
      </w:tr>
      <w:tr w:rsidR="009A555B" w:rsidRPr="00554948" w14:paraId="6615CE8D" w14:textId="77777777">
        <w:tc>
          <w:tcPr>
            <w:cnfStyle w:val="001000000000" w:firstRow="0" w:lastRow="0" w:firstColumn="1" w:lastColumn="0" w:oddVBand="0" w:evenVBand="0" w:oddHBand="0" w:evenHBand="0" w:firstRowFirstColumn="0" w:firstRowLastColumn="0" w:lastRowFirstColumn="0" w:lastRowLastColumn="0"/>
            <w:tcW w:w="1948" w:type="dxa"/>
          </w:tcPr>
          <w:p w14:paraId="09CD278C" w14:textId="77777777" w:rsidR="009A555B" w:rsidRPr="004B1EB2" w:rsidRDefault="009A555B">
            <w:pPr>
              <w:rPr>
                <w:b/>
                <w:bCs/>
              </w:rPr>
            </w:pPr>
            <w:r w:rsidRPr="004B1EB2">
              <w:rPr>
                <w:b/>
                <w:bCs/>
              </w:rPr>
              <w:t>Total by sector</w:t>
            </w:r>
          </w:p>
        </w:tc>
        <w:tc>
          <w:tcPr>
            <w:tcW w:w="1950" w:type="dxa"/>
          </w:tcPr>
          <w:p w14:paraId="1E72E8B3" w14:textId="03C5DB8A" w:rsidR="009A555B" w:rsidRPr="004B1EB2" w:rsidRDefault="009A555B">
            <w:pPr>
              <w:cnfStyle w:val="000000000000" w:firstRow="0" w:lastRow="0" w:firstColumn="0" w:lastColumn="0" w:oddVBand="0" w:evenVBand="0" w:oddHBand="0" w:evenHBand="0" w:firstRowFirstColumn="0" w:firstRowLastColumn="0" w:lastRowFirstColumn="0" w:lastRowLastColumn="0"/>
            </w:pPr>
            <w:r w:rsidRPr="004B1EB2">
              <w:t>$</w:t>
            </w:r>
            <w:r w:rsidR="00D97A88">
              <w:t>1.76</w:t>
            </w:r>
          </w:p>
        </w:tc>
        <w:tc>
          <w:tcPr>
            <w:tcW w:w="1950" w:type="dxa"/>
          </w:tcPr>
          <w:p w14:paraId="3955CF67" w14:textId="5A75748D" w:rsidR="009A555B" w:rsidRPr="004B1EB2" w:rsidRDefault="009A555B">
            <w:pPr>
              <w:cnfStyle w:val="000000000000" w:firstRow="0" w:lastRow="0" w:firstColumn="0" w:lastColumn="0" w:oddVBand="0" w:evenVBand="0" w:oddHBand="0" w:evenHBand="0" w:firstRowFirstColumn="0" w:firstRowLastColumn="0" w:lastRowFirstColumn="0" w:lastRowLastColumn="0"/>
            </w:pPr>
            <w:r w:rsidRPr="004B1EB2">
              <w:t>$</w:t>
            </w:r>
            <w:r w:rsidR="007637D2">
              <w:t>7.02</w:t>
            </w:r>
          </w:p>
        </w:tc>
        <w:tc>
          <w:tcPr>
            <w:tcW w:w="1606" w:type="dxa"/>
          </w:tcPr>
          <w:p w14:paraId="2C027AFC" w14:textId="20B73A92" w:rsidR="009A555B" w:rsidRPr="004B1EB2" w:rsidRDefault="009A555B">
            <w:pPr>
              <w:cnfStyle w:val="000000000000" w:firstRow="0" w:lastRow="0" w:firstColumn="0" w:lastColumn="0" w:oddVBand="0" w:evenVBand="0" w:oddHBand="0" w:evenHBand="0" w:firstRowFirstColumn="0" w:firstRowLastColumn="0" w:lastRowFirstColumn="0" w:lastRowLastColumn="0"/>
            </w:pPr>
            <w:r w:rsidRPr="004B1EB2">
              <w:t>$</w:t>
            </w:r>
            <w:r w:rsidR="009007EC" w:rsidRPr="004B1EB2">
              <w:t>0</w:t>
            </w:r>
            <w:r w:rsidR="00DE39D6" w:rsidRPr="004B1EB2">
              <w:t>.0</w:t>
            </w:r>
            <w:r w:rsidR="00C301A9" w:rsidRPr="004B1EB2">
              <w:t>0</w:t>
            </w:r>
          </w:p>
        </w:tc>
        <w:tc>
          <w:tcPr>
            <w:tcW w:w="1606" w:type="dxa"/>
          </w:tcPr>
          <w:p w14:paraId="7634E3D8" w14:textId="4A93D9D6" w:rsidR="009A555B" w:rsidRPr="004B1EB2" w:rsidRDefault="009A555B">
            <w:pPr>
              <w:cnfStyle w:val="000000000000" w:firstRow="0" w:lastRow="0" w:firstColumn="0" w:lastColumn="0" w:oddVBand="0" w:evenVBand="0" w:oddHBand="0" w:evenHBand="0" w:firstRowFirstColumn="0" w:firstRowLastColumn="0" w:lastRowFirstColumn="0" w:lastRowLastColumn="0"/>
            </w:pPr>
            <w:r w:rsidRPr="004B1EB2">
              <w:t>$</w:t>
            </w:r>
            <w:r w:rsidR="007637D2">
              <w:t>8.78</w:t>
            </w:r>
          </w:p>
        </w:tc>
      </w:tr>
    </w:tbl>
    <w:p w14:paraId="4647839F" w14:textId="57AF91A7" w:rsidR="00EB572A" w:rsidRDefault="00EB572A" w:rsidP="00EB572A">
      <w:pPr>
        <w:rPr>
          <w:lang w:val="en-US"/>
        </w:rPr>
      </w:pPr>
      <w:bookmarkStart w:id="69" w:name="_Hlk145779968"/>
      <w:r w:rsidRPr="00194EA5">
        <w:rPr>
          <w:lang w:val="en-US"/>
        </w:rPr>
        <w:t xml:space="preserve">* Almost 100% of these costs relate only to compliance costs, primarily record keeping and reporting costs, for businesses and community organisations that are engaged to deliver the services on behalf of government. </w:t>
      </w:r>
      <w:r w:rsidR="00DE39D6">
        <w:rPr>
          <w:lang w:val="en-US"/>
        </w:rPr>
        <w:t>This table</w:t>
      </w:r>
      <w:r w:rsidR="00DE39D6" w:rsidRPr="00F02AA0">
        <w:rPr>
          <w:lang w:val="en-US"/>
        </w:rPr>
        <w:t xml:space="preserve"> do</w:t>
      </w:r>
      <w:r w:rsidR="00DE39D6">
        <w:rPr>
          <w:lang w:val="en-US"/>
        </w:rPr>
        <w:t xml:space="preserve">es </w:t>
      </w:r>
      <w:r w:rsidRPr="00194EA5">
        <w:rPr>
          <w:lang w:val="en-US"/>
        </w:rPr>
        <w:t>not factor in the revenue providers receive to deliver the services.</w:t>
      </w:r>
    </w:p>
    <w:p w14:paraId="78A6BFC3" w14:textId="20589694" w:rsidR="00BF0088" w:rsidRPr="00520A33" w:rsidRDefault="00BF0088" w:rsidP="00FD5AFA">
      <w:pPr>
        <w:pStyle w:val="Caption"/>
        <w:keepNext/>
        <w:keepLines/>
      </w:pPr>
      <w:r>
        <w:fldChar w:fldCharType="begin"/>
      </w:r>
      <w:r>
        <w:instrText>TOC \o "1-3" \h \z \u</w:instrText>
      </w:r>
      <w:r>
        <w:fldChar w:fldCharType="end"/>
      </w:r>
      <w:r w:rsidRPr="00520A33">
        <w:t xml:space="preserve">Table </w:t>
      </w:r>
      <w:r w:rsidR="006A3D08">
        <w:t>5</w:t>
      </w:r>
      <w:r w:rsidRPr="00520A33">
        <w:t xml:space="preserve">: </w:t>
      </w:r>
      <w:r>
        <w:t>Regulatory burden estimate table for Option 2</w:t>
      </w:r>
      <w:r w:rsidR="00610569">
        <w:t xml:space="preserve"> – ParentsNext </w:t>
      </w:r>
      <w:r w:rsidR="00D74BB2">
        <w:t xml:space="preserve">4 </w:t>
      </w:r>
      <w:r w:rsidR="00E471FE">
        <w:t>month</w:t>
      </w:r>
      <w:r w:rsidR="009577DA">
        <w:t>s</w:t>
      </w:r>
      <w:r w:rsidR="00E471FE">
        <w:t xml:space="preserve"> e</w:t>
      </w:r>
      <w:r w:rsidR="00610569">
        <w:t>xtension</w:t>
      </w:r>
      <w:r w:rsidR="00532D45">
        <w:t xml:space="preserve"> – </w:t>
      </w:r>
      <w:r w:rsidR="009577DA">
        <w:t>e</w:t>
      </w:r>
      <w:r w:rsidR="00532D45">
        <w:t>stimated regulatory costs</w:t>
      </w:r>
    </w:p>
    <w:tbl>
      <w:tblPr>
        <w:tblStyle w:val="DESE"/>
        <w:tblW w:w="0" w:type="auto"/>
        <w:tblLook w:val="04A0" w:firstRow="1" w:lastRow="0" w:firstColumn="1" w:lastColumn="0" w:noHBand="0" w:noVBand="1"/>
      </w:tblPr>
      <w:tblGrid>
        <w:gridCol w:w="1948"/>
        <w:gridCol w:w="1950"/>
        <w:gridCol w:w="1950"/>
        <w:gridCol w:w="1606"/>
        <w:gridCol w:w="1606"/>
      </w:tblGrid>
      <w:tr w:rsidR="00FB7FE5" w14:paraId="00ECA975" w14:textId="77777777" w:rsidTr="006203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8" w:type="dxa"/>
          </w:tcPr>
          <w:p w14:paraId="48488349" w14:textId="77777777" w:rsidR="00FB7FE5" w:rsidRPr="00861934" w:rsidRDefault="00FB7FE5" w:rsidP="00FD5AFA">
            <w:pPr>
              <w:keepNext/>
              <w:keepLines/>
              <w:rPr>
                <w:b/>
                <w:bCs/>
              </w:rPr>
            </w:pPr>
            <w:r>
              <w:rPr>
                <w:b/>
                <w:bCs/>
              </w:rPr>
              <w:t>Change in costs ($million)</w:t>
            </w:r>
          </w:p>
        </w:tc>
        <w:tc>
          <w:tcPr>
            <w:tcW w:w="1950" w:type="dxa"/>
          </w:tcPr>
          <w:p w14:paraId="20E15F90" w14:textId="66D3E4E6" w:rsidR="00FB7FE5" w:rsidRDefault="00FB7FE5" w:rsidP="00FD5AFA">
            <w:pPr>
              <w:keepNext/>
              <w:keepLines/>
              <w:cnfStyle w:val="100000000000" w:firstRow="1" w:lastRow="0" w:firstColumn="0" w:lastColumn="0" w:oddVBand="0" w:evenVBand="0" w:oddHBand="0" w:evenHBand="0" w:firstRowFirstColumn="0" w:firstRowLastColumn="0" w:lastRowFirstColumn="0" w:lastRowLastColumn="0"/>
            </w:pPr>
            <w:r>
              <w:t>Business</w:t>
            </w:r>
            <w:r w:rsidR="002F7F3A">
              <w:t xml:space="preserve"> engaged by government to deliver the new service</w:t>
            </w:r>
            <w:r w:rsidR="00EB572A">
              <w:t>*</w:t>
            </w:r>
          </w:p>
        </w:tc>
        <w:tc>
          <w:tcPr>
            <w:tcW w:w="1950" w:type="dxa"/>
          </w:tcPr>
          <w:p w14:paraId="011BDB34" w14:textId="4E210FE6" w:rsidR="00FB7FE5" w:rsidRDefault="00FB7FE5" w:rsidP="00FD5AFA">
            <w:pPr>
              <w:keepNext/>
              <w:keepLines/>
              <w:cnfStyle w:val="100000000000" w:firstRow="1" w:lastRow="0" w:firstColumn="0" w:lastColumn="0" w:oddVBand="0" w:evenVBand="0" w:oddHBand="0" w:evenHBand="0" w:firstRowFirstColumn="0" w:firstRowLastColumn="0" w:lastRowFirstColumn="0" w:lastRowLastColumn="0"/>
            </w:pPr>
            <w:r>
              <w:t>Community organisations</w:t>
            </w:r>
            <w:r w:rsidR="002F7F3A">
              <w:t xml:space="preserve"> engaged by government to deliver the new service</w:t>
            </w:r>
            <w:r w:rsidR="00EB572A">
              <w:t>*</w:t>
            </w:r>
          </w:p>
        </w:tc>
        <w:tc>
          <w:tcPr>
            <w:tcW w:w="1606" w:type="dxa"/>
          </w:tcPr>
          <w:p w14:paraId="24B4FCBC" w14:textId="77777777" w:rsidR="00FB7FE5" w:rsidRDefault="00FB7FE5" w:rsidP="00FD5AFA">
            <w:pPr>
              <w:keepNext/>
              <w:keepLines/>
              <w:cnfStyle w:val="100000000000" w:firstRow="1" w:lastRow="0" w:firstColumn="0" w:lastColumn="0" w:oddVBand="0" w:evenVBand="0" w:oddHBand="0" w:evenHBand="0" w:firstRowFirstColumn="0" w:firstRowLastColumn="0" w:lastRowFirstColumn="0" w:lastRowLastColumn="0"/>
            </w:pPr>
            <w:r>
              <w:t>Individuals</w:t>
            </w:r>
          </w:p>
        </w:tc>
        <w:tc>
          <w:tcPr>
            <w:tcW w:w="1606" w:type="dxa"/>
          </w:tcPr>
          <w:p w14:paraId="4E507D88" w14:textId="77777777" w:rsidR="00FB7FE5" w:rsidRDefault="00FB7FE5" w:rsidP="00FD5AFA">
            <w:pPr>
              <w:keepNext/>
              <w:keepLines/>
              <w:cnfStyle w:val="100000000000" w:firstRow="1" w:lastRow="0" w:firstColumn="0" w:lastColumn="0" w:oddVBand="0" w:evenVBand="0" w:oddHBand="0" w:evenHBand="0" w:firstRowFirstColumn="0" w:firstRowLastColumn="0" w:lastRowFirstColumn="0" w:lastRowLastColumn="0"/>
            </w:pPr>
            <w:r>
              <w:t>Total change in costs</w:t>
            </w:r>
          </w:p>
        </w:tc>
      </w:tr>
      <w:tr w:rsidR="00FB7FE5" w14:paraId="10DABA88" w14:textId="77777777" w:rsidTr="00620312">
        <w:tc>
          <w:tcPr>
            <w:cnfStyle w:val="001000000000" w:firstRow="0" w:lastRow="0" w:firstColumn="1" w:lastColumn="0" w:oddVBand="0" w:evenVBand="0" w:oddHBand="0" w:evenHBand="0" w:firstRowFirstColumn="0" w:firstRowLastColumn="0" w:lastRowFirstColumn="0" w:lastRowLastColumn="0"/>
            <w:tcW w:w="1948" w:type="dxa"/>
          </w:tcPr>
          <w:p w14:paraId="122D9D9C" w14:textId="77777777" w:rsidR="00FB7FE5" w:rsidRPr="00BB7F21" w:rsidRDefault="00FB7FE5" w:rsidP="00FD5AFA">
            <w:pPr>
              <w:keepNext/>
              <w:keepLines/>
              <w:rPr>
                <w:b/>
                <w:bCs/>
              </w:rPr>
            </w:pPr>
            <w:r w:rsidRPr="00BB7F21">
              <w:rPr>
                <w:b/>
                <w:bCs/>
              </w:rPr>
              <w:t>Total by sector</w:t>
            </w:r>
          </w:p>
        </w:tc>
        <w:tc>
          <w:tcPr>
            <w:tcW w:w="1950" w:type="dxa"/>
          </w:tcPr>
          <w:p w14:paraId="7B0434AC" w14:textId="5D258028" w:rsidR="00FB7FE5" w:rsidRPr="00BB7F21" w:rsidRDefault="00FB7FE5" w:rsidP="00FD5AFA">
            <w:pPr>
              <w:keepNext/>
              <w:keepLines/>
              <w:cnfStyle w:val="000000000000" w:firstRow="0" w:lastRow="0" w:firstColumn="0" w:lastColumn="0" w:oddVBand="0" w:evenVBand="0" w:oddHBand="0" w:evenHBand="0" w:firstRowFirstColumn="0" w:firstRowLastColumn="0" w:lastRowFirstColumn="0" w:lastRowLastColumn="0"/>
            </w:pPr>
            <w:r w:rsidRPr="00BB7F21">
              <w:t>$</w:t>
            </w:r>
            <w:r w:rsidR="00630FC8">
              <w:t>0.79</w:t>
            </w:r>
          </w:p>
        </w:tc>
        <w:tc>
          <w:tcPr>
            <w:tcW w:w="1950" w:type="dxa"/>
          </w:tcPr>
          <w:p w14:paraId="6B65AF5E" w14:textId="02B26051" w:rsidR="00FB7FE5" w:rsidRPr="00BB7F21" w:rsidRDefault="00FB7FE5" w:rsidP="00FD5AFA">
            <w:pPr>
              <w:keepNext/>
              <w:keepLines/>
              <w:cnfStyle w:val="000000000000" w:firstRow="0" w:lastRow="0" w:firstColumn="0" w:lastColumn="0" w:oddVBand="0" w:evenVBand="0" w:oddHBand="0" w:evenHBand="0" w:firstRowFirstColumn="0" w:firstRowLastColumn="0" w:lastRowFirstColumn="0" w:lastRowLastColumn="0"/>
            </w:pPr>
            <w:r w:rsidRPr="00BB7F21">
              <w:t>$</w:t>
            </w:r>
            <w:r w:rsidR="00630FC8">
              <w:t>3.14</w:t>
            </w:r>
          </w:p>
        </w:tc>
        <w:tc>
          <w:tcPr>
            <w:tcW w:w="1606" w:type="dxa"/>
          </w:tcPr>
          <w:p w14:paraId="37059B91" w14:textId="7A380C9D" w:rsidR="00FB7FE5" w:rsidRPr="00BB7F21" w:rsidRDefault="00FB7FE5" w:rsidP="00FD5AFA">
            <w:pPr>
              <w:keepNext/>
              <w:keepLines/>
              <w:cnfStyle w:val="000000000000" w:firstRow="0" w:lastRow="0" w:firstColumn="0" w:lastColumn="0" w:oddVBand="0" w:evenVBand="0" w:oddHBand="0" w:evenHBand="0" w:firstRowFirstColumn="0" w:firstRowLastColumn="0" w:lastRowFirstColumn="0" w:lastRowLastColumn="0"/>
            </w:pPr>
            <w:r w:rsidRPr="00BB7F21">
              <w:t>$0</w:t>
            </w:r>
            <w:r w:rsidR="00554948" w:rsidRPr="00BB7F21">
              <w:t>.0</w:t>
            </w:r>
            <w:r w:rsidR="00434860" w:rsidRPr="00BB7F21">
              <w:t>1</w:t>
            </w:r>
          </w:p>
        </w:tc>
        <w:tc>
          <w:tcPr>
            <w:tcW w:w="1606" w:type="dxa"/>
          </w:tcPr>
          <w:p w14:paraId="6D2DCB3C" w14:textId="1025C3F1" w:rsidR="00FB7FE5" w:rsidRPr="009D2818" w:rsidRDefault="00FB7FE5" w:rsidP="00FD5AFA">
            <w:pPr>
              <w:keepNext/>
              <w:keepLines/>
              <w:cnfStyle w:val="000000000000" w:firstRow="0" w:lastRow="0" w:firstColumn="0" w:lastColumn="0" w:oddVBand="0" w:evenVBand="0" w:oddHBand="0" w:evenHBand="0" w:firstRowFirstColumn="0" w:firstRowLastColumn="0" w:lastRowFirstColumn="0" w:lastRowLastColumn="0"/>
            </w:pPr>
            <w:r w:rsidRPr="00BB7F21">
              <w:t>$</w:t>
            </w:r>
            <w:r w:rsidR="00FE1812">
              <w:t>3.9</w:t>
            </w:r>
            <w:r w:rsidR="008D1857">
              <w:t>4</w:t>
            </w:r>
          </w:p>
        </w:tc>
      </w:tr>
    </w:tbl>
    <w:p w14:paraId="15446C63" w14:textId="51BD4924" w:rsidR="00EB572A" w:rsidRDefault="00EB572A" w:rsidP="00FD5AFA">
      <w:pPr>
        <w:keepNext/>
        <w:keepLines/>
        <w:rPr>
          <w:lang w:val="en-US"/>
        </w:rPr>
      </w:pPr>
      <w:r w:rsidRPr="00F211E3">
        <w:rPr>
          <w:lang w:val="en-US"/>
        </w:rPr>
        <w:t xml:space="preserve">* Almost 100% of these costs relate only to compliance costs, primarily record keeping and reporting costs, for businesses and community organisations that are engaged to deliver the services on behalf of government. </w:t>
      </w:r>
      <w:r w:rsidR="00DE39D6">
        <w:rPr>
          <w:lang w:val="en-US"/>
        </w:rPr>
        <w:t>This table</w:t>
      </w:r>
      <w:r w:rsidR="00DE39D6" w:rsidRPr="00F02AA0">
        <w:rPr>
          <w:lang w:val="en-US"/>
        </w:rPr>
        <w:t xml:space="preserve"> do</w:t>
      </w:r>
      <w:r w:rsidR="00DE39D6">
        <w:rPr>
          <w:lang w:val="en-US"/>
        </w:rPr>
        <w:t>es</w:t>
      </w:r>
      <w:r w:rsidR="00DE39D6" w:rsidRPr="00F02AA0">
        <w:rPr>
          <w:lang w:val="en-US"/>
        </w:rPr>
        <w:t xml:space="preserve"> not</w:t>
      </w:r>
      <w:r w:rsidRPr="00F211E3">
        <w:rPr>
          <w:lang w:val="en-US"/>
        </w:rPr>
        <w:t xml:space="preserve"> factor in the revenue providers receive to deliver the services.</w:t>
      </w:r>
    </w:p>
    <w:p w14:paraId="3E56E487" w14:textId="756F5DBB" w:rsidR="00561B7C" w:rsidRDefault="009D4054" w:rsidP="00E85C23">
      <w:pPr>
        <w:pStyle w:val="Heading2"/>
        <w:keepNext w:val="0"/>
        <w:ind w:left="720" w:hanging="720"/>
        <w:rPr>
          <w:lang w:val="en-US"/>
        </w:rPr>
      </w:pPr>
      <w:bookmarkStart w:id="70" w:name="_Toc151123120"/>
      <w:r>
        <w:rPr>
          <w:lang w:val="en-US"/>
        </w:rPr>
        <w:t>6.3</w:t>
      </w:r>
      <w:r>
        <w:rPr>
          <w:lang w:val="en-US"/>
        </w:rPr>
        <w:tab/>
      </w:r>
      <w:r w:rsidR="00561B7C" w:rsidRPr="001C0BDB">
        <w:rPr>
          <w:lang w:val="en-US"/>
        </w:rPr>
        <w:t>Option 3 – new voluntary pre-employment service for Parenting Payment recipients</w:t>
      </w:r>
      <w:bookmarkEnd w:id="70"/>
    </w:p>
    <w:p w14:paraId="2DF11D8A" w14:textId="77777777" w:rsidR="000B3117" w:rsidRPr="000B3117" w:rsidRDefault="000B3117" w:rsidP="000B3117">
      <w:pPr>
        <w:pStyle w:val="BOXText"/>
        <w:rPr>
          <w:rFonts w:eastAsia="Arial"/>
          <w:b/>
          <w:bCs/>
        </w:rPr>
      </w:pPr>
      <w:r w:rsidRPr="000B3117">
        <w:rPr>
          <w:rFonts w:eastAsia="Arial"/>
          <w:b/>
          <w:bCs/>
        </w:rPr>
        <w:t>Key impacts</w:t>
      </w:r>
    </w:p>
    <w:p w14:paraId="1606F21B" w14:textId="77777777" w:rsidR="000B3117" w:rsidRPr="00203161" w:rsidRDefault="000B3117" w:rsidP="000B3117">
      <w:pPr>
        <w:pStyle w:val="BOXText"/>
        <w:rPr>
          <w:rFonts w:eastAsia="Arial"/>
        </w:rPr>
      </w:pPr>
      <w:r w:rsidRPr="00203161">
        <w:rPr>
          <w:rFonts w:eastAsia="Arial"/>
        </w:rPr>
        <w:t>This option would:</w:t>
      </w:r>
    </w:p>
    <w:p w14:paraId="2382A76A" w14:textId="77777777" w:rsidR="000B3117" w:rsidRDefault="000B3117" w:rsidP="000B3117">
      <w:pPr>
        <w:pStyle w:val="BOXBulletedList"/>
        <w:rPr>
          <w:rFonts w:eastAsia="Arial"/>
        </w:rPr>
      </w:pPr>
      <w:r>
        <w:rPr>
          <w:rFonts w:eastAsia="Arial"/>
        </w:rPr>
        <w:t>deliver a new voluntary pre-employment service in line with the policy objectives, although to fewer parents compared to Option 2 as only Parenting Payment recipients would be eligible</w:t>
      </w:r>
    </w:p>
    <w:p w14:paraId="665D4A6C" w14:textId="77777777" w:rsidR="000B3117" w:rsidRDefault="000B3117" w:rsidP="000B3117">
      <w:pPr>
        <w:pStyle w:val="BOXBulletedList"/>
        <w:rPr>
          <w:rFonts w:eastAsia="Arial"/>
        </w:rPr>
      </w:pPr>
      <w:r w:rsidRPr="00FF1B2A">
        <w:rPr>
          <w:rFonts w:eastAsia="Arial"/>
        </w:rPr>
        <w:t>benefit parents through support relevant to them, including financial assistance through pooled funding and, in the new service, the annual $1,250 Individual Fund</w:t>
      </w:r>
    </w:p>
    <w:p w14:paraId="23FD04ED" w14:textId="77777777" w:rsidR="000B3117" w:rsidRPr="006C12DC" w:rsidRDefault="000B3117" w:rsidP="000B3117">
      <w:pPr>
        <w:pStyle w:val="BOXBulletedList"/>
        <w:rPr>
          <w:rFonts w:eastAsia="Arial"/>
        </w:rPr>
      </w:pPr>
      <w:r>
        <w:rPr>
          <w:rFonts w:eastAsia="Arial"/>
        </w:rPr>
        <w:lastRenderedPageBreak/>
        <w:t>unlike Option 2, not expand eligibility for the new service to vulnerable parents not on Parenting Payment, leaving many vulnerable parents without additional support and at risk of continued disadvantage</w:t>
      </w:r>
    </w:p>
    <w:p w14:paraId="3CB2BCF5" w14:textId="77777777" w:rsidR="000B3117" w:rsidRDefault="000B3117" w:rsidP="000B3117">
      <w:pPr>
        <w:pStyle w:val="BOXBulletedList"/>
        <w:rPr>
          <w:rFonts w:eastAsia="Arial"/>
        </w:rPr>
      </w:pPr>
      <w:r>
        <w:rPr>
          <w:rFonts w:eastAsia="Arial"/>
        </w:rPr>
        <w:t>pose potential risks to attracting sufficient and diverse providers and to long-term provider financial viability due to smaller caseloads in the new service, notwithstanding engagement and outreach support</w:t>
      </w:r>
    </w:p>
    <w:p w14:paraId="3007DA12" w14:textId="77777777" w:rsidR="000B3117" w:rsidRPr="00C609AB" w:rsidRDefault="000B3117" w:rsidP="000B3117">
      <w:pPr>
        <w:pStyle w:val="BOXBulletedList"/>
        <w:rPr>
          <w:rFonts w:eastAsia="Arial"/>
        </w:rPr>
      </w:pPr>
      <w:r w:rsidRPr="00C609AB">
        <w:rPr>
          <w:rFonts w:eastAsia="Arial"/>
        </w:rPr>
        <w:t>provide service continuity between ParentsNext and the new service</w:t>
      </w:r>
    </w:p>
    <w:p w14:paraId="3845C0ED" w14:textId="77777777" w:rsidR="000B3117" w:rsidRDefault="000B3117" w:rsidP="000B3117">
      <w:pPr>
        <w:pStyle w:val="BOXBulletedList"/>
        <w:rPr>
          <w:rFonts w:eastAsia="Arial"/>
        </w:rPr>
      </w:pPr>
      <w:r>
        <w:rPr>
          <w:rFonts w:eastAsia="Arial"/>
        </w:rPr>
        <w:t>have some benefit for employers by preparing parents for the workforce when they are ready, although numbers would be small</w:t>
      </w:r>
    </w:p>
    <w:p w14:paraId="67071C83" w14:textId="77777777" w:rsidR="000B3117" w:rsidRDefault="000B3117" w:rsidP="000B3117">
      <w:pPr>
        <w:pStyle w:val="BOXBulletedList"/>
        <w:rPr>
          <w:rFonts w:eastAsia="Arial"/>
        </w:rPr>
      </w:pPr>
      <w:r w:rsidRPr="00AB29CC">
        <w:rPr>
          <w:rFonts w:eastAsia="Arial"/>
        </w:rPr>
        <w:t>have minimal regulatory burden for participants and employers</w:t>
      </w:r>
    </w:p>
    <w:p w14:paraId="16DDB452" w14:textId="77777777" w:rsidR="000B3117" w:rsidRDefault="000B3117" w:rsidP="000B3117">
      <w:pPr>
        <w:pStyle w:val="BOXBulletedList"/>
        <w:rPr>
          <w:rFonts w:eastAsia="Arial"/>
        </w:rPr>
      </w:pPr>
      <w:r>
        <w:rPr>
          <w:rFonts w:eastAsia="Arial"/>
        </w:rPr>
        <w:t>pay providers of the new service twice yearly service fees of $1,500 per participant as well as annual outreach funding</w:t>
      </w:r>
    </w:p>
    <w:p w14:paraId="525B6263" w14:textId="77777777" w:rsidR="000B3117" w:rsidRPr="00AB29CC" w:rsidRDefault="000B3117" w:rsidP="000B3117">
      <w:pPr>
        <w:pStyle w:val="BOXBulletedList"/>
        <w:rPr>
          <w:rFonts w:eastAsia="Arial"/>
        </w:rPr>
      </w:pPr>
      <w:r>
        <w:rPr>
          <w:rFonts w:eastAsia="Arial"/>
        </w:rPr>
        <w:t>maintain the existing payment model for ParentsNext providers during the contract extension period</w:t>
      </w:r>
    </w:p>
    <w:p w14:paraId="0D952675" w14:textId="16DA5D70" w:rsidR="000B3117" w:rsidRDefault="000B3117" w:rsidP="000B3117">
      <w:pPr>
        <w:pStyle w:val="BOXBulletedList"/>
        <w:rPr>
          <w:rFonts w:eastAsia="Arial"/>
        </w:rPr>
      </w:pPr>
      <w:r w:rsidRPr="002F09D4">
        <w:rPr>
          <w:rFonts w:eastAsia="Arial"/>
        </w:rPr>
        <w:t>provide regulatory certainty and impose minimal regulatory burden on providers, sufficient to ensure contract compliance and accountability for discretionary financial assistance</w:t>
      </w:r>
      <w:r>
        <w:rPr>
          <w:rFonts w:eastAsia="Arial"/>
        </w:rPr>
        <w:t>.</w:t>
      </w:r>
    </w:p>
    <w:p w14:paraId="0F04A8BC" w14:textId="18508130" w:rsidR="002A45AC" w:rsidRPr="002A45AC" w:rsidRDefault="002A45AC" w:rsidP="001C0BDB">
      <w:pPr>
        <w:pStyle w:val="Heading3"/>
        <w:rPr>
          <w:lang w:val="en-US"/>
        </w:rPr>
      </w:pPr>
      <w:bookmarkStart w:id="71" w:name="_Toc151123121"/>
      <w:r w:rsidRPr="002A45AC">
        <w:rPr>
          <w:lang w:val="en-US"/>
        </w:rPr>
        <w:t>Who would this option impact?</w:t>
      </w:r>
      <w:bookmarkEnd w:id="71"/>
    </w:p>
    <w:p w14:paraId="40C9F184" w14:textId="77777777" w:rsidR="002A45AC" w:rsidRPr="003B3239" w:rsidRDefault="002A45AC" w:rsidP="002A45AC">
      <w:r w:rsidRPr="003B3239">
        <w:t>Those directly impacted by this option would include:</w:t>
      </w:r>
    </w:p>
    <w:p w14:paraId="1E432629" w14:textId="48AEC339" w:rsidR="002A45AC" w:rsidRPr="003B3239" w:rsidRDefault="002A45AC" w:rsidP="00A40BD4">
      <w:pPr>
        <w:pStyle w:val="ListParagraph"/>
        <w:numPr>
          <w:ilvl w:val="0"/>
          <w:numId w:val="9"/>
        </w:numPr>
        <w:ind w:left="357" w:hanging="357"/>
      </w:pPr>
      <w:r w:rsidRPr="00DE39D6">
        <w:t xml:space="preserve">parents in ParentsNext </w:t>
      </w:r>
      <w:r w:rsidR="00B00A83" w:rsidRPr="00DE39D6">
        <w:t xml:space="preserve">including those </w:t>
      </w:r>
      <w:r w:rsidRPr="00DE39D6">
        <w:t>who may volunteer to continue into the new service if</w:t>
      </w:r>
      <w:r w:rsidRPr="003B3239">
        <w:t xml:space="preserve"> their youngest child is under 6 years of age</w:t>
      </w:r>
      <w:r w:rsidR="00E72D76" w:rsidRPr="00F10C61">
        <w:t xml:space="preserve"> </w:t>
      </w:r>
      <w:r w:rsidR="00E72D76">
        <w:t>(</w:t>
      </w:r>
      <w:r w:rsidR="00E72D76" w:rsidRPr="009D2818">
        <w:t xml:space="preserve">around </w:t>
      </w:r>
      <w:r w:rsidR="00C142DE">
        <w:t>48,700</w:t>
      </w:r>
      <w:r w:rsidR="00B00D26">
        <w:t xml:space="preserve"> </w:t>
      </w:r>
      <w:r w:rsidR="00E72D76">
        <w:t>participants are expected to be on the ParentsNext caseload, point in time, during the extension period</w:t>
      </w:r>
      <w:r w:rsidR="00E72D76" w:rsidRPr="009D2818">
        <w:t>)</w:t>
      </w:r>
    </w:p>
    <w:p w14:paraId="45DEC4D9" w14:textId="1A433C41" w:rsidR="008B6ECF" w:rsidRPr="003B3239" w:rsidRDefault="00214C06" w:rsidP="00A40BD4">
      <w:pPr>
        <w:pStyle w:val="ListParagraph"/>
        <w:numPr>
          <w:ilvl w:val="0"/>
          <w:numId w:val="9"/>
        </w:numPr>
        <w:ind w:left="357" w:hanging="357"/>
      </w:pPr>
      <w:r w:rsidRPr="003B3239">
        <w:t xml:space="preserve">vulnerable </w:t>
      </w:r>
      <w:r w:rsidR="00FB1415" w:rsidRPr="003B3239">
        <w:t>parents who would be eligible to volunteer for and participate in the new service</w:t>
      </w:r>
      <w:r w:rsidRPr="003B3239">
        <w:t xml:space="preserve"> </w:t>
      </w:r>
      <w:r w:rsidR="003678F4" w:rsidRPr="003B3239">
        <w:t xml:space="preserve">– under </w:t>
      </w:r>
      <w:r w:rsidR="00A2716A" w:rsidRPr="003B3239">
        <w:t>O</w:t>
      </w:r>
      <w:r w:rsidRPr="003B3239">
        <w:t xml:space="preserve">ption 3, it is estimated that the average point in time caseload will be </w:t>
      </w:r>
      <w:r w:rsidR="00125067">
        <w:t>12,</w:t>
      </w:r>
      <w:r w:rsidR="00D85282">
        <w:t>2</w:t>
      </w:r>
      <w:r w:rsidR="00125067">
        <w:t>00</w:t>
      </w:r>
      <w:r w:rsidRPr="001674A4">
        <w:t xml:space="preserve"> parents</w:t>
      </w:r>
      <w:r w:rsidR="008B6ECF" w:rsidRPr="001674A4">
        <w:t>, however the level of participation will depend on provider communication,</w:t>
      </w:r>
      <w:r w:rsidR="008B6ECF" w:rsidRPr="003B3239">
        <w:t xml:space="preserve"> engagement and servicing</w:t>
      </w:r>
    </w:p>
    <w:p w14:paraId="4DEBD432" w14:textId="5F2EA795" w:rsidR="00214C06" w:rsidRDefault="00C1301A" w:rsidP="00A40BD4">
      <w:pPr>
        <w:pStyle w:val="ListParagraph"/>
        <w:numPr>
          <w:ilvl w:val="0"/>
          <w:numId w:val="15"/>
        </w:numPr>
      </w:pPr>
      <w:r w:rsidRPr="003B3239">
        <w:t>existing ParentsNext providers whose contracts</w:t>
      </w:r>
      <w:r>
        <w:t xml:space="preserve"> are extended by </w:t>
      </w:r>
      <w:r w:rsidR="00F5380A">
        <w:t xml:space="preserve">4 </w:t>
      </w:r>
      <w:r>
        <w:t xml:space="preserve">months to </w:t>
      </w:r>
      <w:r w:rsidR="00F5380A">
        <w:t>October 2024</w:t>
      </w:r>
    </w:p>
    <w:p w14:paraId="6D62B554" w14:textId="3E752E76" w:rsidR="002A45AC" w:rsidRDefault="002A45AC" w:rsidP="00A40BD4">
      <w:pPr>
        <w:pStyle w:val="ListParagraph"/>
        <w:numPr>
          <w:ilvl w:val="0"/>
          <w:numId w:val="9"/>
        </w:numPr>
        <w:ind w:left="357" w:hanging="357"/>
      </w:pPr>
      <w:r>
        <w:t>new organisations and ParentsNext providers, including community organisations, who would need to tender and be selected to deliver the new service</w:t>
      </w:r>
      <w:r w:rsidR="007133D0">
        <w:t>.</w:t>
      </w:r>
    </w:p>
    <w:p w14:paraId="512BF662" w14:textId="04EDDB92" w:rsidR="00705485" w:rsidRDefault="00735E44" w:rsidP="00705485">
      <w:r>
        <w:t>A</w:t>
      </w:r>
      <w:r w:rsidR="0049487A">
        <w:t xml:space="preserve">lmost 95% of Parenting </w:t>
      </w:r>
      <w:r w:rsidR="003B7AC7">
        <w:t>P</w:t>
      </w:r>
      <w:r w:rsidR="0049487A">
        <w:t>ayment recipients are women</w:t>
      </w:r>
      <w:r>
        <w:t xml:space="preserve">. By preparing them to take up work when they are ready, </w:t>
      </w:r>
      <w:r w:rsidR="0049487A">
        <w:t>th</w:t>
      </w:r>
      <w:r w:rsidR="007B0274">
        <w:t xml:space="preserve">is </w:t>
      </w:r>
      <w:r w:rsidR="0087317C">
        <w:t>option would make a contribution to addressing the</w:t>
      </w:r>
      <w:r w:rsidR="003B7AC7">
        <w:t xml:space="preserve"> gender </w:t>
      </w:r>
      <w:r w:rsidR="007B0274">
        <w:t>participation gap and improving women’s economic security</w:t>
      </w:r>
      <w:r w:rsidR="002F7F3A">
        <w:t>, however, with smaller caseloads the contribution would correspondingly lower than under option 2</w:t>
      </w:r>
      <w:r w:rsidR="007B0274">
        <w:t>.</w:t>
      </w:r>
      <w:r w:rsidR="00F83C64">
        <w:t xml:space="preserve"> With single parents, First Nations people, young people and those with lower educational attainment experienc</w:t>
      </w:r>
      <w:r w:rsidR="001B0806">
        <w:t>ing</w:t>
      </w:r>
      <w:r w:rsidR="00F83C64">
        <w:t xml:space="preserve"> higher unemployment rates</w:t>
      </w:r>
      <w:r w:rsidR="001B0806">
        <w:t xml:space="preserve">, by prioritising </w:t>
      </w:r>
      <w:r w:rsidR="00CE2C43">
        <w:t xml:space="preserve">support to </w:t>
      </w:r>
      <w:r w:rsidR="00391E69">
        <w:t xml:space="preserve">particular cohorts, </w:t>
      </w:r>
      <w:r w:rsidR="00903A5E">
        <w:t xml:space="preserve">this </w:t>
      </w:r>
      <w:r w:rsidR="000B14D6">
        <w:t xml:space="preserve">option will </w:t>
      </w:r>
      <w:r w:rsidR="00270E4D">
        <w:t>contribute</w:t>
      </w:r>
      <w:r w:rsidR="00CE2C43">
        <w:t xml:space="preserve"> to</w:t>
      </w:r>
      <w:r w:rsidR="00270E4D">
        <w:t xml:space="preserve"> them </w:t>
      </w:r>
      <w:r w:rsidR="00C04013">
        <w:t xml:space="preserve">addressing barriers to </w:t>
      </w:r>
      <w:r w:rsidR="00C04013">
        <w:lastRenderedPageBreak/>
        <w:t xml:space="preserve">participation </w:t>
      </w:r>
      <w:r w:rsidR="00F35AA8">
        <w:t xml:space="preserve">so that they can take up </w:t>
      </w:r>
      <w:r w:rsidR="00B30BA2">
        <w:t>employment</w:t>
      </w:r>
      <w:r w:rsidR="00F35AA8">
        <w:t xml:space="preserve"> in the future</w:t>
      </w:r>
      <w:r w:rsidR="00363593">
        <w:t xml:space="preserve">, </w:t>
      </w:r>
      <w:r w:rsidR="00D24094">
        <w:t xml:space="preserve">with </w:t>
      </w:r>
      <w:r w:rsidR="00BF3F44">
        <w:t xml:space="preserve">the potential for </w:t>
      </w:r>
      <w:r w:rsidR="00D24094">
        <w:t xml:space="preserve">positive effects on outcomes for their </w:t>
      </w:r>
      <w:r w:rsidR="00BF3F44">
        <w:t>children</w:t>
      </w:r>
      <w:r w:rsidR="008A4A34">
        <w:t>.</w:t>
      </w:r>
      <w:r w:rsidR="000B14D6" w:rsidRPr="005179B6">
        <w:rPr>
          <w:vertAlign w:val="superscript"/>
        </w:rPr>
        <w:footnoteReference w:id="37"/>
      </w:r>
    </w:p>
    <w:p w14:paraId="03955D0D" w14:textId="77777777" w:rsidR="00346B7D" w:rsidRDefault="00346B7D" w:rsidP="00346B7D">
      <w:pPr>
        <w:pStyle w:val="Heading3"/>
        <w:rPr>
          <w:lang w:val="en-US"/>
        </w:rPr>
      </w:pPr>
      <w:bookmarkStart w:id="72" w:name="_Toc151123122"/>
      <w:r w:rsidRPr="002A45AC">
        <w:rPr>
          <w:lang w:val="en-US"/>
        </w:rPr>
        <w:t>Overall impact</w:t>
      </w:r>
      <w:bookmarkEnd w:id="72"/>
    </w:p>
    <w:p w14:paraId="3960829D" w14:textId="4EA97112" w:rsidR="008D3EE2" w:rsidRDefault="008427D1" w:rsidP="00346B7D">
      <w:r>
        <w:t xml:space="preserve">While the </w:t>
      </w:r>
      <w:r w:rsidR="00441911">
        <w:t xml:space="preserve">benefits </w:t>
      </w:r>
      <w:r>
        <w:t xml:space="preserve">and costs </w:t>
      </w:r>
      <w:r w:rsidR="00441911">
        <w:t>of this option</w:t>
      </w:r>
      <w:r>
        <w:t xml:space="preserve"> are similar </w:t>
      </w:r>
      <w:r w:rsidR="007905A4">
        <w:t xml:space="preserve">in nature </w:t>
      </w:r>
      <w:r>
        <w:t xml:space="preserve">to </w:t>
      </w:r>
      <w:r w:rsidR="00A2716A">
        <w:t>O</w:t>
      </w:r>
      <w:r>
        <w:t xml:space="preserve">ption 2, </w:t>
      </w:r>
      <w:r w:rsidR="00927E93">
        <w:t>the</w:t>
      </w:r>
      <w:r w:rsidR="00093F1A">
        <w:t xml:space="preserve"> impact</w:t>
      </w:r>
      <w:r w:rsidR="00927E93">
        <w:t xml:space="preserve"> would </w:t>
      </w:r>
      <w:r w:rsidR="00441911">
        <w:t xml:space="preserve">be </w:t>
      </w:r>
      <w:r w:rsidR="00093F1A">
        <w:t>affected</w:t>
      </w:r>
      <w:r w:rsidR="00441911">
        <w:t xml:space="preserve"> by </w:t>
      </w:r>
      <w:r w:rsidR="00103B53">
        <w:t>restricting</w:t>
      </w:r>
      <w:r w:rsidR="00441911">
        <w:t xml:space="preserve"> eligibility to Parenting Payment recipients</w:t>
      </w:r>
      <w:r w:rsidR="002F7F3A">
        <w:t xml:space="preserve"> and thus the net benefits would be correspondingly lower</w:t>
      </w:r>
      <w:r w:rsidR="006C38B7">
        <w:t>.</w:t>
      </w:r>
      <w:r w:rsidR="00441911">
        <w:t xml:space="preserve"> </w:t>
      </w:r>
    </w:p>
    <w:p w14:paraId="7B01640D" w14:textId="5EFE64EA" w:rsidR="00A917E6" w:rsidRDefault="001E2840" w:rsidP="008D2283">
      <w:pPr>
        <w:keepNext/>
        <w:keepLines/>
      </w:pPr>
      <w:r w:rsidRPr="001E2840">
        <w:t xml:space="preserve">The key </w:t>
      </w:r>
      <w:r w:rsidR="009F2921">
        <w:t xml:space="preserve">expected </w:t>
      </w:r>
      <w:r w:rsidRPr="001E2840">
        <w:t>benefits and costs of this option are summarised in the table below.</w:t>
      </w:r>
    </w:p>
    <w:p w14:paraId="69859FA2" w14:textId="46A50130" w:rsidR="008D2283" w:rsidRPr="005A015C" w:rsidRDefault="008D2283" w:rsidP="005A015C">
      <w:pPr>
        <w:pStyle w:val="Caption"/>
        <w:keepNext/>
      </w:pPr>
      <w:r w:rsidRPr="005A015C">
        <w:t>Table 6: Key benefits and costs for Option 3</w:t>
      </w:r>
      <w:r w:rsidR="007516C1" w:rsidRPr="005A015C">
        <w:t xml:space="preserve"> </w:t>
      </w:r>
    </w:p>
    <w:tbl>
      <w:tblPr>
        <w:tblStyle w:val="DESE"/>
        <w:tblW w:w="9072" w:type="dxa"/>
        <w:tblLayout w:type="fixed"/>
        <w:tblLook w:val="04A0" w:firstRow="1" w:lastRow="0" w:firstColumn="1" w:lastColumn="0" w:noHBand="0" w:noVBand="1"/>
      </w:tblPr>
      <w:tblGrid>
        <w:gridCol w:w="2268"/>
        <w:gridCol w:w="2268"/>
        <w:gridCol w:w="2268"/>
        <w:gridCol w:w="2268"/>
      </w:tblGrid>
      <w:tr w:rsidR="006A3D08" w:rsidRPr="00B04938" w14:paraId="27586602" w14:textId="77777777" w:rsidTr="00CD386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268" w:type="dxa"/>
            <w:tcBorders>
              <w:top w:val="single" w:sz="4" w:space="0" w:color="44546A"/>
              <w:bottom w:val="single" w:sz="4" w:space="0" w:color="auto"/>
            </w:tcBorders>
          </w:tcPr>
          <w:p w14:paraId="0FFA3F2E" w14:textId="1DF206C1" w:rsidR="006A3D08" w:rsidRPr="00B04938" w:rsidRDefault="00033B55" w:rsidP="00620312">
            <w:pPr>
              <w:rPr>
                <w:rFonts w:eastAsia="Calibri" w:cs="Times New Roman"/>
                <w:color w:val="FFFFFF"/>
              </w:rPr>
            </w:pPr>
            <w:r>
              <w:rPr>
                <w:rFonts w:eastAsia="Calibri" w:cs="Times New Roman"/>
                <w:color w:val="FFFFFF"/>
              </w:rPr>
              <w:t>Criterion</w:t>
            </w:r>
          </w:p>
        </w:tc>
        <w:tc>
          <w:tcPr>
            <w:tcW w:w="2268" w:type="dxa"/>
            <w:tcBorders>
              <w:top w:val="single" w:sz="4" w:space="0" w:color="44546A"/>
              <w:bottom w:val="single" w:sz="4" w:space="0" w:color="auto"/>
            </w:tcBorders>
          </w:tcPr>
          <w:p w14:paraId="0E5687EE" w14:textId="17BE86FB" w:rsidR="006A3D08" w:rsidRPr="00B04938" w:rsidRDefault="009F2921"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Benefits expected</w:t>
            </w:r>
          </w:p>
        </w:tc>
        <w:tc>
          <w:tcPr>
            <w:tcW w:w="2268" w:type="dxa"/>
            <w:tcBorders>
              <w:bottom w:val="single" w:sz="4" w:space="0" w:color="auto"/>
            </w:tcBorders>
          </w:tcPr>
          <w:p w14:paraId="28A95C20" w14:textId="2EBE040A" w:rsidR="006A3D08" w:rsidRPr="00B04938" w:rsidRDefault="006A3D08"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Costs</w:t>
            </w:r>
            <w:r w:rsidR="004D552C">
              <w:rPr>
                <w:rFonts w:eastAsia="Calibri" w:cs="Times New Roman"/>
                <w:color w:val="FFFFFF"/>
              </w:rPr>
              <w:t xml:space="preserve"> expected</w:t>
            </w:r>
          </w:p>
        </w:tc>
        <w:tc>
          <w:tcPr>
            <w:tcW w:w="2268" w:type="dxa"/>
            <w:tcBorders>
              <w:bottom w:val="single" w:sz="4" w:space="0" w:color="auto"/>
            </w:tcBorders>
          </w:tcPr>
          <w:p w14:paraId="044006FA" w14:textId="242CCCFC" w:rsidR="006A3D08" w:rsidRPr="00B04938" w:rsidRDefault="004D552C"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N</w:t>
            </w:r>
            <w:r w:rsidR="006A3D08">
              <w:rPr>
                <w:rFonts w:eastAsia="Calibri" w:cs="Times New Roman"/>
                <w:color w:val="FFFFFF"/>
              </w:rPr>
              <w:t>et benefit</w:t>
            </w:r>
            <w:r>
              <w:rPr>
                <w:rFonts w:eastAsia="Calibri" w:cs="Times New Roman"/>
                <w:color w:val="FFFFFF"/>
              </w:rPr>
              <w:t xml:space="preserve"> expected</w:t>
            </w:r>
          </w:p>
        </w:tc>
      </w:tr>
      <w:tr w:rsidR="00CD3866" w:rsidRPr="00B04938" w14:paraId="6BF4324B" w14:textId="77777777" w:rsidTr="00CD3866">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717FDCA5" w14:textId="101F9796" w:rsidR="00CD3866" w:rsidRDefault="00CD3866" w:rsidP="002A4D4C">
            <w:pPr>
              <w:pStyle w:val="ListBullet"/>
              <w:rPr>
                <w:rFonts w:cstheme="minorHAnsi"/>
              </w:rPr>
            </w:pPr>
            <w:r w:rsidRPr="00BC37B3">
              <w:t xml:space="preserve">Policy objectives </w:t>
            </w:r>
          </w:p>
        </w:tc>
        <w:tc>
          <w:tcPr>
            <w:tcW w:w="2268" w:type="dxa"/>
            <w:vAlign w:val="top"/>
          </w:tcPr>
          <w:p w14:paraId="367D0181" w14:textId="77777777" w:rsidR="00CD3866" w:rsidRDefault="00CD3866" w:rsidP="002A4D4C">
            <w:pPr>
              <w:cnfStyle w:val="000000000000" w:firstRow="0" w:lastRow="0" w:firstColumn="0" w:lastColumn="0" w:oddVBand="0" w:evenVBand="0" w:oddHBand="0" w:evenHBand="0" w:firstRowFirstColumn="0" w:firstRowLastColumn="0" w:lastRowFirstColumn="0" w:lastRowLastColumn="0"/>
              <w:rPr>
                <w:rFonts w:eastAsia="Calibri" w:cs="Times New Roman"/>
              </w:rPr>
            </w:pPr>
            <w:r>
              <w:t xml:space="preserve">Service offer </w:t>
            </w:r>
            <w:r w:rsidRPr="00BC37B3">
              <w:t>directly address</w:t>
            </w:r>
            <w:r>
              <w:t>es</w:t>
            </w:r>
            <w:r w:rsidRPr="00BC37B3">
              <w:t xml:space="preserve"> the policy objectives</w:t>
            </w:r>
          </w:p>
        </w:tc>
        <w:tc>
          <w:tcPr>
            <w:tcW w:w="2268" w:type="dxa"/>
          </w:tcPr>
          <w:p w14:paraId="3888E74F" w14:textId="7FCFC57F" w:rsidR="00CD3866" w:rsidRDefault="00CD3866" w:rsidP="002A4D4C">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268" w:type="dxa"/>
            <w:tcBorders>
              <w:left w:val="single" w:sz="4" w:space="0" w:color="auto"/>
            </w:tcBorders>
            <w:vAlign w:val="top"/>
          </w:tcPr>
          <w:p w14:paraId="771E9983" w14:textId="6B3E0FD4" w:rsidR="00CD3866" w:rsidRDefault="00CD3866" w:rsidP="002A4D4C">
            <w:pPr>
              <w:cnfStyle w:val="000000000000" w:firstRow="0" w:lastRow="0" w:firstColumn="0" w:lastColumn="0" w:oddVBand="0" w:evenVBand="0" w:oddHBand="0" w:evenHBand="0" w:firstRowFirstColumn="0" w:firstRowLastColumn="0" w:lastRowFirstColumn="0" w:lastRowLastColumn="0"/>
              <w:rPr>
                <w:rFonts w:eastAsia="Calibri" w:cs="Times New Roman"/>
              </w:rPr>
            </w:pPr>
            <w:r>
              <w:t>Medium net benefit</w:t>
            </w:r>
          </w:p>
        </w:tc>
      </w:tr>
      <w:tr w:rsidR="00CD3866" w:rsidRPr="00B04938" w14:paraId="7667300C" w14:textId="77777777" w:rsidTr="00620312">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60B4E198" w14:textId="307938D3" w:rsidR="00CD3866" w:rsidRDefault="00CD3866" w:rsidP="007F03CD">
            <w:pPr>
              <w:rPr>
                <w:rFonts w:cstheme="minorHAnsi"/>
              </w:rPr>
            </w:pPr>
            <w:r w:rsidRPr="00BC37B3">
              <w:t>Responds to stakeholder feedback</w:t>
            </w:r>
          </w:p>
        </w:tc>
        <w:tc>
          <w:tcPr>
            <w:tcW w:w="2268" w:type="dxa"/>
            <w:vAlign w:val="top"/>
          </w:tcPr>
          <w:p w14:paraId="78DFB73F" w14:textId="3FF81DC3" w:rsidR="00CD3866" w:rsidRDefault="00CD3866" w:rsidP="002A4D4C">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C37B3">
              <w:t xml:space="preserve">Feedback strongly favoured a new voluntary pre-employment service </w:t>
            </w:r>
            <w:r>
              <w:t>for vulnerable parents which is easily accessible and locally connected</w:t>
            </w:r>
          </w:p>
        </w:tc>
        <w:tc>
          <w:tcPr>
            <w:tcW w:w="2268" w:type="dxa"/>
          </w:tcPr>
          <w:p w14:paraId="1BEACA60" w14:textId="12C87366" w:rsidR="00CD3866" w:rsidRDefault="00CD3866" w:rsidP="002A4D4C">
            <w:pPr>
              <w:cnfStyle w:val="000000000000" w:firstRow="0" w:lastRow="0" w:firstColumn="0" w:lastColumn="0" w:oddVBand="0" w:evenVBand="0" w:oddHBand="0" w:evenHBand="0" w:firstRowFirstColumn="0" w:firstRowLastColumn="0" w:lastRowFirstColumn="0" w:lastRowLastColumn="0"/>
              <w:rPr>
                <w:rFonts w:eastAsia="Calibri" w:cs="Times New Roman"/>
              </w:rPr>
            </w:pPr>
            <w:r>
              <w:t>This option is limited to Parenting Payment recipients and services may not be as convenient</w:t>
            </w:r>
          </w:p>
        </w:tc>
        <w:tc>
          <w:tcPr>
            <w:tcW w:w="2268" w:type="dxa"/>
            <w:tcBorders>
              <w:left w:val="single" w:sz="4" w:space="0" w:color="auto"/>
            </w:tcBorders>
            <w:vAlign w:val="top"/>
          </w:tcPr>
          <w:p w14:paraId="196297D3" w14:textId="1B67F8F2" w:rsidR="00CD3866" w:rsidRDefault="00CD3866" w:rsidP="002A4D4C">
            <w:pPr>
              <w:cnfStyle w:val="000000000000" w:firstRow="0" w:lastRow="0" w:firstColumn="0" w:lastColumn="0" w:oddVBand="0" w:evenVBand="0" w:oddHBand="0" w:evenHBand="0" w:firstRowFirstColumn="0" w:firstRowLastColumn="0" w:lastRowFirstColumn="0" w:lastRowLastColumn="0"/>
              <w:rPr>
                <w:rFonts w:eastAsia="Calibri" w:cs="Times New Roman"/>
              </w:rPr>
            </w:pPr>
            <w:r>
              <w:t>Medium net benefit</w:t>
            </w:r>
          </w:p>
        </w:tc>
      </w:tr>
      <w:tr w:rsidR="006A3D08" w:rsidRPr="00B04938" w14:paraId="3BBF573E" w14:textId="77777777" w:rsidTr="00CD3866">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054E359E" w14:textId="6285C515" w:rsidR="006A3D08" w:rsidRPr="00AF1321" w:rsidRDefault="002C7EB7" w:rsidP="00620312">
            <w:pPr>
              <w:pStyle w:val="ListBullet"/>
              <w:rPr>
                <w:rFonts w:cstheme="minorHAnsi"/>
              </w:rPr>
            </w:pPr>
            <w:r>
              <w:rPr>
                <w:rFonts w:cstheme="minorHAnsi"/>
              </w:rPr>
              <w:t>P</w:t>
            </w:r>
            <w:r w:rsidR="006A3D08">
              <w:rPr>
                <w:rFonts w:cstheme="minorHAnsi"/>
              </w:rPr>
              <w:t>arents</w:t>
            </w:r>
            <w:r w:rsidR="006A3D08" w:rsidRPr="00412466">
              <w:rPr>
                <w:rFonts w:cstheme="minorHAnsi"/>
              </w:rPr>
              <w:t xml:space="preserve"> </w:t>
            </w:r>
          </w:p>
        </w:tc>
        <w:tc>
          <w:tcPr>
            <w:tcW w:w="2268" w:type="dxa"/>
          </w:tcPr>
          <w:p w14:paraId="246BAE8A" w14:textId="68333945"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Low – eligibility limited to Parenting Payment recipients; access to a new voluntary service with individual support and financial assistance; recognition of caring role; continuity of assistance from ParentsNext</w:t>
            </w:r>
          </w:p>
        </w:tc>
        <w:tc>
          <w:tcPr>
            <w:tcW w:w="2268" w:type="dxa"/>
          </w:tcPr>
          <w:p w14:paraId="5213AA31" w14:textId="77777777"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Few costs expected</w:t>
            </w:r>
          </w:p>
        </w:tc>
        <w:tc>
          <w:tcPr>
            <w:tcW w:w="2268" w:type="dxa"/>
            <w:tcBorders>
              <w:right w:val="single" w:sz="4" w:space="0" w:color="auto"/>
            </w:tcBorders>
          </w:tcPr>
          <w:p w14:paraId="5774ED45" w14:textId="0F5F3A8B"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Low</w:t>
            </w:r>
            <w:r w:rsidR="00DE39D6">
              <w:t xml:space="preserve"> net benefit</w:t>
            </w:r>
          </w:p>
        </w:tc>
      </w:tr>
      <w:tr w:rsidR="006A3D08" w:rsidRPr="00B04938" w14:paraId="22844622" w14:textId="77777777" w:rsidTr="00CD3866">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3682C3EF" w14:textId="77777777" w:rsidR="006A3D08" w:rsidRPr="00412466" w:rsidRDefault="006A3D08" w:rsidP="00620312">
            <w:pPr>
              <w:pStyle w:val="ListBullet"/>
              <w:rPr>
                <w:rFonts w:cstheme="minorHAnsi"/>
              </w:rPr>
            </w:pPr>
            <w:r>
              <w:rPr>
                <w:rFonts w:cstheme="minorHAnsi"/>
              </w:rPr>
              <w:lastRenderedPageBreak/>
              <w:t>Providers</w:t>
            </w:r>
            <w:r w:rsidRPr="00412466">
              <w:rPr>
                <w:rFonts w:cstheme="minorHAnsi"/>
              </w:rPr>
              <w:t xml:space="preserve"> </w:t>
            </w:r>
          </w:p>
        </w:tc>
        <w:tc>
          <w:tcPr>
            <w:tcW w:w="2268" w:type="dxa"/>
          </w:tcPr>
          <w:p w14:paraId="51A37C91" w14:textId="60AFBEF9"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Low </w:t>
            </w:r>
            <w:r w:rsidRPr="00DE39D6">
              <w:rPr>
                <w:rFonts w:eastAsia="Calibri" w:cs="Times New Roman"/>
              </w:rPr>
              <w:t xml:space="preserve">– fewer providers </w:t>
            </w:r>
            <w:r w:rsidR="0024336B" w:rsidRPr="00DE39D6">
              <w:rPr>
                <w:rFonts w:eastAsia="Calibri" w:cs="Times New Roman"/>
              </w:rPr>
              <w:t xml:space="preserve">expected </w:t>
            </w:r>
            <w:r w:rsidRPr="00DE39D6">
              <w:rPr>
                <w:rFonts w:eastAsia="Calibri" w:cs="Times New Roman"/>
              </w:rPr>
              <w:t xml:space="preserve">due to smaller caseload; </w:t>
            </w:r>
            <w:r w:rsidR="00DF4880" w:rsidRPr="00DE39D6">
              <w:rPr>
                <w:rFonts w:eastAsia="Calibri" w:cs="Times New Roman"/>
              </w:rPr>
              <w:t>engaged t</w:t>
            </w:r>
            <w:r w:rsidR="000530FF" w:rsidRPr="00DE39D6">
              <w:rPr>
                <w:rFonts w:eastAsia="Calibri" w:cs="Times New Roman"/>
              </w:rPr>
              <w:t xml:space="preserve">o </w:t>
            </w:r>
            <w:r w:rsidRPr="00DE39D6">
              <w:rPr>
                <w:rFonts w:eastAsia="Calibri" w:cs="Times New Roman"/>
              </w:rPr>
              <w:t>deliver the new flexible service with</w:t>
            </w:r>
            <w:r>
              <w:rPr>
                <w:rFonts w:eastAsia="Calibri" w:cs="Times New Roman"/>
              </w:rPr>
              <w:t xml:space="preserve"> provider payments focusing on quality assistance and preparing parents for the workforce over short-term outcomes</w:t>
            </w:r>
            <w:r w:rsidR="000530FF">
              <w:rPr>
                <w:rFonts w:eastAsia="Calibri" w:cs="Times New Roman"/>
              </w:rPr>
              <w:t xml:space="preserve">; extra funding for outreach and </w:t>
            </w:r>
            <w:r w:rsidR="00DF4880">
              <w:rPr>
                <w:rFonts w:eastAsia="Calibri" w:cs="Times New Roman"/>
              </w:rPr>
              <w:t xml:space="preserve">local </w:t>
            </w:r>
            <w:r w:rsidR="00EA416E">
              <w:rPr>
                <w:rFonts w:eastAsia="Calibri" w:cs="Times New Roman"/>
              </w:rPr>
              <w:t>engagement</w:t>
            </w:r>
          </w:p>
        </w:tc>
        <w:tc>
          <w:tcPr>
            <w:tcW w:w="2268" w:type="dxa"/>
          </w:tcPr>
          <w:p w14:paraId="07EEB13A" w14:textId="77777777"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As required to deliver quality services and local connections</w:t>
            </w:r>
          </w:p>
        </w:tc>
        <w:tc>
          <w:tcPr>
            <w:tcW w:w="2268" w:type="dxa"/>
            <w:tcBorders>
              <w:right w:val="single" w:sz="4" w:space="0" w:color="auto"/>
            </w:tcBorders>
          </w:tcPr>
          <w:p w14:paraId="6B11BCC8" w14:textId="69EA0F62"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Low</w:t>
            </w:r>
            <w:r w:rsidR="00DE39D6">
              <w:t xml:space="preserve"> net benefit</w:t>
            </w:r>
          </w:p>
        </w:tc>
      </w:tr>
      <w:tr w:rsidR="006A3D08" w:rsidRPr="00B04938" w14:paraId="6CB3B615" w14:textId="77777777" w:rsidTr="00CD3866">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47835B65" w14:textId="77777777" w:rsidR="006A3D08" w:rsidRPr="00412466" w:rsidRDefault="006A3D08" w:rsidP="00620312">
            <w:pPr>
              <w:pStyle w:val="ListBullet"/>
              <w:rPr>
                <w:rFonts w:cstheme="minorHAnsi"/>
              </w:rPr>
            </w:pPr>
            <w:r>
              <w:rPr>
                <w:rFonts w:cstheme="minorHAnsi"/>
              </w:rPr>
              <w:t>Employers</w:t>
            </w:r>
          </w:p>
        </w:tc>
        <w:tc>
          <w:tcPr>
            <w:tcW w:w="2268" w:type="dxa"/>
          </w:tcPr>
          <w:p w14:paraId="155611C1" w14:textId="77777777"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Limited – as it is a pre-employment service</w:t>
            </w:r>
          </w:p>
        </w:tc>
        <w:tc>
          <w:tcPr>
            <w:tcW w:w="2268" w:type="dxa"/>
          </w:tcPr>
          <w:p w14:paraId="21F3C759" w14:textId="77777777"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Minimal</w:t>
            </w:r>
          </w:p>
        </w:tc>
        <w:tc>
          <w:tcPr>
            <w:tcW w:w="2268" w:type="dxa"/>
            <w:tcBorders>
              <w:right w:val="single" w:sz="4" w:space="0" w:color="auto"/>
            </w:tcBorders>
          </w:tcPr>
          <w:p w14:paraId="20335795" w14:textId="114B11F7"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Limited</w:t>
            </w:r>
            <w:r w:rsidR="00DE39D6">
              <w:t xml:space="preserve"> net benefit</w:t>
            </w:r>
          </w:p>
        </w:tc>
      </w:tr>
      <w:tr w:rsidR="006A3D08" w:rsidRPr="00B04938" w14:paraId="59E1E6A8" w14:textId="77777777" w:rsidTr="00CD3866">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455D445B" w14:textId="77777777" w:rsidR="006A3D08" w:rsidRPr="00412466" w:rsidRDefault="006A3D08" w:rsidP="00620312">
            <w:pPr>
              <w:pStyle w:val="ListBullet"/>
              <w:rPr>
                <w:rFonts w:cstheme="minorHAnsi"/>
              </w:rPr>
            </w:pPr>
            <w:r>
              <w:rPr>
                <w:rFonts w:cstheme="minorHAnsi"/>
              </w:rPr>
              <w:t>Government</w:t>
            </w:r>
            <w:r w:rsidRPr="00412466">
              <w:rPr>
                <w:rFonts w:cstheme="minorHAnsi"/>
              </w:rPr>
              <w:t xml:space="preserve"> </w:t>
            </w:r>
          </w:p>
        </w:tc>
        <w:tc>
          <w:tcPr>
            <w:tcW w:w="2268" w:type="dxa"/>
          </w:tcPr>
          <w:p w14:paraId="2614334C" w14:textId="2C9A9EAD"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Low - reduced reliance on income support and increased tax revenue as Parenting </w:t>
            </w:r>
            <w:r w:rsidR="00745609">
              <w:rPr>
                <w:rFonts w:eastAsia="Calibri" w:cs="Times New Roman"/>
              </w:rPr>
              <w:t>P</w:t>
            </w:r>
            <w:r>
              <w:rPr>
                <w:rFonts w:eastAsia="Calibri" w:cs="Times New Roman"/>
              </w:rPr>
              <w:t xml:space="preserve">ayment recipients take up work when they are ready; </w:t>
            </w:r>
            <w:r w:rsidR="00745609">
              <w:rPr>
                <w:rFonts w:eastAsia="Calibri" w:cs="Times New Roman"/>
              </w:rPr>
              <w:t xml:space="preserve">small potential </w:t>
            </w:r>
            <w:r w:rsidR="00F861AA">
              <w:rPr>
                <w:rFonts w:eastAsia="Calibri" w:cs="Times New Roman"/>
              </w:rPr>
              <w:t xml:space="preserve">increase in </w:t>
            </w:r>
            <w:r>
              <w:rPr>
                <w:rFonts w:eastAsia="Calibri" w:cs="Times New Roman"/>
              </w:rPr>
              <w:t>women’s participation with long term benefits due to reducing disadvantage narrowing the gender participation gap</w:t>
            </w:r>
          </w:p>
        </w:tc>
        <w:tc>
          <w:tcPr>
            <w:tcW w:w="2268" w:type="dxa"/>
          </w:tcPr>
          <w:p w14:paraId="7000B516" w14:textId="77777777" w:rsidR="006A3D08" w:rsidRPr="00B04938" w:rsidRDefault="006A3D08"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Implementation and program costs</w:t>
            </w:r>
          </w:p>
        </w:tc>
        <w:tc>
          <w:tcPr>
            <w:tcW w:w="2268" w:type="dxa"/>
            <w:tcBorders>
              <w:right w:val="single" w:sz="4" w:space="0" w:color="auto"/>
            </w:tcBorders>
          </w:tcPr>
          <w:p w14:paraId="662FFBF6" w14:textId="0ABC86C5" w:rsidR="006A3D08" w:rsidRPr="00B04938" w:rsidRDefault="00745609"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Low</w:t>
            </w:r>
            <w:r w:rsidR="00DE39D6">
              <w:t xml:space="preserve"> net benefit</w:t>
            </w:r>
          </w:p>
        </w:tc>
      </w:tr>
      <w:tr w:rsidR="00CD3866" w:rsidRPr="00B04938" w14:paraId="4C237B0E" w14:textId="77777777" w:rsidTr="00620312">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576A7984" w14:textId="33C0CC8F" w:rsidR="00CD3866" w:rsidRPr="00E62B2A" w:rsidRDefault="00CD3866" w:rsidP="00620312">
            <w:r>
              <w:t>C</w:t>
            </w:r>
            <w:r w:rsidRPr="00B00D9A">
              <w:t>aseload and servicing reach</w:t>
            </w:r>
          </w:p>
        </w:tc>
        <w:tc>
          <w:tcPr>
            <w:tcW w:w="2268" w:type="dxa"/>
            <w:vAlign w:val="top"/>
          </w:tcPr>
          <w:p w14:paraId="20181316" w14:textId="15B63F3D" w:rsidR="00CD3866" w:rsidRDefault="00516F7B"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FB7491">
              <w:rPr>
                <w:rFonts w:eastAsia="Calibri" w:cs="Times New Roman"/>
              </w:rPr>
              <w:t xml:space="preserve">Projected average point in time caseload of </w:t>
            </w:r>
            <w:r w:rsidR="00656A91">
              <w:rPr>
                <w:rFonts w:eastAsia="Calibri" w:cs="Times New Roman"/>
              </w:rPr>
              <w:t>12,200</w:t>
            </w:r>
            <w:r w:rsidRPr="00FB7491">
              <w:rPr>
                <w:rFonts w:eastAsia="Calibri" w:cs="Times New Roman"/>
              </w:rPr>
              <w:t xml:space="preserve"> parents</w:t>
            </w:r>
            <w:r w:rsidRPr="00FB7491" w:rsidDel="00DF51AB">
              <w:t xml:space="preserve"> </w:t>
            </w:r>
            <w:r w:rsidR="001F0B69">
              <w:t>in time</w:t>
            </w:r>
          </w:p>
        </w:tc>
        <w:tc>
          <w:tcPr>
            <w:tcW w:w="2268" w:type="dxa"/>
          </w:tcPr>
          <w:p w14:paraId="2AC4B3B7" w14:textId="1EA95B89" w:rsidR="00CD3866" w:rsidRDefault="00CD3866"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t>Limited number of providers with thin coverage</w:t>
            </w:r>
          </w:p>
        </w:tc>
        <w:tc>
          <w:tcPr>
            <w:tcW w:w="2268" w:type="dxa"/>
            <w:tcBorders>
              <w:right w:val="single" w:sz="4" w:space="0" w:color="auto"/>
            </w:tcBorders>
            <w:vAlign w:val="top"/>
          </w:tcPr>
          <w:p w14:paraId="572F497F" w14:textId="3F3CEBE4" w:rsidR="00CD3866" w:rsidRDefault="00CD3866"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Low</w:t>
            </w:r>
            <w:r>
              <w:t xml:space="preserve"> net benefit</w:t>
            </w:r>
          </w:p>
        </w:tc>
      </w:tr>
      <w:tr w:rsidR="00FD4B6D" w:rsidRPr="00B04938" w14:paraId="1CBBED61" w14:textId="77777777" w:rsidTr="00CD3866">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0834B3D6" w14:textId="77777777" w:rsidR="00FD4B6D" w:rsidRPr="00B00D9A" w:rsidRDefault="00FD4B6D" w:rsidP="00620312">
            <w:pPr>
              <w:pStyle w:val="ListBullet"/>
            </w:pPr>
            <w:r w:rsidRPr="00B00D9A">
              <w:t>Regulatory cost</w:t>
            </w:r>
          </w:p>
        </w:tc>
        <w:tc>
          <w:tcPr>
            <w:tcW w:w="2268" w:type="dxa"/>
            <w:vAlign w:val="top"/>
          </w:tcPr>
          <w:p w14:paraId="68E3D3DC" w14:textId="77777777" w:rsidR="00FD4B6D" w:rsidRDefault="00FD4B6D"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Not applicable</w:t>
            </w:r>
          </w:p>
        </w:tc>
        <w:tc>
          <w:tcPr>
            <w:tcW w:w="2268" w:type="dxa"/>
            <w:vAlign w:val="top"/>
          </w:tcPr>
          <w:p w14:paraId="074384D4" w14:textId="77777777" w:rsidR="00FD4B6D" w:rsidRDefault="00FD4B6D" w:rsidP="00620312">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Low</w:t>
            </w:r>
          </w:p>
        </w:tc>
        <w:tc>
          <w:tcPr>
            <w:tcW w:w="2268" w:type="dxa"/>
            <w:tcBorders>
              <w:right w:val="single" w:sz="4" w:space="0" w:color="auto"/>
            </w:tcBorders>
            <w:vAlign w:val="top"/>
          </w:tcPr>
          <w:p w14:paraId="444B6DB1" w14:textId="5D2D0516" w:rsidR="00FD4B6D" w:rsidRDefault="00FD4B6D" w:rsidP="00620312">
            <w:pPr>
              <w:cnfStyle w:val="000000000000" w:firstRow="0" w:lastRow="0" w:firstColumn="0" w:lastColumn="0" w:oddVBand="0" w:evenVBand="0" w:oddHBand="0" w:evenHBand="0" w:firstRowFirstColumn="0" w:firstRowLastColumn="0" w:lastRowFirstColumn="0" w:lastRowLastColumn="0"/>
            </w:pPr>
            <w:r>
              <w:t>Low</w:t>
            </w:r>
            <w:r w:rsidR="00DE39D6">
              <w:t xml:space="preserve"> net benefit</w:t>
            </w:r>
          </w:p>
        </w:tc>
      </w:tr>
    </w:tbl>
    <w:p w14:paraId="627C5610" w14:textId="77777777" w:rsidR="00450570" w:rsidRDefault="00450570" w:rsidP="00450570">
      <w:pPr>
        <w:pStyle w:val="Heading4"/>
        <w:rPr>
          <w:lang w:val="en-US"/>
        </w:rPr>
      </w:pPr>
      <w:r w:rsidRPr="002A45AC">
        <w:rPr>
          <w:lang w:val="en-US"/>
        </w:rPr>
        <w:t>Parents</w:t>
      </w:r>
    </w:p>
    <w:p w14:paraId="56FE800C" w14:textId="77777777" w:rsidR="00450570" w:rsidRPr="004A6E2F" w:rsidRDefault="00450570" w:rsidP="00450570">
      <w:pPr>
        <w:pStyle w:val="Heading5"/>
        <w:keepNext w:val="0"/>
        <w:rPr>
          <w:lang w:val="en-US"/>
        </w:rPr>
      </w:pPr>
      <w:r>
        <w:rPr>
          <w:lang w:val="en-US"/>
        </w:rPr>
        <w:t xml:space="preserve">Benefits </w:t>
      </w:r>
    </w:p>
    <w:p w14:paraId="50AB40A6" w14:textId="79CB25FF" w:rsidR="001432DE" w:rsidRDefault="00450570" w:rsidP="00450570">
      <w:r>
        <w:t xml:space="preserve">As outlined for </w:t>
      </w:r>
      <w:r w:rsidR="00A2716A">
        <w:t>O</w:t>
      </w:r>
      <w:r>
        <w:t>ption 2, participating parents would benefit from access to a voluntary, parent-centric service offering flexible assistance and financial support through trained mentors to assist them to progress towards their education and employment goals</w:t>
      </w:r>
      <w:r w:rsidR="0099334F">
        <w:t>.</w:t>
      </w:r>
      <w:r w:rsidR="00BB5A85">
        <w:t xml:space="preserve"> </w:t>
      </w:r>
      <w:r w:rsidR="001432DE">
        <w:t xml:space="preserve">This includes access through their provider to pooled funding credited with $600 each time a </w:t>
      </w:r>
      <w:r w:rsidR="00064714">
        <w:t>participant</w:t>
      </w:r>
      <w:r w:rsidR="001432DE">
        <w:t xml:space="preserve"> commences </w:t>
      </w:r>
      <w:r w:rsidR="00064714">
        <w:t>and</w:t>
      </w:r>
      <w:r w:rsidR="001432DE">
        <w:t xml:space="preserve">, </w:t>
      </w:r>
      <w:r w:rsidR="00064714">
        <w:t>for</w:t>
      </w:r>
      <w:r w:rsidR="001432DE">
        <w:t xml:space="preserve"> the new </w:t>
      </w:r>
      <w:r w:rsidR="00064714">
        <w:t>service</w:t>
      </w:r>
      <w:r w:rsidR="001432DE">
        <w:t>,</w:t>
      </w:r>
      <w:r w:rsidR="009C7A1C">
        <w:t xml:space="preserve"> to</w:t>
      </w:r>
      <w:r w:rsidR="001432DE">
        <w:t xml:space="preserve"> the</w:t>
      </w:r>
      <w:r w:rsidR="009C7A1C">
        <w:t>ir</w:t>
      </w:r>
      <w:r w:rsidR="001432DE">
        <w:t xml:space="preserve"> </w:t>
      </w:r>
      <w:r w:rsidR="00911D87">
        <w:t xml:space="preserve">Individual Fund </w:t>
      </w:r>
      <w:r w:rsidR="00064714">
        <w:t>of $1250 annually.</w:t>
      </w:r>
    </w:p>
    <w:p w14:paraId="7FF7DA3D" w14:textId="2183348E" w:rsidR="00450570" w:rsidRDefault="00450570" w:rsidP="000527DD">
      <w:pPr>
        <w:pStyle w:val="Heading5"/>
        <w:rPr>
          <w:lang w:val="en-US"/>
        </w:rPr>
      </w:pPr>
      <w:r w:rsidRPr="00450570">
        <w:rPr>
          <w:lang w:val="en-US"/>
        </w:rPr>
        <w:lastRenderedPageBreak/>
        <w:t>Costs</w:t>
      </w:r>
    </w:p>
    <w:p w14:paraId="5709883D" w14:textId="15236A7C" w:rsidR="00977689" w:rsidRPr="00977689" w:rsidRDefault="00694B3F" w:rsidP="00977689">
      <w:r>
        <w:t>Restricting</w:t>
      </w:r>
      <w:r w:rsidR="006D0FEB">
        <w:t xml:space="preserve"> </w:t>
      </w:r>
      <w:r w:rsidR="006D0FEB" w:rsidRPr="001546DD">
        <w:t xml:space="preserve">eligibility to Parenting Payment recipients means that many vulnerable parents not receiving those payments will miss out and will face the challenges described under </w:t>
      </w:r>
      <w:r w:rsidR="00A2716A">
        <w:t>O</w:t>
      </w:r>
      <w:r w:rsidR="006D0FEB" w:rsidRPr="001546DD">
        <w:t>ption 1.</w:t>
      </w:r>
      <w:r w:rsidR="006D0FEB">
        <w:t xml:space="preserve"> Prioritising access for particular cohorts will be more complex to </w:t>
      </w:r>
      <w:r w:rsidR="006D0FEB" w:rsidRPr="00DE39D6">
        <w:t xml:space="preserve">administer and </w:t>
      </w:r>
      <w:r w:rsidR="008A3053" w:rsidRPr="00DE39D6">
        <w:t xml:space="preserve">may </w:t>
      </w:r>
      <w:r w:rsidR="006D0FEB" w:rsidRPr="00DE39D6">
        <w:t>limit the</w:t>
      </w:r>
      <w:r w:rsidR="006D0FEB">
        <w:t xml:space="preserve"> number of parents volunteering into the service.</w:t>
      </w:r>
    </w:p>
    <w:p w14:paraId="2E6E4EF5" w14:textId="30A88AB9" w:rsidR="00450570" w:rsidRDefault="00450570" w:rsidP="009C7A1C">
      <w:pPr>
        <w:pStyle w:val="Heading4"/>
        <w:rPr>
          <w:lang w:val="en-US"/>
        </w:rPr>
      </w:pPr>
      <w:r>
        <w:rPr>
          <w:lang w:val="en-US"/>
        </w:rPr>
        <w:t>Providers</w:t>
      </w:r>
    </w:p>
    <w:p w14:paraId="58D7EB56" w14:textId="77777777" w:rsidR="00450570" w:rsidRPr="004A6E2F" w:rsidRDefault="00450570" w:rsidP="009C7A1C">
      <w:pPr>
        <w:pStyle w:val="Heading5"/>
        <w:rPr>
          <w:lang w:val="en-US"/>
        </w:rPr>
      </w:pPr>
      <w:r>
        <w:rPr>
          <w:lang w:val="en-US"/>
        </w:rPr>
        <w:t xml:space="preserve">Benefits </w:t>
      </w:r>
    </w:p>
    <w:p w14:paraId="2E8171A6" w14:textId="13E11992" w:rsidR="00450570" w:rsidRDefault="00450570" w:rsidP="001F07F1">
      <w:r>
        <w:t xml:space="preserve">As described at </w:t>
      </w:r>
      <w:r w:rsidR="00A2716A">
        <w:t>O</w:t>
      </w:r>
      <w:r w:rsidR="00C942E5">
        <w:t xml:space="preserve">ption 2, </w:t>
      </w:r>
      <w:r>
        <w:t>providers will benefit from clear requirements, simple processes backed by I</w:t>
      </w:r>
      <w:r w:rsidR="00D0206C">
        <w:t>C</w:t>
      </w:r>
      <w:r>
        <w:t>T and outreach funding for engagement with parents and local organisation</w:t>
      </w:r>
      <w:r w:rsidR="001F07F1">
        <w:t>s.</w:t>
      </w:r>
    </w:p>
    <w:p w14:paraId="754EF3F0" w14:textId="4BA5CEAE" w:rsidR="006D5A81" w:rsidRDefault="0050296F" w:rsidP="001F07F1">
      <w:r>
        <w:t>Providers</w:t>
      </w:r>
      <w:r w:rsidR="006D5A81">
        <w:t xml:space="preserve"> </w:t>
      </w:r>
      <w:r w:rsidR="00EA3341">
        <w:t>of</w:t>
      </w:r>
      <w:r w:rsidR="006D5A81">
        <w:t xml:space="preserve"> the new service will receive </w:t>
      </w:r>
      <w:r w:rsidR="00D600FA">
        <w:t xml:space="preserve">6-monthly service fees of $1,500 per participants as well as annual </w:t>
      </w:r>
      <w:r w:rsidR="006A0F1C">
        <w:t>funding</w:t>
      </w:r>
      <w:r w:rsidR="00D600FA">
        <w:t xml:space="preserve"> of $25,000 per </w:t>
      </w:r>
      <w:r w:rsidR="00EA3341">
        <w:t>service</w:t>
      </w:r>
      <w:r w:rsidR="00D600FA">
        <w:t xml:space="preserve"> site for outreach and engagement act</w:t>
      </w:r>
      <w:r w:rsidR="00EA3341">
        <w:t xml:space="preserve">ivities. During the contract extension period, </w:t>
      </w:r>
      <w:r w:rsidR="006A0F1C">
        <w:t xml:space="preserve">the existing payment model will continue for </w:t>
      </w:r>
      <w:r w:rsidR="00EA3341">
        <w:t xml:space="preserve">ParentsNext providers </w:t>
      </w:r>
      <w:r w:rsidR="006A0F1C">
        <w:t>including</w:t>
      </w:r>
      <w:r w:rsidR="00EA3341">
        <w:t xml:space="preserve"> </w:t>
      </w:r>
      <w:r w:rsidR="00250808">
        <w:t xml:space="preserve">service fees as well as </w:t>
      </w:r>
      <w:r w:rsidR="00EA3341">
        <w:t xml:space="preserve">education and employment outcome </w:t>
      </w:r>
      <w:r w:rsidR="006A0F1C">
        <w:t>payments</w:t>
      </w:r>
      <w:r w:rsidR="00EA3341">
        <w:t xml:space="preserve"> </w:t>
      </w:r>
      <w:r w:rsidR="006B5202">
        <w:t xml:space="preserve">of $313.20 </w:t>
      </w:r>
      <w:r w:rsidR="00EA3341">
        <w:t>when participants attain eligible qualifications or stay in work.</w:t>
      </w:r>
    </w:p>
    <w:p w14:paraId="310FAF6A" w14:textId="77777777" w:rsidR="00C942E5" w:rsidRDefault="00C942E5" w:rsidP="006D5A81">
      <w:pPr>
        <w:pStyle w:val="Heading5"/>
        <w:rPr>
          <w:lang w:val="en-US"/>
        </w:rPr>
      </w:pPr>
      <w:r w:rsidRPr="00450570">
        <w:rPr>
          <w:lang w:val="en-US"/>
        </w:rPr>
        <w:t>Costs</w:t>
      </w:r>
    </w:p>
    <w:p w14:paraId="5598EF3F" w14:textId="1F170119" w:rsidR="004B5926" w:rsidRDefault="004B5926" w:rsidP="004B5926">
      <w:r>
        <w:t xml:space="preserve">With fewer potential participants, diversity of providers and coverage is unlikely to be achieved </w:t>
      </w:r>
      <w:r w:rsidR="00707AF0">
        <w:t xml:space="preserve">in the new service </w:t>
      </w:r>
      <w:r>
        <w:t>as, with smaller caseloads, the service may not be feasible in all non-remote locations.</w:t>
      </w:r>
      <w:r w:rsidR="00B974DF">
        <w:t xml:space="preserve"> </w:t>
      </w:r>
      <w:r w:rsidR="00984CA2" w:rsidRPr="00142F00">
        <w:t>Services would be less convenient</w:t>
      </w:r>
      <w:r w:rsidR="00A132CC" w:rsidRPr="00142F00">
        <w:t xml:space="preserve"> or</w:t>
      </w:r>
      <w:r w:rsidR="00984CA2" w:rsidRPr="00142F00">
        <w:t xml:space="preserve"> locally relevant and quality may suffer.</w:t>
      </w:r>
    </w:p>
    <w:p w14:paraId="79F1BBDB" w14:textId="5091DAF2" w:rsidR="0050296F" w:rsidRDefault="00CB2AD1" w:rsidP="0050296F">
      <w:r>
        <w:t>P</w:t>
      </w:r>
      <w:r w:rsidR="0050296F">
        <w:t>roviders will need to maintain a reputation of providing quality services and invest in local connections and attracting and retaining participants. Any successful tenderers wh</w:t>
      </w:r>
      <w:r>
        <w:t>ich</w:t>
      </w:r>
      <w:r w:rsidR="0050296F">
        <w:t xml:space="preserve"> previously delivered ParentsNext will need to invest time and resources into </w:t>
      </w:r>
      <w:r w:rsidR="005A7E6B">
        <w:t>their</w:t>
      </w:r>
      <w:r w:rsidR="0050296F">
        <w:t xml:space="preserve"> new </w:t>
      </w:r>
      <w:r w:rsidR="00982E6A">
        <w:t xml:space="preserve">parent-centric </w:t>
      </w:r>
      <w:r w:rsidR="0050296F">
        <w:t xml:space="preserve">servicing model </w:t>
      </w:r>
      <w:r w:rsidR="005A7E6B">
        <w:t xml:space="preserve">and </w:t>
      </w:r>
      <w:r w:rsidR="0050296F">
        <w:t xml:space="preserve">have appropriately qualified frontline </w:t>
      </w:r>
      <w:r w:rsidR="00982E6A">
        <w:t xml:space="preserve">staff as </w:t>
      </w:r>
      <w:r w:rsidR="0050296F">
        <w:t>mentors</w:t>
      </w:r>
      <w:r w:rsidR="00982E6A">
        <w:t>.</w:t>
      </w:r>
    </w:p>
    <w:p w14:paraId="1B623D77" w14:textId="5BC4FEFB" w:rsidR="0050296F" w:rsidRPr="001546DD" w:rsidRDefault="0050296F" w:rsidP="004B5926">
      <w:r>
        <w:t xml:space="preserve">There will be some administrative </w:t>
      </w:r>
      <w:r w:rsidR="009C362A">
        <w:t>costs for</w:t>
      </w:r>
      <w:r>
        <w:t xml:space="preserve"> providers for activities which are </w:t>
      </w:r>
      <w:r w:rsidR="00E36D14">
        <w:t>essential</w:t>
      </w:r>
      <w:r>
        <w:t xml:space="preserve"> to the operation of the service and ensuring value for money in expenditure. These include registration of participants, staff training, management of financial assistance and, in the new service, reporting on outreach and collaboration activities. Providers will have access to the department’s ICT systems to support them in delivering the services.</w:t>
      </w:r>
    </w:p>
    <w:p w14:paraId="63C4D1B1" w14:textId="746B67AC" w:rsidR="00C942E5" w:rsidRDefault="00C942E5" w:rsidP="00AE76A9">
      <w:pPr>
        <w:pStyle w:val="Heading4"/>
        <w:rPr>
          <w:lang w:val="en-US"/>
        </w:rPr>
      </w:pPr>
      <w:r>
        <w:rPr>
          <w:lang w:val="en-US"/>
        </w:rPr>
        <w:t>Employers</w:t>
      </w:r>
    </w:p>
    <w:p w14:paraId="10AD56E2" w14:textId="77777777" w:rsidR="00C942E5" w:rsidRPr="004A6E2F" w:rsidRDefault="00C942E5" w:rsidP="00AE76A9">
      <w:pPr>
        <w:pStyle w:val="Heading5"/>
        <w:rPr>
          <w:lang w:val="en-US"/>
        </w:rPr>
      </w:pPr>
      <w:r>
        <w:rPr>
          <w:lang w:val="en-US"/>
        </w:rPr>
        <w:t xml:space="preserve">Benefits </w:t>
      </w:r>
    </w:p>
    <w:p w14:paraId="56E57867" w14:textId="306854FC" w:rsidR="00C7082D" w:rsidRDefault="004B5926" w:rsidP="004B5926">
      <w:r w:rsidRPr="004B5926">
        <w:t>Consistent</w:t>
      </w:r>
      <w:r w:rsidR="00C942E5" w:rsidRPr="004B5926">
        <w:t xml:space="preserve"> </w:t>
      </w:r>
      <w:r w:rsidR="00C7082D" w:rsidRPr="004B5926">
        <w:t xml:space="preserve">with </w:t>
      </w:r>
      <w:r w:rsidR="00A2716A">
        <w:t>O</w:t>
      </w:r>
      <w:r w:rsidRPr="004B5926">
        <w:t>ption</w:t>
      </w:r>
      <w:r w:rsidR="00C7082D" w:rsidRPr="004B5926">
        <w:t xml:space="preserve"> 2, </w:t>
      </w:r>
      <w:r w:rsidR="00C7082D">
        <w:t>employers will benefit from the opportunity to hire parents who have decided that the time is right for them to take up work</w:t>
      </w:r>
      <w:r w:rsidR="008A7BA0">
        <w:t xml:space="preserve"> and have received pre-employment support.</w:t>
      </w:r>
    </w:p>
    <w:p w14:paraId="168BB42F" w14:textId="77777777" w:rsidR="00C7082D" w:rsidRDefault="00C7082D" w:rsidP="00C7082D">
      <w:pPr>
        <w:pStyle w:val="Heading5"/>
        <w:keepNext w:val="0"/>
        <w:rPr>
          <w:lang w:val="en-US"/>
        </w:rPr>
      </w:pPr>
      <w:r w:rsidRPr="00450570">
        <w:rPr>
          <w:lang w:val="en-US"/>
        </w:rPr>
        <w:t>Costs</w:t>
      </w:r>
    </w:p>
    <w:p w14:paraId="088C3549" w14:textId="7CD81ACD" w:rsidR="00C7082D" w:rsidRPr="00EE3910" w:rsidRDefault="00EE3910" w:rsidP="00EE3910">
      <w:r w:rsidRPr="00EE3910">
        <w:t xml:space="preserve">There will be </w:t>
      </w:r>
      <w:r>
        <w:t>minimal</w:t>
      </w:r>
      <w:r w:rsidRPr="00EE3910">
        <w:t xml:space="preserve"> administrative costs for employers for documentation </w:t>
      </w:r>
      <w:r w:rsidR="007B1D39">
        <w:t xml:space="preserve">for </w:t>
      </w:r>
      <w:r w:rsidRPr="00EE3910">
        <w:t>wage subsid</w:t>
      </w:r>
      <w:r w:rsidR="00D977B9">
        <w:t>i</w:t>
      </w:r>
      <w:r w:rsidRPr="00EE3910">
        <w:t xml:space="preserve">es or work experience activities where </w:t>
      </w:r>
      <w:r w:rsidR="00AC7C4D">
        <w:t>they occur</w:t>
      </w:r>
      <w:r w:rsidR="00461C83">
        <w:t>.</w:t>
      </w:r>
    </w:p>
    <w:p w14:paraId="05E4EC91" w14:textId="414BEA6D" w:rsidR="00C7082D" w:rsidRDefault="00C7082D" w:rsidP="008825A2">
      <w:pPr>
        <w:pStyle w:val="Heading4"/>
        <w:rPr>
          <w:lang w:val="en-US"/>
        </w:rPr>
      </w:pPr>
      <w:r>
        <w:rPr>
          <w:lang w:val="en-US"/>
        </w:rPr>
        <w:lastRenderedPageBreak/>
        <w:t>Government</w:t>
      </w:r>
    </w:p>
    <w:p w14:paraId="3A542F3F" w14:textId="77777777" w:rsidR="00C7082D" w:rsidRPr="004A6E2F" w:rsidRDefault="00C7082D" w:rsidP="008825A2">
      <w:pPr>
        <w:pStyle w:val="Heading5"/>
        <w:rPr>
          <w:lang w:val="en-US"/>
        </w:rPr>
      </w:pPr>
      <w:r>
        <w:rPr>
          <w:lang w:val="en-US"/>
        </w:rPr>
        <w:t xml:space="preserve">Benefits </w:t>
      </w:r>
    </w:p>
    <w:p w14:paraId="4E4A5D89" w14:textId="62295C3A" w:rsidR="000519C5" w:rsidRDefault="000519C5" w:rsidP="000519C5">
      <w:r>
        <w:t>The</w:t>
      </w:r>
      <w:r w:rsidR="00C7082D">
        <w:t xml:space="preserve"> government will benefit from assisting </w:t>
      </w:r>
      <w:r>
        <w:t xml:space="preserve">Parenting Payment recipients </w:t>
      </w:r>
      <w:r w:rsidR="00C7082D">
        <w:t>facing entrenched disadvantage to develop their capability and move into the workforce</w:t>
      </w:r>
      <w:r>
        <w:t xml:space="preserve">. However, the benefits would be reduced </w:t>
      </w:r>
      <w:r w:rsidR="006D0FEB">
        <w:t>compared</w:t>
      </w:r>
      <w:r w:rsidR="002F1D68">
        <w:t xml:space="preserve"> to </w:t>
      </w:r>
      <w:r w:rsidR="00A2716A">
        <w:t>O</w:t>
      </w:r>
      <w:r w:rsidR="002F1D68">
        <w:t>pt</w:t>
      </w:r>
      <w:r w:rsidR="006D0FEB">
        <w:t xml:space="preserve">ion 2 </w:t>
      </w:r>
      <w:r>
        <w:t>as fewer vulnerable parents will be eligible to participate</w:t>
      </w:r>
      <w:r w:rsidR="00B31905">
        <w:t xml:space="preserve"> in the new service</w:t>
      </w:r>
      <w:r>
        <w:t xml:space="preserve"> under this </w:t>
      </w:r>
      <w:r w:rsidR="0027014E">
        <w:t>option</w:t>
      </w:r>
      <w:r>
        <w:t>.</w:t>
      </w:r>
    </w:p>
    <w:p w14:paraId="5E364BFD" w14:textId="692F7361" w:rsidR="008A7BA0" w:rsidRPr="008A7BA0" w:rsidRDefault="008A7BA0" w:rsidP="008A7BA0">
      <w:pPr>
        <w:pStyle w:val="Heading5"/>
        <w:keepNext w:val="0"/>
        <w:rPr>
          <w:lang w:val="en-US"/>
        </w:rPr>
      </w:pPr>
      <w:r>
        <w:rPr>
          <w:lang w:val="en-US"/>
        </w:rPr>
        <w:t>Costs</w:t>
      </w:r>
    </w:p>
    <w:p w14:paraId="51FCBDFC" w14:textId="07041D52" w:rsidR="00594DD4" w:rsidRDefault="0044590F" w:rsidP="000519C5">
      <w:r w:rsidRPr="003E6F3C">
        <w:t>The short-term costs to government, such as procurement and I</w:t>
      </w:r>
      <w:r w:rsidR="00C76973">
        <w:t>C</w:t>
      </w:r>
      <w:r w:rsidRPr="003E6F3C">
        <w:t xml:space="preserve">T development, would be largely the same as described in </w:t>
      </w:r>
      <w:r w:rsidR="00A2716A">
        <w:t>O</w:t>
      </w:r>
      <w:r w:rsidRPr="003E6F3C">
        <w:t xml:space="preserve">ption 2 as they are unaffected by the size of the potential pool of participants. </w:t>
      </w:r>
      <w:r w:rsidR="00AE2D3E">
        <w:t>Ongoing program costs would be lowe</w:t>
      </w:r>
      <w:r w:rsidR="00527AE1">
        <w:t>r than Option 2, largely as a result of fewer participants.</w:t>
      </w:r>
    </w:p>
    <w:p w14:paraId="09E541E8" w14:textId="0D27FC0A" w:rsidR="008A7BA0" w:rsidRDefault="0044590F" w:rsidP="000519C5">
      <w:r w:rsidRPr="003E6F3C">
        <w:t>More broadly, parents excluded under stricter eligibility provisions will continue to face the prospect of entrenched disadvantage.</w:t>
      </w:r>
    </w:p>
    <w:p w14:paraId="14C9BC3F" w14:textId="6219230F" w:rsidR="007B1D39" w:rsidRPr="00D533FF" w:rsidRDefault="007B1D39" w:rsidP="007B1D39">
      <w:pPr>
        <w:pStyle w:val="Heading4"/>
        <w:rPr>
          <w:lang w:val="en-US"/>
        </w:rPr>
      </w:pPr>
      <w:r w:rsidRPr="00D533FF">
        <w:rPr>
          <w:lang w:val="en-US"/>
        </w:rPr>
        <w:t xml:space="preserve">Risks and </w:t>
      </w:r>
      <w:r w:rsidR="00A16273">
        <w:rPr>
          <w:lang w:val="en-US"/>
        </w:rPr>
        <w:t>m</w:t>
      </w:r>
      <w:r w:rsidRPr="00D533FF">
        <w:rPr>
          <w:lang w:val="en-US"/>
        </w:rPr>
        <w:t xml:space="preserve">itigation </w:t>
      </w:r>
      <w:r w:rsidR="00A16273">
        <w:rPr>
          <w:lang w:val="en-US"/>
        </w:rPr>
        <w:t>s</w:t>
      </w:r>
      <w:r w:rsidRPr="00D533FF">
        <w:rPr>
          <w:lang w:val="en-US"/>
        </w:rPr>
        <w:t xml:space="preserve">trategies </w:t>
      </w:r>
    </w:p>
    <w:p w14:paraId="1A478558" w14:textId="16DAC436" w:rsidR="007B1D39" w:rsidRDefault="007B1D39" w:rsidP="007B1D39">
      <w:pPr>
        <w:pStyle w:val="Heading5"/>
      </w:pPr>
      <w:r w:rsidRPr="00051848">
        <w:t xml:space="preserve">Attracting </w:t>
      </w:r>
      <w:r w:rsidR="00110D36">
        <w:t>and supporting p</w:t>
      </w:r>
      <w:r w:rsidRPr="00051848">
        <w:t>articipants</w:t>
      </w:r>
      <w:r w:rsidRPr="00D533FF">
        <w:t xml:space="preserve"> </w:t>
      </w:r>
    </w:p>
    <w:p w14:paraId="1ED029EA" w14:textId="708D2F76" w:rsidR="00AA5E6A" w:rsidRDefault="00460B63" w:rsidP="007B1D39">
      <w:pPr>
        <w:keepNext/>
      </w:pPr>
      <w:r w:rsidRPr="00DE39D6">
        <w:t xml:space="preserve">Option 3 has </w:t>
      </w:r>
      <w:r w:rsidR="003F116A" w:rsidRPr="00DE39D6">
        <w:t>tighter eligibility</w:t>
      </w:r>
      <w:r w:rsidRPr="00DE39D6">
        <w:t xml:space="preserve">, </w:t>
      </w:r>
      <w:r w:rsidR="00F217BA" w:rsidRPr="00DE39D6">
        <w:t xml:space="preserve">a </w:t>
      </w:r>
      <w:r w:rsidR="003F116A" w:rsidRPr="00DE39D6">
        <w:t>lower</w:t>
      </w:r>
      <w:r w:rsidR="009943F3" w:rsidRPr="00DE39D6">
        <w:t xml:space="preserve"> projected </w:t>
      </w:r>
      <w:r w:rsidR="00F217BA" w:rsidRPr="00DE39D6">
        <w:t>caseload</w:t>
      </w:r>
      <w:r w:rsidR="00323AB5" w:rsidRPr="00DE39D6">
        <w:t xml:space="preserve"> </w:t>
      </w:r>
      <w:r w:rsidRPr="00DE39D6">
        <w:t xml:space="preserve">and </w:t>
      </w:r>
      <w:r w:rsidR="00AA5E6A" w:rsidRPr="00DE39D6">
        <w:t>fewer</w:t>
      </w:r>
      <w:r w:rsidRPr="00DE39D6">
        <w:t xml:space="preserve"> </w:t>
      </w:r>
      <w:r w:rsidR="00E35E36" w:rsidRPr="00DE39D6">
        <w:t xml:space="preserve">expected </w:t>
      </w:r>
      <w:r w:rsidR="00AA5E6A" w:rsidRPr="00DE39D6">
        <w:t>providers</w:t>
      </w:r>
      <w:r w:rsidRPr="00DE39D6">
        <w:t xml:space="preserve"> than </w:t>
      </w:r>
      <w:r w:rsidR="00DE39D6">
        <w:br/>
      </w:r>
      <w:r w:rsidR="00DF5524" w:rsidRPr="00DE39D6">
        <w:t>Option</w:t>
      </w:r>
      <w:r w:rsidR="00DE39D6">
        <w:t xml:space="preserve"> </w:t>
      </w:r>
      <w:r w:rsidRPr="00DE39D6">
        <w:t>2</w:t>
      </w:r>
      <w:r w:rsidR="00AA5E6A" w:rsidRPr="00DE39D6">
        <w:t>.</w:t>
      </w:r>
    </w:p>
    <w:p w14:paraId="229909F4" w14:textId="529CD28F" w:rsidR="005818C8" w:rsidRDefault="00774CF8" w:rsidP="00683154">
      <w:r>
        <w:t xml:space="preserve">Outreach funding will assist providers to </w:t>
      </w:r>
      <w:r w:rsidR="00920866">
        <w:t xml:space="preserve">attract </w:t>
      </w:r>
      <w:r w:rsidR="0006707A">
        <w:t>potential part</w:t>
      </w:r>
      <w:r w:rsidR="008A6B6C">
        <w:t>i</w:t>
      </w:r>
      <w:r w:rsidR="0006707A">
        <w:t>cipants</w:t>
      </w:r>
      <w:r w:rsidR="00920866">
        <w:t xml:space="preserve"> </w:t>
      </w:r>
      <w:r w:rsidR="008A6B6C">
        <w:t xml:space="preserve">and link with community organisations and services. </w:t>
      </w:r>
      <w:r w:rsidR="005818C8">
        <w:t xml:space="preserve">This will be complemented by information on government websites and in the community as well as </w:t>
      </w:r>
      <w:r w:rsidR="003E081A">
        <w:t xml:space="preserve">when parents </w:t>
      </w:r>
      <w:r w:rsidR="005818C8">
        <w:t>engage with government services.</w:t>
      </w:r>
    </w:p>
    <w:p w14:paraId="17355434" w14:textId="4A580EFA" w:rsidR="009D5C5E" w:rsidRDefault="00713683" w:rsidP="007B1D39">
      <w:pPr>
        <w:keepNext/>
      </w:pPr>
      <w:r>
        <w:t>The payment model, with higher service fees than under ParentsNext and no outcome payments</w:t>
      </w:r>
      <w:r w:rsidR="00800D88">
        <w:t>,</w:t>
      </w:r>
      <w:r>
        <w:t xml:space="preserve"> means that providers will be able to work with parents as they </w:t>
      </w:r>
      <w:r w:rsidR="00946F98">
        <w:t xml:space="preserve">progress towards their goals. </w:t>
      </w:r>
      <w:r w:rsidR="00EB333A">
        <w:t xml:space="preserve">Financial assistance through the </w:t>
      </w:r>
      <w:r w:rsidR="00911D87">
        <w:t>Individual Fund</w:t>
      </w:r>
      <w:r w:rsidR="00851ED3">
        <w:t xml:space="preserve"> and </w:t>
      </w:r>
      <w:r w:rsidR="00553662">
        <w:t xml:space="preserve">pooled funding </w:t>
      </w:r>
      <w:r w:rsidR="004C6374">
        <w:t>may</w:t>
      </w:r>
      <w:r w:rsidR="00553662">
        <w:t xml:space="preserve"> </w:t>
      </w:r>
      <w:r w:rsidR="004C6374">
        <w:t>help</w:t>
      </w:r>
      <w:r w:rsidR="00553662">
        <w:t xml:space="preserve"> parents to access services</w:t>
      </w:r>
      <w:r w:rsidR="009D5C5E">
        <w:t>.</w:t>
      </w:r>
    </w:p>
    <w:p w14:paraId="415D9FF4" w14:textId="3C7E4D85" w:rsidR="005B4302" w:rsidRPr="7AE3B542" w:rsidRDefault="005B4302" w:rsidP="005B4302">
      <w:r>
        <w:t xml:space="preserve">The procurement process, deed, guidelines and performance framework will be designed to ensure that providers are reaching out to potential participants and are not relying on </w:t>
      </w:r>
      <w:r w:rsidR="0044250F">
        <w:t>Service</w:t>
      </w:r>
      <w:r w:rsidR="00113583">
        <w:t>s</w:t>
      </w:r>
      <w:r w:rsidR="0044250F">
        <w:t xml:space="preserve"> Australia </w:t>
      </w:r>
      <w:r w:rsidR="00113583">
        <w:t>to connect them</w:t>
      </w:r>
      <w:r>
        <w:t>.</w:t>
      </w:r>
    </w:p>
    <w:p w14:paraId="631BBC93" w14:textId="77777777" w:rsidR="007B1D39" w:rsidRDefault="007B1D39" w:rsidP="007B1D39">
      <w:pPr>
        <w:pStyle w:val="Heading5"/>
      </w:pPr>
      <w:r>
        <w:t>Role of community-based organisations in delivering the service</w:t>
      </w:r>
    </w:p>
    <w:p w14:paraId="49762A80" w14:textId="5B0BD29E" w:rsidR="007B1D39" w:rsidRDefault="00C25622" w:rsidP="000519C5">
      <w:r>
        <w:t xml:space="preserve">While fewer providers are </w:t>
      </w:r>
      <w:r w:rsidR="00C77778">
        <w:t>expected</w:t>
      </w:r>
      <w:r>
        <w:t xml:space="preserve"> than under Option </w:t>
      </w:r>
      <w:r w:rsidR="00C77778">
        <w:t>2, diversity will still be encouraged</w:t>
      </w:r>
      <w:r w:rsidR="007B1D39">
        <w:t xml:space="preserve">. </w:t>
      </w:r>
      <w:r w:rsidR="006F6211">
        <w:t>There will be ad</w:t>
      </w:r>
      <w:r w:rsidR="007B1D39">
        <w:t xml:space="preserve">ditional support </w:t>
      </w:r>
      <w:r w:rsidR="00D74BB2">
        <w:t xml:space="preserve">to build the capacity of </w:t>
      </w:r>
      <w:r w:rsidR="006F6211">
        <w:t xml:space="preserve">small </w:t>
      </w:r>
      <w:r w:rsidR="007B1D39">
        <w:t>organisations engaged to provide the services.</w:t>
      </w:r>
    </w:p>
    <w:p w14:paraId="4F3320B0" w14:textId="49D8D342" w:rsidR="00F42435" w:rsidRPr="009D62FF" w:rsidRDefault="00F42435" w:rsidP="009D4054">
      <w:pPr>
        <w:pStyle w:val="Heading3"/>
        <w:rPr>
          <w:lang w:val="en-US"/>
        </w:rPr>
      </w:pPr>
      <w:bookmarkStart w:id="73" w:name="_Toc151123123"/>
      <w:r w:rsidRPr="009D62FF">
        <w:rPr>
          <w:lang w:val="en-US"/>
        </w:rPr>
        <w:t>Regul</w:t>
      </w:r>
      <w:r>
        <w:rPr>
          <w:lang w:val="en-US"/>
        </w:rPr>
        <w:t>a</w:t>
      </w:r>
      <w:r w:rsidRPr="009D62FF">
        <w:rPr>
          <w:lang w:val="en-US"/>
        </w:rPr>
        <w:t xml:space="preserve">tory </w:t>
      </w:r>
      <w:r w:rsidR="00683154">
        <w:rPr>
          <w:lang w:val="en-US"/>
        </w:rPr>
        <w:t>c</w:t>
      </w:r>
      <w:r w:rsidR="00683154" w:rsidRPr="009D62FF">
        <w:rPr>
          <w:lang w:val="en-US"/>
        </w:rPr>
        <w:t>osts</w:t>
      </w:r>
      <w:bookmarkEnd w:id="73"/>
    </w:p>
    <w:p w14:paraId="48809875" w14:textId="49D34A85" w:rsidR="009425E6" w:rsidRDefault="00F42435" w:rsidP="00F42435">
      <w:r>
        <w:t>Regulatory costs associated with Option 3 are provided in Table</w:t>
      </w:r>
      <w:r w:rsidR="008A3053">
        <w:t>s</w:t>
      </w:r>
      <w:r>
        <w:t xml:space="preserve"> </w:t>
      </w:r>
      <w:r w:rsidR="008A3053">
        <w:t xml:space="preserve">7 and 8 </w:t>
      </w:r>
      <w:r>
        <w:t>and are based on the Regulatory Burden Measurement Framework. Th</w:t>
      </w:r>
      <w:r w:rsidR="00BD53EB">
        <w:t>ese</w:t>
      </w:r>
      <w:r>
        <w:t xml:space="preserve"> regulatory costs cover the extension of the ParentsNext program for the period July 2024 to </w:t>
      </w:r>
      <w:r w:rsidR="00F5380A">
        <w:t>Octo</w:t>
      </w:r>
      <w:r w:rsidR="00AD28E9">
        <w:t>ber 2024</w:t>
      </w:r>
      <w:r>
        <w:t xml:space="preserve"> as well as the operation of the new service from </w:t>
      </w:r>
      <w:r w:rsidR="008569F8">
        <w:t>November 2024</w:t>
      </w:r>
      <w:r>
        <w:t xml:space="preserve">. </w:t>
      </w:r>
      <w:r w:rsidR="009425E6">
        <w:t xml:space="preserve">They arise </w:t>
      </w:r>
      <w:r w:rsidR="009425E6">
        <w:rPr>
          <w:rFonts w:cstheme="minorHAnsi"/>
          <w:color w:val="000000" w:themeColor="text1"/>
        </w:rPr>
        <w:t>mainly from businesses and community organisations that deliver the services undertaking essential contractual activities.</w:t>
      </w:r>
    </w:p>
    <w:p w14:paraId="7779D1AE" w14:textId="157503EF" w:rsidR="00F42435" w:rsidRDefault="009425E6" w:rsidP="00F42435">
      <w:r>
        <w:lastRenderedPageBreak/>
        <w:t xml:space="preserve">Regulatory burden is assessed by comparison with Option 1. </w:t>
      </w:r>
      <w:r w:rsidR="00F42435">
        <w:t>Assumptions underlying these costs are set out at Appendix A</w:t>
      </w:r>
      <w:r w:rsidR="00BD53EB">
        <w:t>.</w:t>
      </w:r>
      <w:r w:rsidR="008567D8">
        <w:t xml:space="preserve"> </w:t>
      </w:r>
    </w:p>
    <w:p w14:paraId="5AD30E5B" w14:textId="2A84BC5A" w:rsidR="00634B2C" w:rsidRPr="00520A33" w:rsidRDefault="005B285F" w:rsidP="00BB1AA0">
      <w:pPr>
        <w:pStyle w:val="Caption"/>
        <w:keepNext/>
        <w:keepLines/>
      </w:pPr>
      <w:r>
        <w:fldChar w:fldCharType="begin"/>
      </w:r>
      <w:r>
        <w:instrText>TOC \o "1-3" \h \z \u</w:instrText>
      </w:r>
      <w:r>
        <w:fldChar w:fldCharType="end"/>
      </w:r>
      <w:r w:rsidR="00634B2C" w:rsidRPr="00520A33">
        <w:t xml:space="preserve">Table </w:t>
      </w:r>
      <w:r w:rsidR="006A3D08">
        <w:t>7</w:t>
      </w:r>
      <w:r w:rsidR="00634B2C" w:rsidRPr="00520A33">
        <w:t xml:space="preserve">: </w:t>
      </w:r>
      <w:r w:rsidR="00634B2C">
        <w:t>Regulatory burden estimate table for Option 3</w:t>
      </w:r>
      <w:r w:rsidR="00FB1467">
        <w:t xml:space="preserve"> </w:t>
      </w:r>
      <w:r w:rsidR="00DD62C2">
        <w:t>–</w:t>
      </w:r>
      <w:r w:rsidR="00FB1467">
        <w:t xml:space="preserve"> New</w:t>
      </w:r>
      <w:r w:rsidR="00DD62C2">
        <w:t xml:space="preserve"> Service</w:t>
      </w:r>
      <w:r w:rsidR="00CD3866">
        <w:t xml:space="preserve"> </w:t>
      </w:r>
      <w:r w:rsidR="00C16635">
        <w:t>–</w:t>
      </w:r>
      <w:r w:rsidR="00CD3866">
        <w:t xml:space="preserve"> </w:t>
      </w:r>
      <w:r w:rsidR="00CC6B28">
        <w:t>a</w:t>
      </w:r>
      <w:r w:rsidR="00C16635">
        <w:t>verage annual regulatory costs</w:t>
      </w:r>
    </w:p>
    <w:tbl>
      <w:tblPr>
        <w:tblStyle w:val="DESE"/>
        <w:tblW w:w="0" w:type="auto"/>
        <w:tblLook w:val="04A0" w:firstRow="1" w:lastRow="0" w:firstColumn="1" w:lastColumn="0" w:noHBand="0" w:noVBand="1"/>
      </w:tblPr>
      <w:tblGrid>
        <w:gridCol w:w="1948"/>
        <w:gridCol w:w="1950"/>
        <w:gridCol w:w="1950"/>
        <w:gridCol w:w="1606"/>
        <w:gridCol w:w="1606"/>
      </w:tblGrid>
      <w:tr w:rsidR="00634B2C" w14:paraId="5C452F2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8" w:type="dxa"/>
          </w:tcPr>
          <w:p w14:paraId="4D15CC3F" w14:textId="77777777" w:rsidR="00634B2C" w:rsidRPr="00861934" w:rsidRDefault="00634B2C" w:rsidP="00BB1AA0">
            <w:pPr>
              <w:keepNext/>
              <w:keepLines/>
              <w:rPr>
                <w:b/>
                <w:bCs/>
              </w:rPr>
            </w:pPr>
            <w:r>
              <w:rPr>
                <w:b/>
                <w:bCs/>
              </w:rPr>
              <w:t>Change in costs ($million)</w:t>
            </w:r>
          </w:p>
        </w:tc>
        <w:tc>
          <w:tcPr>
            <w:tcW w:w="1950" w:type="dxa"/>
          </w:tcPr>
          <w:p w14:paraId="5849653A" w14:textId="0B73BD1F" w:rsidR="00634B2C" w:rsidRDefault="00634B2C" w:rsidP="00BB1AA0">
            <w:pPr>
              <w:keepNext/>
              <w:keepLines/>
              <w:cnfStyle w:val="100000000000" w:firstRow="1" w:lastRow="0" w:firstColumn="0" w:lastColumn="0" w:oddVBand="0" w:evenVBand="0" w:oddHBand="0" w:evenHBand="0" w:firstRowFirstColumn="0" w:firstRowLastColumn="0" w:lastRowFirstColumn="0" w:lastRowLastColumn="0"/>
            </w:pPr>
            <w:r>
              <w:t>Business</w:t>
            </w:r>
            <w:r w:rsidR="002F7F3A">
              <w:t>es engaged by Government to deliver the new service</w:t>
            </w:r>
            <w:r w:rsidR="00EB572A">
              <w:t>*</w:t>
            </w:r>
          </w:p>
        </w:tc>
        <w:tc>
          <w:tcPr>
            <w:tcW w:w="1950" w:type="dxa"/>
          </w:tcPr>
          <w:p w14:paraId="12BD41D5" w14:textId="5E62682C" w:rsidR="00634B2C" w:rsidRDefault="00634B2C" w:rsidP="00BB1AA0">
            <w:pPr>
              <w:keepNext/>
              <w:keepLines/>
              <w:cnfStyle w:val="100000000000" w:firstRow="1" w:lastRow="0" w:firstColumn="0" w:lastColumn="0" w:oddVBand="0" w:evenVBand="0" w:oddHBand="0" w:evenHBand="0" w:firstRowFirstColumn="0" w:firstRowLastColumn="0" w:lastRowFirstColumn="0" w:lastRowLastColumn="0"/>
            </w:pPr>
            <w:r>
              <w:t>Community organisations</w:t>
            </w:r>
            <w:r w:rsidR="002F7F3A">
              <w:t xml:space="preserve"> engaged by Government to deliver the new service</w:t>
            </w:r>
            <w:r w:rsidR="00EB572A">
              <w:t>*</w:t>
            </w:r>
          </w:p>
        </w:tc>
        <w:tc>
          <w:tcPr>
            <w:tcW w:w="1606" w:type="dxa"/>
          </w:tcPr>
          <w:p w14:paraId="0193411B" w14:textId="77777777" w:rsidR="00634B2C" w:rsidRDefault="00634B2C" w:rsidP="00BB1AA0">
            <w:pPr>
              <w:keepNext/>
              <w:keepLines/>
              <w:cnfStyle w:val="100000000000" w:firstRow="1" w:lastRow="0" w:firstColumn="0" w:lastColumn="0" w:oddVBand="0" w:evenVBand="0" w:oddHBand="0" w:evenHBand="0" w:firstRowFirstColumn="0" w:firstRowLastColumn="0" w:lastRowFirstColumn="0" w:lastRowLastColumn="0"/>
            </w:pPr>
            <w:r>
              <w:t>Individuals</w:t>
            </w:r>
          </w:p>
        </w:tc>
        <w:tc>
          <w:tcPr>
            <w:tcW w:w="1606" w:type="dxa"/>
          </w:tcPr>
          <w:p w14:paraId="0935492E" w14:textId="77777777" w:rsidR="00634B2C" w:rsidRDefault="00634B2C" w:rsidP="00BB1AA0">
            <w:pPr>
              <w:keepNext/>
              <w:keepLines/>
              <w:cnfStyle w:val="100000000000" w:firstRow="1" w:lastRow="0" w:firstColumn="0" w:lastColumn="0" w:oddVBand="0" w:evenVBand="0" w:oddHBand="0" w:evenHBand="0" w:firstRowFirstColumn="0" w:firstRowLastColumn="0" w:lastRowFirstColumn="0" w:lastRowLastColumn="0"/>
            </w:pPr>
            <w:r>
              <w:t>Total change in costs</w:t>
            </w:r>
          </w:p>
        </w:tc>
      </w:tr>
      <w:tr w:rsidR="00634B2C" w14:paraId="09AEB976" w14:textId="77777777">
        <w:tc>
          <w:tcPr>
            <w:cnfStyle w:val="001000000000" w:firstRow="0" w:lastRow="0" w:firstColumn="1" w:lastColumn="0" w:oddVBand="0" w:evenVBand="0" w:oddHBand="0" w:evenHBand="0" w:firstRowFirstColumn="0" w:firstRowLastColumn="0" w:lastRowFirstColumn="0" w:lastRowLastColumn="0"/>
            <w:tcW w:w="1948" w:type="dxa"/>
          </w:tcPr>
          <w:p w14:paraId="652F7892" w14:textId="77777777" w:rsidR="00634B2C" w:rsidRPr="00C65572" w:rsidRDefault="00634B2C">
            <w:pPr>
              <w:rPr>
                <w:b/>
                <w:bCs/>
              </w:rPr>
            </w:pPr>
            <w:r w:rsidRPr="00C65572">
              <w:rPr>
                <w:b/>
                <w:bCs/>
              </w:rPr>
              <w:t>Total by sector</w:t>
            </w:r>
          </w:p>
        </w:tc>
        <w:tc>
          <w:tcPr>
            <w:tcW w:w="1950" w:type="dxa"/>
          </w:tcPr>
          <w:p w14:paraId="6931696E" w14:textId="7D079FA6" w:rsidR="00634B2C" w:rsidRPr="00C65572" w:rsidRDefault="00634B2C">
            <w:pPr>
              <w:cnfStyle w:val="000000000000" w:firstRow="0" w:lastRow="0" w:firstColumn="0" w:lastColumn="0" w:oddVBand="0" w:evenVBand="0" w:oddHBand="0" w:evenHBand="0" w:firstRowFirstColumn="0" w:firstRowLastColumn="0" w:lastRowFirstColumn="0" w:lastRowLastColumn="0"/>
            </w:pPr>
            <w:r w:rsidRPr="00C65572">
              <w:t>$</w:t>
            </w:r>
            <w:r w:rsidR="007637D2">
              <w:t>0.82</w:t>
            </w:r>
          </w:p>
        </w:tc>
        <w:tc>
          <w:tcPr>
            <w:tcW w:w="1950" w:type="dxa"/>
          </w:tcPr>
          <w:p w14:paraId="27A68C7C" w14:textId="6D3EB2D9" w:rsidR="00634B2C" w:rsidRPr="00C65572" w:rsidRDefault="00634B2C">
            <w:pPr>
              <w:cnfStyle w:val="000000000000" w:firstRow="0" w:lastRow="0" w:firstColumn="0" w:lastColumn="0" w:oddVBand="0" w:evenVBand="0" w:oddHBand="0" w:evenHBand="0" w:firstRowFirstColumn="0" w:firstRowLastColumn="0" w:lastRowFirstColumn="0" w:lastRowLastColumn="0"/>
            </w:pPr>
            <w:r w:rsidRPr="00C65572">
              <w:t>$</w:t>
            </w:r>
            <w:r w:rsidR="007637D2">
              <w:t>3.29</w:t>
            </w:r>
          </w:p>
        </w:tc>
        <w:tc>
          <w:tcPr>
            <w:tcW w:w="1606" w:type="dxa"/>
          </w:tcPr>
          <w:p w14:paraId="3B683DA0" w14:textId="084D9305" w:rsidR="00634B2C" w:rsidRPr="00C65572" w:rsidRDefault="00634B2C">
            <w:pPr>
              <w:cnfStyle w:val="000000000000" w:firstRow="0" w:lastRow="0" w:firstColumn="0" w:lastColumn="0" w:oddVBand="0" w:evenVBand="0" w:oddHBand="0" w:evenHBand="0" w:firstRowFirstColumn="0" w:firstRowLastColumn="0" w:lastRowFirstColumn="0" w:lastRowLastColumn="0"/>
            </w:pPr>
            <w:r w:rsidRPr="00C65572">
              <w:t>$</w:t>
            </w:r>
            <w:r w:rsidR="000D0A87" w:rsidRPr="00C65572">
              <w:t>0</w:t>
            </w:r>
            <w:r w:rsidR="008F3A2E" w:rsidRPr="00C65572">
              <w:t>.00</w:t>
            </w:r>
          </w:p>
        </w:tc>
        <w:tc>
          <w:tcPr>
            <w:tcW w:w="1606" w:type="dxa"/>
          </w:tcPr>
          <w:p w14:paraId="2910EF07" w14:textId="196017A9" w:rsidR="00634B2C" w:rsidRPr="00C65572" w:rsidRDefault="00634B2C">
            <w:pPr>
              <w:cnfStyle w:val="000000000000" w:firstRow="0" w:lastRow="0" w:firstColumn="0" w:lastColumn="0" w:oddVBand="0" w:evenVBand="0" w:oddHBand="0" w:evenHBand="0" w:firstRowFirstColumn="0" w:firstRowLastColumn="0" w:lastRowFirstColumn="0" w:lastRowLastColumn="0"/>
            </w:pPr>
            <w:r w:rsidRPr="00C65572">
              <w:t>$</w:t>
            </w:r>
            <w:r w:rsidR="00A11DA7" w:rsidRPr="00C65572">
              <w:t>4.</w:t>
            </w:r>
            <w:r w:rsidR="007637D2">
              <w:t>12</w:t>
            </w:r>
          </w:p>
        </w:tc>
      </w:tr>
    </w:tbl>
    <w:p w14:paraId="5DBC1C6E" w14:textId="495A945E" w:rsidR="00EB572A" w:rsidRDefault="00EB572A" w:rsidP="00EB572A">
      <w:pPr>
        <w:rPr>
          <w:lang w:val="en-US"/>
        </w:rPr>
      </w:pPr>
      <w:bookmarkStart w:id="74" w:name="_Toc148282841"/>
      <w:bookmarkStart w:id="75" w:name="_Toc148282982"/>
      <w:bookmarkStart w:id="76" w:name="_Toc147863196"/>
      <w:bookmarkStart w:id="77" w:name="_Toc147863197"/>
      <w:bookmarkStart w:id="78" w:name="_Hlk145919908"/>
      <w:bookmarkEnd w:id="43"/>
      <w:bookmarkEnd w:id="69"/>
      <w:bookmarkEnd w:id="74"/>
      <w:bookmarkEnd w:id="75"/>
      <w:bookmarkEnd w:id="76"/>
      <w:bookmarkEnd w:id="77"/>
      <w:r w:rsidRPr="00F02AA0">
        <w:rPr>
          <w:lang w:val="en-US"/>
        </w:rPr>
        <w:t xml:space="preserve">* Almost 100% of these costs relate only to compliance costs, primarily record keeping and reporting costs, for businesses and community organisations that are engaged to deliver the services on behalf of government. </w:t>
      </w:r>
      <w:r w:rsidR="00DE39D6">
        <w:rPr>
          <w:lang w:val="en-US"/>
        </w:rPr>
        <w:t>This table</w:t>
      </w:r>
      <w:r w:rsidRPr="00F02AA0">
        <w:rPr>
          <w:lang w:val="en-US"/>
        </w:rPr>
        <w:t xml:space="preserve"> do</w:t>
      </w:r>
      <w:r w:rsidR="00DE39D6">
        <w:rPr>
          <w:lang w:val="en-US"/>
        </w:rPr>
        <w:t>es</w:t>
      </w:r>
      <w:r w:rsidRPr="00F02AA0">
        <w:rPr>
          <w:lang w:val="en-US"/>
        </w:rPr>
        <w:t xml:space="preserve"> not factor in the revenue providers receive to deliver the services.</w:t>
      </w:r>
    </w:p>
    <w:p w14:paraId="0976B91C" w14:textId="1678665E" w:rsidR="00DD62C2" w:rsidRPr="00520A33" w:rsidRDefault="005B285F" w:rsidP="00DD62C2">
      <w:pPr>
        <w:pStyle w:val="Caption"/>
        <w:keepNext/>
        <w:keepLines/>
      </w:pPr>
      <w:r>
        <w:fldChar w:fldCharType="begin"/>
      </w:r>
      <w:r>
        <w:instrText>TOC \o "1-3" \h \z \u</w:instrText>
      </w:r>
      <w:r>
        <w:fldChar w:fldCharType="end"/>
      </w:r>
      <w:r w:rsidR="00DD62C2" w:rsidRPr="00520A33">
        <w:t xml:space="preserve">Table </w:t>
      </w:r>
      <w:r w:rsidR="00EA416E">
        <w:t>8</w:t>
      </w:r>
      <w:r w:rsidR="00DD62C2" w:rsidRPr="00520A33">
        <w:t xml:space="preserve">: </w:t>
      </w:r>
      <w:r w:rsidR="00DD62C2">
        <w:t xml:space="preserve">Regulatory burden estimate table for Option 3 – ParentsNext </w:t>
      </w:r>
      <w:r w:rsidR="002F0F76">
        <w:t xml:space="preserve">4 </w:t>
      </w:r>
      <w:r w:rsidR="00AC63F2">
        <w:t>month</w:t>
      </w:r>
      <w:r w:rsidR="00242DF6">
        <w:t>s</w:t>
      </w:r>
      <w:r w:rsidR="00AC63F2">
        <w:t xml:space="preserve"> e</w:t>
      </w:r>
      <w:r w:rsidR="00DD62C2">
        <w:t>xtension</w:t>
      </w:r>
      <w:r w:rsidR="0045015C">
        <w:t xml:space="preserve"> – </w:t>
      </w:r>
      <w:r w:rsidR="00E85185">
        <w:t>e</w:t>
      </w:r>
      <w:r w:rsidR="0045015C">
        <w:t>stimated regulatory costs</w:t>
      </w:r>
    </w:p>
    <w:tbl>
      <w:tblPr>
        <w:tblStyle w:val="DESE"/>
        <w:tblW w:w="0" w:type="auto"/>
        <w:tblLook w:val="04A0" w:firstRow="1" w:lastRow="0" w:firstColumn="1" w:lastColumn="0" w:noHBand="0" w:noVBand="1"/>
      </w:tblPr>
      <w:tblGrid>
        <w:gridCol w:w="1948"/>
        <w:gridCol w:w="1950"/>
        <w:gridCol w:w="1950"/>
        <w:gridCol w:w="1606"/>
        <w:gridCol w:w="1606"/>
      </w:tblGrid>
      <w:tr w:rsidR="00885493" w14:paraId="4F56C022" w14:textId="77777777" w:rsidTr="006203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8" w:type="dxa"/>
          </w:tcPr>
          <w:p w14:paraId="56308414" w14:textId="77777777" w:rsidR="00885493" w:rsidRPr="00861934" w:rsidRDefault="00885493" w:rsidP="00620312">
            <w:pPr>
              <w:keepNext/>
              <w:rPr>
                <w:b/>
                <w:bCs/>
              </w:rPr>
            </w:pPr>
            <w:r>
              <w:rPr>
                <w:b/>
                <w:bCs/>
              </w:rPr>
              <w:t>Change in costs ($million)</w:t>
            </w:r>
          </w:p>
        </w:tc>
        <w:tc>
          <w:tcPr>
            <w:tcW w:w="1950" w:type="dxa"/>
          </w:tcPr>
          <w:p w14:paraId="1E47DE0A" w14:textId="595285D7" w:rsidR="00885493" w:rsidRDefault="00885493" w:rsidP="00620312">
            <w:pPr>
              <w:keepNext/>
              <w:cnfStyle w:val="100000000000" w:firstRow="1" w:lastRow="0" w:firstColumn="0" w:lastColumn="0" w:oddVBand="0" w:evenVBand="0" w:oddHBand="0" w:evenHBand="0" w:firstRowFirstColumn="0" w:firstRowLastColumn="0" w:lastRowFirstColumn="0" w:lastRowLastColumn="0"/>
            </w:pPr>
            <w:r>
              <w:t>Business</w:t>
            </w:r>
            <w:r w:rsidR="002F7F3A">
              <w:t>es engaged by Government to deliver the new service</w:t>
            </w:r>
            <w:r w:rsidR="00EB572A">
              <w:t>*</w:t>
            </w:r>
          </w:p>
        </w:tc>
        <w:tc>
          <w:tcPr>
            <w:tcW w:w="1950" w:type="dxa"/>
          </w:tcPr>
          <w:p w14:paraId="461DF941" w14:textId="2DAE1152" w:rsidR="00885493" w:rsidRDefault="00885493" w:rsidP="00620312">
            <w:pPr>
              <w:keepNext/>
              <w:cnfStyle w:val="100000000000" w:firstRow="1" w:lastRow="0" w:firstColumn="0" w:lastColumn="0" w:oddVBand="0" w:evenVBand="0" w:oddHBand="0" w:evenHBand="0" w:firstRowFirstColumn="0" w:firstRowLastColumn="0" w:lastRowFirstColumn="0" w:lastRowLastColumn="0"/>
            </w:pPr>
            <w:r>
              <w:t>Community organisations</w:t>
            </w:r>
            <w:r w:rsidR="002F7F3A">
              <w:t xml:space="preserve"> engaged by Government to deliver the new service</w:t>
            </w:r>
            <w:r w:rsidR="00EB572A">
              <w:t>*</w:t>
            </w:r>
          </w:p>
        </w:tc>
        <w:tc>
          <w:tcPr>
            <w:tcW w:w="1606" w:type="dxa"/>
          </w:tcPr>
          <w:p w14:paraId="06F0015E" w14:textId="77777777" w:rsidR="00885493" w:rsidRDefault="00885493" w:rsidP="00620312">
            <w:pPr>
              <w:keepNext/>
              <w:cnfStyle w:val="100000000000" w:firstRow="1" w:lastRow="0" w:firstColumn="0" w:lastColumn="0" w:oddVBand="0" w:evenVBand="0" w:oddHBand="0" w:evenHBand="0" w:firstRowFirstColumn="0" w:firstRowLastColumn="0" w:lastRowFirstColumn="0" w:lastRowLastColumn="0"/>
            </w:pPr>
            <w:r>
              <w:t>Individuals</w:t>
            </w:r>
          </w:p>
        </w:tc>
        <w:tc>
          <w:tcPr>
            <w:tcW w:w="1606" w:type="dxa"/>
          </w:tcPr>
          <w:p w14:paraId="407122F4" w14:textId="77777777" w:rsidR="00885493" w:rsidRDefault="00885493" w:rsidP="00620312">
            <w:pPr>
              <w:keepNext/>
              <w:cnfStyle w:val="100000000000" w:firstRow="1" w:lastRow="0" w:firstColumn="0" w:lastColumn="0" w:oddVBand="0" w:evenVBand="0" w:oddHBand="0" w:evenHBand="0" w:firstRowFirstColumn="0" w:firstRowLastColumn="0" w:lastRowFirstColumn="0" w:lastRowLastColumn="0"/>
            </w:pPr>
            <w:r>
              <w:t>Total change in costs</w:t>
            </w:r>
          </w:p>
        </w:tc>
      </w:tr>
      <w:tr w:rsidR="00885493" w14:paraId="20239F4D" w14:textId="77777777" w:rsidTr="00524078">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4E15BBDB" w14:textId="77777777" w:rsidR="00885493" w:rsidRPr="00425207" w:rsidRDefault="00885493" w:rsidP="00620312">
            <w:pPr>
              <w:rPr>
                <w:b/>
                <w:bCs/>
              </w:rPr>
            </w:pPr>
            <w:r w:rsidRPr="00425207">
              <w:rPr>
                <w:b/>
                <w:bCs/>
              </w:rPr>
              <w:t>Total by sector</w:t>
            </w:r>
          </w:p>
        </w:tc>
        <w:tc>
          <w:tcPr>
            <w:tcW w:w="1950" w:type="dxa"/>
            <w:shd w:val="clear" w:color="auto" w:fill="auto"/>
          </w:tcPr>
          <w:p w14:paraId="32D4A2CA" w14:textId="37AD291F" w:rsidR="00885493" w:rsidRPr="00425207" w:rsidRDefault="00885493" w:rsidP="00620312">
            <w:pPr>
              <w:cnfStyle w:val="000000000000" w:firstRow="0" w:lastRow="0" w:firstColumn="0" w:lastColumn="0" w:oddVBand="0" w:evenVBand="0" w:oddHBand="0" w:evenHBand="0" w:firstRowFirstColumn="0" w:firstRowLastColumn="0" w:lastRowFirstColumn="0" w:lastRowLastColumn="0"/>
            </w:pPr>
            <w:r w:rsidRPr="00425207">
              <w:t>$</w:t>
            </w:r>
            <w:r w:rsidR="00FA11C2">
              <w:t>0.79</w:t>
            </w:r>
          </w:p>
        </w:tc>
        <w:tc>
          <w:tcPr>
            <w:tcW w:w="1950" w:type="dxa"/>
            <w:shd w:val="clear" w:color="auto" w:fill="auto"/>
          </w:tcPr>
          <w:p w14:paraId="2275FE3F" w14:textId="2F3802D7" w:rsidR="00885493" w:rsidRPr="00425207" w:rsidRDefault="00885493" w:rsidP="00620312">
            <w:pPr>
              <w:cnfStyle w:val="000000000000" w:firstRow="0" w:lastRow="0" w:firstColumn="0" w:lastColumn="0" w:oddVBand="0" w:evenVBand="0" w:oddHBand="0" w:evenHBand="0" w:firstRowFirstColumn="0" w:firstRowLastColumn="0" w:lastRowFirstColumn="0" w:lastRowLastColumn="0"/>
            </w:pPr>
            <w:r w:rsidRPr="00425207">
              <w:t>$</w:t>
            </w:r>
            <w:r w:rsidR="00697E8D">
              <w:t>3.14</w:t>
            </w:r>
          </w:p>
        </w:tc>
        <w:tc>
          <w:tcPr>
            <w:tcW w:w="1606" w:type="dxa"/>
            <w:shd w:val="clear" w:color="auto" w:fill="auto"/>
          </w:tcPr>
          <w:p w14:paraId="23A768B7" w14:textId="70D33C20" w:rsidR="00885493" w:rsidRPr="00425207" w:rsidRDefault="00885493" w:rsidP="00620312">
            <w:pPr>
              <w:cnfStyle w:val="000000000000" w:firstRow="0" w:lastRow="0" w:firstColumn="0" w:lastColumn="0" w:oddVBand="0" w:evenVBand="0" w:oddHBand="0" w:evenHBand="0" w:firstRowFirstColumn="0" w:firstRowLastColumn="0" w:lastRowFirstColumn="0" w:lastRowLastColumn="0"/>
            </w:pPr>
            <w:r w:rsidRPr="00425207">
              <w:t>$0</w:t>
            </w:r>
            <w:r w:rsidR="00524078" w:rsidRPr="00425207">
              <w:t>.0</w:t>
            </w:r>
            <w:r w:rsidR="00425207" w:rsidRPr="00425207">
              <w:t>1</w:t>
            </w:r>
          </w:p>
        </w:tc>
        <w:tc>
          <w:tcPr>
            <w:tcW w:w="1606" w:type="dxa"/>
            <w:shd w:val="clear" w:color="auto" w:fill="auto"/>
          </w:tcPr>
          <w:p w14:paraId="6869064D" w14:textId="0538265A" w:rsidR="00697E8D" w:rsidRPr="009D2818" w:rsidRDefault="00885493" w:rsidP="00FA4C87">
            <w:pPr>
              <w:cnfStyle w:val="000000000000" w:firstRow="0" w:lastRow="0" w:firstColumn="0" w:lastColumn="0" w:oddVBand="0" w:evenVBand="0" w:oddHBand="0" w:evenHBand="0" w:firstRowFirstColumn="0" w:firstRowLastColumn="0" w:lastRowFirstColumn="0" w:lastRowLastColumn="0"/>
            </w:pPr>
            <w:r w:rsidRPr="00425207">
              <w:t>$</w:t>
            </w:r>
            <w:r w:rsidR="00697E8D">
              <w:t>3.9</w:t>
            </w:r>
            <w:r w:rsidR="008D1857">
              <w:t>4</w:t>
            </w:r>
          </w:p>
        </w:tc>
      </w:tr>
    </w:tbl>
    <w:p w14:paraId="7CA79373" w14:textId="4C7A17A0" w:rsidR="00EB572A" w:rsidRDefault="00EB572A" w:rsidP="00EB572A">
      <w:pPr>
        <w:rPr>
          <w:lang w:val="en-US"/>
        </w:rPr>
      </w:pPr>
      <w:r w:rsidRPr="00F02AA0">
        <w:rPr>
          <w:lang w:val="en-US"/>
        </w:rPr>
        <w:t xml:space="preserve">* Almost 100% of these costs relate only to compliance costs, primarily record keeping and reporting costs, for businesses and community organisations that are engaged to deliver the services on behalf of government. </w:t>
      </w:r>
      <w:r w:rsidR="00DE39D6">
        <w:rPr>
          <w:lang w:val="en-US"/>
        </w:rPr>
        <w:t>This table</w:t>
      </w:r>
      <w:r w:rsidR="00DE39D6" w:rsidRPr="00F02AA0">
        <w:rPr>
          <w:lang w:val="en-US"/>
        </w:rPr>
        <w:t xml:space="preserve"> do</w:t>
      </w:r>
      <w:r w:rsidR="00DE39D6">
        <w:rPr>
          <w:lang w:val="en-US"/>
        </w:rPr>
        <w:t>es</w:t>
      </w:r>
      <w:r w:rsidR="00DE39D6" w:rsidRPr="00F02AA0">
        <w:rPr>
          <w:lang w:val="en-US"/>
        </w:rPr>
        <w:t xml:space="preserve"> not</w:t>
      </w:r>
      <w:r w:rsidRPr="00F02AA0">
        <w:rPr>
          <w:lang w:val="en-US"/>
        </w:rPr>
        <w:t xml:space="preserve"> factor in the revenue providers receive to deliver the services.</w:t>
      </w:r>
    </w:p>
    <w:p w14:paraId="608D826D" w14:textId="77777777" w:rsidR="008B0EE9" w:rsidRDefault="00DA5202" w:rsidP="00A40BD4">
      <w:pPr>
        <w:pStyle w:val="Heading1"/>
        <w:numPr>
          <w:ilvl w:val="0"/>
          <w:numId w:val="11"/>
        </w:numPr>
        <w:ind w:left="357" w:hanging="357"/>
      </w:pPr>
      <w:bookmarkStart w:id="79" w:name="_Toc151123124"/>
      <w:r w:rsidRPr="00AB3D93">
        <w:t>Consultation</w:t>
      </w:r>
      <w:bookmarkEnd w:id="79"/>
    </w:p>
    <w:p w14:paraId="09E12884" w14:textId="027B1FC0" w:rsidR="006D587A" w:rsidRPr="00AA361B" w:rsidRDefault="00AA361B" w:rsidP="00AA361B">
      <w:pPr>
        <w:pStyle w:val="Heading2"/>
        <w:ind w:left="720" w:hanging="720"/>
        <w:rPr>
          <w:lang w:val="en-US"/>
        </w:rPr>
      </w:pPr>
      <w:bookmarkStart w:id="80" w:name="_Toc145919704"/>
      <w:bookmarkStart w:id="81" w:name="_Toc151123125"/>
      <w:bookmarkEnd w:id="78"/>
      <w:r>
        <w:rPr>
          <w:lang w:val="en-US"/>
        </w:rPr>
        <w:t>7.1</w:t>
      </w:r>
      <w:r>
        <w:rPr>
          <w:lang w:val="en-US"/>
        </w:rPr>
        <w:tab/>
      </w:r>
      <w:r w:rsidR="006D587A" w:rsidRPr="00AA361B">
        <w:rPr>
          <w:lang w:val="en-US"/>
        </w:rPr>
        <w:t>Purpose and objectives of the consultations</w:t>
      </w:r>
      <w:bookmarkEnd w:id="80"/>
      <w:bookmarkEnd w:id="81"/>
      <w:r w:rsidR="006D587A" w:rsidRPr="00AA361B">
        <w:rPr>
          <w:lang w:val="en-US"/>
        </w:rPr>
        <w:t xml:space="preserve"> </w:t>
      </w:r>
    </w:p>
    <w:p w14:paraId="4FFA2F1C" w14:textId="596F43ED" w:rsidR="002A4E62" w:rsidRDefault="006D587A" w:rsidP="006D587A">
      <w:r>
        <w:t>Consultation with parents with lived experience and other key stakeholders is fundamental to informing the design of a new voluntary pre-employment service that supports parents who care for young children.</w:t>
      </w:r>
    </w:p>
    <w:p w14:paraId="1DDBF6EB" w14:textId="3FB9A4F5" w:rsidR="006D587A" w:rsidRDefault="006D587A" w:rsidP="006D587A">
      <w:r>
        <w:t>The department has engaged with:</w:t>
      </w:r>
    </w:p>
    <w:p w14:paraId="1A9C5A3C" w14:textId="7C033A6D" w:rsidR="006D587A" w:rsidRDefault="006D587A" w:rsidP="00A40BD4">
      <w:pPr>
        <w:pStyle w:val="ListParagraph"/>
        <w:numPr>
          <w:ilvl w:val="0"/>
          <w:numId w:val="9"/>
        </w:numPr>
        <w:ind w:left="357" w:hanging="357"/>
      </w:pPr>
      <w:bookmarkStart w:id="82" w:name="_Hlk138781379"/>
      <w:r>
        <w:t>parents on Parenting Payment with young children who may benefit from the service, including parents who have used the ParentsNext program and potential users of a new service</w:t>
      </w:r>
    </w:p>
    <w:p w14:paraId="7B3E607F" w14:textId="77777777" w:rsidR="006D587A" w:rsidRPr="00046293" w:rsidRDefault="006D587A" w:rsidP="00A40BD4">
      <w:pPr>
        <w:pStyle w:val="ListParagraph"/>
        <w:numPr>
          <w:ilvl w:val="0"/>
          <w:numId w:val="9"/>
        </w:numPr>
        <w:ind w:left="357" w:hanging="357"/>
      </w:pPr>
      <w:r>
        <w:t>organisations and businesses that provide services to parents and young children, including existing providers of government services and those that may be involved in future delivery</w:t>
      </w:r>
    </w:p>
    <w:p w14:paraId="2308EAE4" w14:textId="77777777" w:rsidR="006D587A" w:rsidRDefault="006D587A" w:rsidP="00A40BD4">
      <w:pPr>
        <w:pStyle w:val="ListParagraph"/>
        <w:numPr>
          <w:ilvl w:val="0"/>
          <w:numId w:val="9"/>
        </w:numPr>
        <w:ind w:left="357" w:hanging="357"/>
      </w:pPr>
      <w:r>
        <w:t>businesses and industry peak bodies who may want to hire more parents or become a more parent-friendly and flexible workplace</w:t>
      </w:r>
    </w:p>
    <w:p w14:paraId="2827DEF5" w14:textId="0282F6F3" w:rsidR="006D587A" w:rsidRDefault="006D587A" w:rsidP="00A40BD4">
      <w:pPr>
        <w:pStyle w:val="ListParagraph"/>
        <w:numPr>
          <w:ilvl w:val="0"/>
          <w:numId w:val="9"/>
        </w:numPr>
        <w:ind w:left="357" w:hanging="357"/>
      </w:pPr>
      <w:r>
        <w:lastRenderedPageBreak/>
        <w:t>c</w:t>
      </w:r>
      <w:r w:rsidRPr="00046293">
        <w:t xml:space="preserve">ommunity organisations such as </w:t>
      </w:r>
      <w:r>
        <w:t>not-for-profit organisations, First Nations organisations and advocacy groups that represent and support the interests of (or provide services to) parents, young children and diverse communities</w:t>
      </w:r>
    </w:p>
    <w:p w14:paraId="1CA12457" w14:textId="1C8DAF18" w:rsidR="006D587A" w:rsidRPr="00046293" w:rsidRDefault="006D587A" w:rsidP="00A40BD4">
      <w:pPr>
        <w:pStyle w:val="ListParagraph"/>
        <w:numPr>
          <w:ilvl w:val="0"/>
          <w:numId w:val="9"/>
        </w:numPr>
        <w:ind w:left="357" w:hanging="357"/>
      </w:pPr>
      <w:r>
        <w:t>individuals and organisations with expertise in, and in-depth insights about, a range of topics relevant to the design of a new service. This includes experts like academics, researchers and other professionals.</w:t>
      </w:r>
      <w:bookmarkEnd w:id="82"/>
    </w:p>
    <w:p w14:paraId="4529BFB9" w14:textId="7F9EDC79" w:rsidR="00DE36CA" w:rsidRDefault="006D587A" w:rsidP="006D587A">
      <w:r>
        <w:t xml:space="preserve">Other stakeholder feedback and reports about ParentsNext have also informed service design. These included submissions and evidence to the Select Committee as well its interim report and recommendations on pre-employment </w:t>
      </w:r>
      <w:r w:rsidRPr="00770BED">
        <w:t>support.</w:t>
      </w:r>
      <w:r w:rsidRPr="00721F9A">
        <w:t xml:space="preserve"> </w:t>
      </w:r>
      <w:r w:rsidRPr="00721F9A">
        <w:rPr>
          <w:vertAlign w:val="superscript"/>
        </w:rPr>
        <w:footnoteReference w:id="38"/>
      </w:r>
      <w:r w:rsidRPr="00770BED">
        <w:t xml:space="preserve"> </w:t>
      </w:r>
      <w:r w:rsidR="00AD0458" w:rsidRPr="00770BED">
        <w:t>The results</w:t>
      </w:r>
      <w:r w:rsidR="00AD0458">
        <w:t xml:space="preserve"> of surveys and interviews undertaken as part of the department’s evaluations of </w:t>
      </w:r>
      <w:r w:rsidR="00AD0458" w:rsidRPr="00DA5202">
        <w:t xml:space="preserve">ParentsNext </w:t>
      </w:r>
      <w:r w:rsidR="00AD0458">
        <w:t>were also considered.</w:t>
      </w:r>
    </w:p>
    <w:p w14:paraId="131DE97A" w14:textId="60D1A8A5" w:rsidR="006D587A" w:rsidRPr="00046293" w:rsidRDefault="00AA361B" w:rsidP="006D587A">
      <w:pPr>
        <w:pStyle w:val="Heading2"/>
      </w:pPr>
      <w:bookmarkStart w:id="83" w:name="_Toc145919705"/>
      <w:bookmarkStart w:id="84" w:name="_Toc151123126"/>
      <w:r>
        <w:t>7.2</w:t>
      </w:r>
      <w:r>
        <w:tab/>
      </w:r>
      <w:r w:rsidR="006D587A">
        <w:t>The Consultation Approach</w:t>
      </w:r>
      <w:bookmarkEnd w:id="83"/>
      <w:bookmarkEnd w:id="84"/>
    </w:p>
    <w:p w14:paraId="7D92ABE2" w14:textId="77777777" w:rsidR="006D587A" w:rsidRPr="001B1012" w:rsidRDefault="006D587A" w:rsidP="006D587A">
      <w:pPr>
        <w:pStyle w:val="Heading3"/>
      </w:pPr>
      <w:bookmarkStart w:id="85" w:name="_Toc145919706"/>
      <w:bookmarkStart w:id="86" w:name="_Toc151123127"/>
      <w:r w:rsidRPr="001B1012">
        <w:t>The Pre-design Phase</w:t>
      </w:r>
      <w:bookmarkEnd w:id="85"/>
      <w:bookmarkEnd w:id="86"/>
    </w:p>
    <w:p w14:paraId="25E41661" w14:textId="343A0FC8" w:rsidR="00F42108" w:rsidRDefault="00F42108" w:rsidP="00F42108">
      <w:pPr>
        <w:pStyle w:val="paragraph"/>
        <w:spacing w:before="0" w:beforeAutospacing="0" w:after="200" w:afterAutospacing="0" w:line="276" w:lineRule="auto"/>
        <w:textAlignment w:val="baseline"/>
        <w:rPr>
          <w:rFonts w:asciiTheme="minorHAnsi" w:hAnsiTheme="minorHAnsi" w:cstheme="minorBidi"/>
          <w:sz w:val="22"/>
          <w:szCs w:val="22"/>
        </w:rPr>
      </w:pPr>
      <w:r w:rsidRPr="001B1012">
        <w:rPr>
          <w:rStyle w:val="normaltextrun"/>
          <w:rFonts w:asciiTheme="minorHAnsi" w:eastAsiaTheme="minorEastAsia" w:hAnsiTheme="minorHAnsi" w:cstheme="minorBidi"/>
          <w:sz w:val="22"/>
          <w:szCs w:val="22"/>
        </w:rPr>
        <w:t xml:space="preserve">The Select Committee’s interim report reflected on the views of stakeholders that any service to replace ParentsNext </w:t>
      </w:r>
      <w:r w:rsidRPr="001B1012">
        <w:rPr>
          <w:rFonts w:asciiTheme="minorHAnsi" w:hAnsiTheme="minorHAnsi" w:cstheme="minorBidi"/>
          <w:sz w:val="22"/>
          <w:szCs w:val="22"/>
        </w:rPr>
        <w:t>must be developed through a genuine process of co-design involving parents and carers, including young parents, First Nations peoples, people from culturally and linguistically diverse backgrounds, and those who have experienced family violence, their advocates, providers and policy experts.</w:t>
      </w:r>
    </w:p>
    <w:p w14:paraId="7ED8F0A3" w14:textId="53385FE0" w:rsidR="006D587A" w:rsidRPr="00745AF0" w:rsidRDefault="006D587A" w:rsidP="006D587A">
      <w:r>
        <w:t xml:space="preserve">Immediately after the announcement in May 2023 of changes to the ParentsNext program, the department </w:t>
      </w:r>
      <w:r w:rsidR="0045745F">
        <w:t xml:space="preserve">sought the </w:t>
      </w:r>
      <w:r w:rsidR="00026B41">
        <w:t xml:space="preserve">initial views of </w:t>
      </w:r>
      <w:r>
        <w:t>key stakeholders on the consultation process for the replacement service.</w:t>
      </w:r>
      <w:r w:rsidR="00E85185">
        <w:t xml:space="preserve"> </w:t>
      </w:r>
      <w:r>
        <w:t>During the pre-design phase in May</w:t>
      </w:r>
      <w:r w:rsidR="00DD0CAE">
        <w:t xml:space="preserve"> and</w:t>
      </w:r>
      <w:r>
        <w:t xml:space="preserve"> June 2023, the department met with 28</w:t>
      </w:r>
      <w:r w:rsidR="00CF580B">
        <w:t> </w:t>
      </w:r>
      <w:r>
        <w:t>organisations (peak bodies, women’s organisations, advocacy groups and organisations representing First Nations people, migrants and refugees) during 38 meetings to develop the consultation approach.</w:t>
      </w:r>
    </w:p>
    <w:p w14:paraId="6394A103" w14:textId="3CD9ACBC" w:rsidR="006D587A" w:rsidRDefault="006D587A" w:rsidP="006D587A">
      <w:pPr>
        <w:pStyle w:val="xmsonormal"/>
        <w:spacing w:after="200" w:line="276" w:lineRule="auto"/>
        <w:rPr>
          <w:rStyle w:val="eop"/>
        </w:rPr>
      </w:pPr>
      <w:r>
        <w:rPr>
          <w:rStyle w:val="eop"/>
        </w:rPr>
        <w:t xml:space="preserve">The resultant multipronged </w:t>
      </w:r>
      <w:r w:rsidRPr="04BBB5A3">
        <w:rPr>
          <w:rStyle w:val="eop"/>
          <w:i/>
          <w:iCs/>
        </w:rPr>
        <w:t>Consultation Approach</w:t>
      </w:r>
      <w:r>
        <w:rPr>
          <w:rStyle w:val="eop"/>
        </w:rPr>
        <w:t xml:space="preserve"> for the new service was published on the department’s website on 6 July 2023.</w:t>
      </w:r>
      <w:r>
        <w:rPr>
          <w:rStyle w:val="FootnoteReference"/>
        </w:rPr>
        <w:footnoteReference w:id="39"/>
      </w:r>
      <w:r>
        <w:rPr>
          <w:rStyle w:val="eop"/>
        </w:rPr>
        <w:t xml:space="preserve"> It sets out for parents and other stakeholder</w:t>
      </w:r>
      <w:r w:rsidR="00AC197D">
        <w:rPr>
          <w:rStyle w:val="eop"/>
        </w:rPr>
        <w:t>s</w:t>
      </w:r>
      <w:r>
        <w:rPr>
          <w:rStyle w:val="eop"/>
        </w:rPr>
        <w:t xml:space="preserve"> how engagement would occur and who could be involved.</w:t>
      </w:r>
    </w:p>
    <w:p w14:paraId="57F1DD69" w14:textId="77777777" w:rsidR="006D587A" w:rsidRPr="00961DB0" w:rsidRDefault="006D587A" w:rsidP="006D587A">
      <w:pPr>
        <w:pStyle w:val="Heading3"/>
      </w:pPr>
      <w:bookmarkStart w:id="87" w:name="_Toc145919707"/>
      <w:bookmarkStart w:id="88" w:name="_Toc151123128"/>
      <w:r w:rsidRPr="00961DB0">
        <w:t>The Design Phase</w:t>
      </w:r>
      <w:bookmarkEnd w:id="87"/>
      <w:bookmarkEnd w:id="88"/>
    </w:p>
    <w:p w14:paraId="14FA5B0B" w14:textId="05C46DD6" w:rsidR="00F055A0" w:rsidRDefault="006D587A" w:rsidP="006D587A">
      <w:pPr>
        <w:pStyle w:val="xmsonormal"/>
        <w:spacing w:after="200" w:line="276" w:lineRule="auto"/>
        <w:rPr>
          <w:rStyle w:val="eop"/>
        </w:rPr>
      </w:pPr>
      <w:r w:rsidRPr="291C1817">
        <w:rPr>
          <w:rStyle w:val="eop"/>
        </w:rPr>
        <w:t>During July</w:t>
      </w:r>
      <w:r w:rsidR="009B4B1C">
        <w:rPr>
          <w:rStyle w:val="eop"/>
        </w:rPr>
        <w:t xml:space="preserve"> – September </w:t>
      </w:r>
      <w:r w:rsidRPr="291C1817">
        <w:rPr>
          <w:rStyle w:val="eop"/>
        </w:rPr>
        <w:t xml:space="preserve">2023, consultation involved targeted engagement across 11 stakeholder streams:  past and present ParentsNext participants, First Nations parents, people with disability, migrant and refugee parents, youth, women at risk, community groups, </w:t>
      </w:r>
      <w:r w:rsidR="009260E4">
        <w:rPr>
          <w:rStyle w:val="eop"/>
        </w:rPr>
        <w:t>representative organisation</w:t>
      </w:r>
      <w:r w:rsidR="00757CA5">
        <w:rPr>
          <w:rStyle w:val="eop"/>
        </w:rPr>
        <w:t>s</w:t>
      </w:r>
      <w:r w:rsidR="00E710AB">
        <w:rPr>
          <w:rStyle w:val="eop"/>
        </w:rPr>
        <w:t>,</w:t>
      </w:r>
      <w:r w:rsidRPr="291C1817">
        <w:rPr>
          <w:rStyle w:val="eop"/>
        </w:rPr>
        <w:t xml:space="preserve"> employers, service providers and members of the public. </w:t>
      </w:r>
      <w:r w:rsidR="00F055A0">
        <w:rPr>
          <w:rStyle w:val="eop"/>
        </w:rPr>
        <w:t xml:space="preserve">Consultation guides for parents, businesses </w:t>
      </w:r>
      <w:r w:rsidR="00F055A0">
        <w:rPr>
          <w:rStyle w:val="eop"/>
        </w:rPr>
        <w:lastRenderedPageBreak/>
        <w:t xml:space="preserve">and service providers published on the department’s website </w:t>
      </w:r>
      <w:r w:rsidR="00F055A0" w:rsidRPr="00BB4906">
        <w:rPr>
          <w:rStyle w:val="eop"/>
        </w:rPr>
        <w:t xml:space="preserve">outlined the key principles and objectives of the new service as well as </w:t>
      </w:r>
      <w:r w:rsidR="00F055A0">
        <w:rPr>
          <w:rStyle w:val="eop"/>
        </w:rPr>
        <w:t>the background, purpose and focus of the consultations.</w:t>
      </w:r>
    </w:p>
    <w:p w14:paraId="751687CF" w14:textId="612FF95C" w:rsidR="006D587A" w:rsidRPr="00E23CD5" w:rsidRDefault="006D587A" w:rsidP="00F055A0">
      <w:pPr>
        <w:pStyle w:val="xmsonormal"/>
        <w:spacing w:after="200" w:line="276" w:lineRule="auto"/>
        <w:rPr>
          <w:rStyle w:val="eop"/>
        </w:rPr>
      </w:pPr>
      <w:r w:rsidRPr="291C1817">
        <w:rPr>
          <w:rStyle w:val="eop"/>
        </w:rPr>
        <w:t>Engagement occurred concurrently across stakeholder groups, both directly by the department and in partnership with community organisations.</w:t>
      </w:r>
      <w:r w:rsidR="00F055A0">
        <w:rPr>
          <w:rStyle w:val="eop"/>
        </w:rPr>
        <w:t xml:space="preserve"> </w:t>
      </w:r>
      <w:r w:rsidR="006E7AE3" w:rsidRPr="36D99E24">
        <w:rPr>
          <w:rStyle w:val="eop"/>
        </w:rPr>
        <w:t>The consultation process was an opportunity to better understand the needs of parents and how a new service c</w:t>
      </w:r>
      <w:r w:rsidR="00F055A0">
        <w:rPr>
          <w:rStyle w:val="eop"/>
        </w:rPr>
        <w:t>ould</w:t>
      </w:r>
      <w:r w:rsidR="006E7AE3" w:rsidRPr="36D99E24">
        <w:rPr>
          <w:rStyle w:val="eop"/>
        </w:rPr>
        <w:t xml:space="preserve"> support them to plan for their future education and employment goals, build their capabilities and skills, and work toward the type of paid work they want, when they are ready.</w:t>
      </w:r>
      <w:r w:rsidRPr="36D99E24">
        <w:rPr>
          <w:rStyle w:val="eop"/>
        </w:rPr>
        <w:t xml:space="preserve"> Businesses were also invited to consider whether the proposed services would prepare parents to meet their workforce needs.</w:t>
      </w:r>
    </w:p>
    <w:p w14:paraId="7C650BE7" w14:textId="5BB63577" w:rsidR="006D587A" w:rsidRPr="001674A4" w:rsidRDefault="00923C53" w:rsidP="006D587A">
      <w:pPr>
        <w:pStyle w:val="xmsonormal"/>
        <w:spacing w:after="200" w:line="276" w:lineRule="auto"/>
        <w:rPr>
          <w:rStyle w:val="eop"/>
        </w:rPr>
      </w:pPr>
      <w:r>
        <w:rPr>
          <w:rStyle w:val="eop"/>
        </w:rPr>
        <w:t>As well as running workshops</w:t>
      </w:r>
      <w:r w:rsidR="00332BEE">
        <w:rPr>
          <w:rStyle w:val="eop"/>
        </w:rPr>
        <w:t xml:space="preserve"> itself</w:t>
      </w:r>
      <w:r>
        <w:rPr>
          <w:rStyle w:val="eop"/>
        </w:rPr>
        <w:t>, t</w:t>
      </w:r>
      <w:r w:rsidR="006D587A" w:rsidRPr="0A104A73">
        <w:rPr>
          <w:rStyle w:val="eop"/>
        </w:rPr>
        <w:t xml:space="preserve">he department partnered with community organisations </w:t>
      </w:r>
      <w:r w:rsidR="00291519">
        <w:rPr>
          <w:rStyle w:val="eop"/>
        </w:rPr>
        <w:t>for</w:t>
      </w:r>
      <w:r w:rsidR="006D587A" w:rsidRPr="0A104A73">
        <w:rPr>
          <w:rStyle w:val="eop"/>
        </w:rPr>
        <w:t xml:space="preserve"> stakeholder led workshops and one-on-one interviews, </w:t>
      </w:r>
      <w:r w:rsidR="0085053B">
        <w:rPr>
          <w:rStyle w:val="eop"/>
        </w:rPr>
        <w:t xml:space="preserve">and </w:t>
      </w:r>
      <w:r w:rsidR="002D7640">
        <w:rPr>
          <w:rStyle w:val="eop"/>
        </w:rPr>
        <w:t xml:space="preserve">with </w:t>
      </w:r>
      <w:r w:rsidR="006D587A" w:rsidRPr="0A104A73">
        <w:rPr>
          <w:rStyle w:val="eop"/>
        </w:rPr>
        <w:t xml:space="preserve">Services Australia </w:t>
      </w:r>
      <w:r w:rsidR="002D7640">
        <w:rPr>
          <w:rStyle w:val="eop"/>
        </w:rPr>
        <w:t xml:space="preserve">for </w:t>
      </w:r>
      <w:r w:rsidR="006D587A" w:rsidRPr="0A104A73">
        <w:rPr>
          <w:rStyle w:val="eop"/>
        </w:rPr>
        <w:t xml:space="preserve">co-design workshops. </w:t>
      </w:r>
      <w:r w:rsidR="00116D57">
        <w:rPr>
          <w:rStyle w:val="eop"/>
        </w:rPr>
        <w:t>O</w:t>
      </w:r>
      <w:r w:rsidR="006D587A" w:rsidRPr="0A104A73">
        <w:rPr>
          <w:rStyle w:val="eop"/>
        </w:rPr>
        <w:t>rganisations that undertook consultations include</w:t>
      </w:r>
      <w:r w:rsidR="00A24EE7">
        <w:rPr>
          <w:rStyle w:val="eop"/>
        </w:rPr>
        <w:t xml:space="preserve">d </w:t>
      </w:r>
      <w:r w:rsidR="002D7640">
        <w:rPr>
          <w:rStyle w:val="eop"/>
        </w:rPr>
        <w:t xml:space="preserve">the </w:t>
      </w:r>
      <w:r w:rsidR="00A24EE7" w:rsidRPr="0A104A73">
        <w:rPr>
          <w:rStyle w:val="eop"/>
        </w:rPr>
        <w:t>Antipoverty Centre Inc</w:t>
      </w:r>
      <w:r w:rsidR="00A24EE7">
        <w:rPr>
          <w:rStyle w:val="eop"/>
        </w:rPr>
        <w:t>, the</w:t>
      </w:r>
      <w:r w:rsidR="00A24EE7" w:rsidRPr="0A104A73">
        <w:rPr>
          <w:rStyle w:val="eop"/>
        </w:rPr>
        <w:t xml:space="preserve"> Australian Council of Social Service</w:t>
      </w:r>
      <w:r w:rsidR="00A24EE7">
        <w:rPr>
          <w:rStyle w:val="eop"/>
        </w:rPr>
        <w:t xml:space="preserve">, </w:t>
      </w:r>
      <w:r w:rsidR="002037B3">
        <w:rPr>
          <w:rStyle w:val="eop"/>
        </w:rPr>
        <w:t xml:space="preserve">the </w:t>
      </w:r>
      <w:r w:rsidR="00A24EE7" w:rsidRPr="0A104A73">
        <w:rPr>
          <w:rStyle w:val="eop"/>
        </w:rPr>
        <w:t>Brave Foundation</w:t>
      </w:r>
      <w:r w:rsidR="002037B3">
        <w:rPr>
          <w:rStyle w:val="eop"/>
        </w:rPr>
        <w:t>,</w:t>
      </w:r>
      <w:r w:rsidR="00A24EE7" w:rsidRPr="0A104A73">
        <w:rPr>
          <w:rStyle w:val="eop"/>
        </w:rPr>
        <w:t xml:space="preserve"> </w:t>
      </w:r>
      <w:r w:rsidR="006D587A" w:rsidRPr="0A104A73">
        <w:rPr>
          <w:rStyle w:val="eop"/>
        </w:rPr>
        <w:t xml:space="preserve">Corporate Culcha Pty Ltd, SNAICC, </w:t>
      </w:r>
      <w:r w:rsidR="002037B3">
        <w:rPr>
          <w:rStyle w:val="eop"/>
        </w:rPr>
        <w:t xml:space="preserve">the </w:t>
      </w:r>
      <w:r w:rsidR="006D587A" w:rsidRPr="0A104A73">
        <w:rPr>
          <w:rStyle w:val="eop"/>
        </w:rPr>
        <w:t xml:space="preserve">Settlement Council of </w:t>
      </w:r>
      <w:r w:rsidR="006D587A" w:rsidRPr="001674A4">
        <w:rPr>
          <w:rStyle w:val="eop"/>
        </w:rPr>
        <w:t>Australia and Single Mother Families Australia.</w:t>
      </w:r>
    </w:p>
    <w:p w14:paraId="20994756" w14:textId="5BB64D6F" w:rsidR="001676C1" w:rsidRDefault="006D587A" w:rsidP="00E87381">
      <w:pPr>
        <w:pStyle w:val="xmsolistparagraph"/>
        <w:spacing w:after="200" w:line="276" w:lineRule="auto"/>
        <w:ind w:left="0"/>
      </w:pPr>
      <w:r w:rsidRPr="001674A4">
        <w:rPr>
          <w:rStyle w:val="eop"/>
        </w:rPr>
        <w:t>During the design phase, there were over 40 workshops with cohorts including young parents, single parents, First Nations parents, migrant and refugee parents, ParentsNext participants and Parenting Payment Recipients.</w:t>
      </w:r>
      <w:r w:rsidR="00B23FA1" w:rsidRPr="001674A4">
        <w:rPr>
          <w:rStyle w:val="eop"/>
        </w:rPr>
        <w:t xml:space="preserve"> </w:t>
      </w:r>
      <w:r w:rsidR="001676C1" w:rsidRPr="001674A4">
        <w:rPr>
          <w:rStyle w:val="xxeop"/>
        </w:rPr>
        <w:t xml:space="preserve">In addition, </w:t>
      </w:r>
      <w:r w:rsidR="00C66A71" w:rsidRPr="001674A4">
        <w:t>55 </w:t>
      </w:r>
      <w:r w:rsidR="001676C1" w:rsidRPr="001674A4">
        <w:t>submissions</w:t>
      </w:r>
      <w:r w:rsidR="001676C1" w:rsidRPr="001674A4">
        <w:rPr>
          <w:rStyle w:val="xxeop"/>
        </w:rPr>
        <w:t xml:space="preserve"> were received from individual and organisational stakeholders through a public submission process notified on the department’s</w:t>
      </w:r>
      <w:r w:rsidR="001676C1">
        <w:rPr>
          <w:rStyle w:val="xxeop"/>
        </w:rPr>
        <w:t xml:space="preserve"> website and open from 6 July to 15 September 2023.</w:t>
      </w:r>
    </w:p>
    <w:p w14:paraId="076B3D13" w14:textId="15095C06" w:rsidR="00F30D4C" w:rsidRDefault="006D587A" w:rsidP="006D587A">
      <w:pPr>
        <w:pStyle w:val="Heading3"/>
      </w:pPr>
      <w:bookmarkStart w:id="89" w:name="_Toc145919708"/>
      <w:bookmarkStart w:id="90" w:name="_Toc151123129"/>
      <w:r w:rsidRPr="00961DB0">
        <w:t>Check in and Design Options</w:t>
      </w:r>
      <w:bookmarkEnd w:id="89"/>
      <w:r w:rsidR="00F86005">
        <w:t xml:space="preserve"> </w:t>
      </w:r>
      <w:r w:rsidR="006571D3">
        <w:t>Phases</w:t>
      </w:r>
      <w:bookmarkEnd w:id="90"/>
    </w:p>
    <w:p w14:paraId="1DEF418C" w14:textId="77777777" w:rsidR="006D587A" w:rsidRPr="00D0628F" w:rsidRDefault="006D587A" w:rsidP="006D587A">
      <w:pPr>
        <w:pStyle w:val="xmsonormal"/>
        <w:spacing w:after="200" w:line="276" w:lineRule="auto"/>
        <w:rPr>
          <w:rStyle w:val="eop"/>
        </w:rPr>
      </w:pPr>
      <w:r w:rsidRPr="002F6B52">
        <w:rPr>
          <w:rStyle w:val="eop"/>
          <w:rFonts w:asciiTheme="minorHAnsi" w:eastAsiaTheme="majorEastAsia" w:hAnsiTheme="minorHAnsi" w:cstheme="minorBidi"/>
        </w:rPr>
        <w:t xml:space="preserve">Consultations have been iterative and the program design has evolved as contributions have been </w:t>
      </w:r>
      <w:r w:rsidRPr="00D0628F">
        <w:rPr>
          <w:rStyle w:val="eop"/>
        </w:rPr>
        <w:t>consolidated and design ideas tested.</w:t>
      </w:r>
    </w:p>
    <w:p w14:paraId="7EB2634F" w14:textId="61546459" w:rsidR="006D587A" w:rsidRPr="00D0628F" w:rsidRDefault="006D587A" w:rsidP="00D0628F">
      <w:pPr>
        <w:pStyle w:val="xmsonormal"/>
        <w:spacing w:after="200" w:line="276" w:lineRule="auto"/>
        <w:rPr>
          <w:rStyle w:val="eop"/>
        </w:rPr>
      </w:pPr>
      <w:r w:rsidRPr="00D0628F">
        <w:rPr>
          <w:rStyle w:val="eop"/>
        </w:rPr>
        <w:t>In August 2023, the department began to check in with stakeholders about what had been learned from the consultations so far and to present design options for their feedback. More than 8,000 past and present ParentsNext participants were invited to take part in a survey by the department’s Applied Behavioural Insights team (in conjunction with Services Australia) as part of the check in phase. Over 2000 parents responded to the survey. This gave the opportunity for parents who had not attended a workshop or other consultation to be heard.</w:t>
      </w:r>
    </w:p>
    <w:p w14:paraId="30F1A29B" w14:textId="63A39108" w:rsidR="00172237" w:rsidRDefault="00172237" w:rsidP="00172237">
      <w:pPr>
        <w:pStyle w:val="xmsonormal"/>
        <w:spacing w:after="200" w:line="276" w:lineRule="auto"/>
        <w:rPr>
          <w:rStyle w:val="eop"/>
        </w:rPr>
      </w:pPr>
      <w:r>
        <w:rPr>
          <w:rStyle w:val="eop"/>
        </w:rPr>
        <w:t xml:space="preserve">Feedback from stakeholders on design options continued to be obtained </w:t>
      </w:r>
      <w:r w:rsidR="00B43CD9">
        <w:rPr>
          <w:rStyle w:val="eop"/>
        </w:rPr>
        <w:t>from</w:t>
      </w:r>
      <w:r>
        <w:rPr>
          <w:rStyle w:val="eop"/>
        </w:rPr>
        <w:t xml:space="preserve"> September 2023 as the proposed new service was shaped.</w:t>
      </w:r>
    </w:p>
    <w:p w14:paraId="6A565A2A" w14:textId="7BC578FB" w:rsidR="008B432A" w:rsidRPr="003528E9" w:rsidRDefault="008B432A" w:rsidP="006D587A">
      <w:pPr>
        <w:pStyle w:val="xmsonormal"/>
        <w:spacing w:after="200" w:line="276" w:lineRule="auto"/>
        <w:rPr>
          <w:rStyle w:val="eop"/>
          <w:color w:val="000000" w:themeColor="text1"/>
        </w:rPr>
      </w:pPr>
      <w:r w:rsidRPr="003528E9">
        <w:rPr>
          <w:rStyle w:val="eop"/>
          <w:color w:val="000000" w:themeColor="text1"/>
        </w:rPr>
        <w:t xml:space="preserve">Views from across the consultations have been consolidated and summarised into an overview document </w:t>
      </w:r>
      <w:r w:rsidRPr="003528E9">
        <w:rPr>
          <w:rStyle w:val="eop"/>
          <w:i/>
          <w:iCs/>
          <w:color w:val="000000" w:themeColor="text1"/>
        </w:rPr>
        <w:t>What we’ve heard from parents</w:t>
      </w:r>
      <w:r w:rsidR="00B45C16" w:rsidRPr="007F03CD">
        <w:rPr>
          <w:rStyle w:val="eop"/>
          <w:i/>
          <w:iCs/>
          <w:color w:val="000000" w:themeColor="text1"/>
        </w:rPr>
        <w:t>.</w:t>
      </w:r>
      <w:r w:rsidR="00677519" w:rsidRPr="007F03CD">
        <w:rPr>
          <w:rStyle w:val="FootnoteReference"/>
          <w:i/>
          <w:iCs/>
          <w:color w:val="000000" w:themeColor="text1"/>
        </w:rPr>
        <w:footnoteReference w:id="40"/>
      </w:r>
      <w:r w:rsidR="00677519" w:rsidRPr="007F03CD">
        <w:rPr>
          <w:rStyle w:val="eop"/>
          <w:i/>
          <w:iCs/>
          <w:color w:val="000000" w:themeColor="text1"/>
        </w:rPr>
        <w:t xml:space="preserve"> </w:t>
      </w:r>
      <w:r w:rsidR="005E5020" w:rsidRPr="007F03CD">
        <w:rPr>
          <w:rStyle w:val="eop"/>
          <w:color w:val="000000" w:themeColor="text1"/>
        </w:rPr>
        <w:t>It</w:t>
      </w:r>
      <w:r w:rsidR="005E5020" w:rsidRPr="00873C8C">
        <w:rPr>
          <w:rStyle w:val="eop"/>
          <w:color w:val="000000" w:themeColor="text1"/>
        </w:rPr>
        <w:t xml:space="preserve"> </w:t>
      </w:r>
      <w:r w:rsidR="003F4A0E" w:rsidRPr="00873C8C">
        <w:rPr>
          <w:rStyle w:val="eop"/>
          <w:color w:val="000000" w:themeColor="text1"/>
        </w:rPr>
        <w:t xml:space="preserve">has been </w:t>
      </w:r>
      <w:r w:rsidR="00F45F4A" w:rsidRPr="00873C8C">
        <w:rPr>
          <w:rStyle w:val="eop"/>
          <w:color w:val="000000" w:themeColor="text1"/>
        </w:rPr>
        <w:t>published</w:t>
      </w:r>
      <w:r w:rsidRPr="007F03CD">
        <w:rPr>
          <w:rStyle w:val="eop"/>
          <w:color w:val="000000" w:themeColor="text1"/>
        </w:rPr>
        <w:t xml:space="preserve"> on the department’s website and </w:t>
      </w:r>
      <w:r w:rsidR="003F4A0E" w:rsidRPr="007F03CD">
        <w:rPr>
          <w:rStyle w:val="eop"/>
          <w:color w:val="000000" w:themeColor="text1"/>
        </w:rPr>
        <w:t xml:space="preserve">distributed </w:t>
      </w:r>
      <w:r w:rsidRPr="007F03CD">
        <w:rPr>
          <w:rStyle w:val="eop"/>
          <w:color w:val="000000" w:themeColor="text1"/>
        </w:rPr>
        <w:t>to key stakeholders to allow further opportunity for parents and other</w:t>
      </w:r>
      <w:r w:rsidRPr="00873C8C">
        <w:rPr>
          <w:rStyle w:val="eop"/>
          <w:color w:val="000000" w:themeColor="text1"/>
        </w:rPr>
        <w:t xml:space="preserve"> stakeholders to provide comments, particularly whether anything important had been missed, misunderstood or</w:t>
      </w:r>
      <w:r w:rsidRPr="003528E9">
        <w:rPr>
          <w:rStyle w:val="eop"/>
          <w:color w:val="000000" w:themeColor="text1"/>
        </w:rPr>
        <w:t xml:space="preserve"> misinterpreted.</w:t>
      </w:r>
    </w:p>
    <w:p w14:paraId="0ED0ACED" w14:textId="34C2E8F8" w:rsidR="00B04938" w:rsidRPr="00AC52CE" w:rsidRDefault="00B04938" w:rsidP="00AC52CE">
      <w:pPr>
        <w:pStyle w:val="Heading2"/>
        <w:ind w:left="720" w:hanging="720"/>
        <w:rPr>
          <w:lang w:val="en-US"/>
        </w:rPr>
      </w:pPr>
      <w:bookmarkStart w:id="91" w:name="_Toc151123130"/>
      <w:r w:rsidRPr="00AC52CE">
        <w:rPr>
          <w:lang w:val="en-US"/>
        </w:rPr>
        <w:lastRenderedPageBreak/>
        <w:t>7.3</w:t>
      </w:r>
      <w:r w:rsidRPr="00AC52CE">
        <w:rPr>
          <w:lang w:val="en-US"/>
        </w:rPr>
        <w:tab/>
        <w:t>How was feedback incorporated</w:t>
      </w:r>
      <w:bookmarkEnd w:id="91"/>
    </w:p>
    <w:p w14:paraId="7686B91D" w14:textId="77777777" w:rsidR="00B04938" w:rsidRPr="00B04938" w:rsidRDefault="00B04938" w:rsidP="00B04938">
      <w:pPr>
        <w:rPr>
          <w:rFonts w:ascii="Calibri" w:eastAsia="Calibri" w:hAnsi="Calibri" w:cs="Calibri"/>
          <w:lang w:eastAsia="en-AU"/>
        </w:rPr>
      </w:pPr>
      <w:r w:rsidRPr="00B04938">
        <w:rPr>
          <w:rFonts w:ascii="Calibri" w:eastAsia="Calibri" w:hAnsi="Calibri" w:cs="Calibri"/>
          <w:lang w:eastAsia="en-AU"/>
        </w:rPr>
        <w:t>Feedback has been valuable in shaping the new service. While contributions have been wide ranging, they have generally coalesced around common priorities, needs and preferences.</w:t>
      </w:r>
    </w:p>
    <w:p w14:paraId="29789681" w14:textId="49D8B022" w:rsidR="00B04938" w:rsidRPr="00B04938" w:rsidRDefault="00B04938" w:rsidP="00B04938">
      <w:pPr>
        <w:spacing w:before="120" w:after="120" w:line="259" w:lineRule="auto"/>
        <w:rPr>
          <w:rFonts w:ascii="Calibri" w:eastAsia="Arial" w:hAnsi="Calibri" w:cs="Arial"/>
          <w:kern w:val="2"/>
          <w14:ligatures w14:val="standardContextual"/>
        </w:rPr>
      </w:pPr>
      <w:r w:rsidRPr="00B04938">
        <w:rPr>
          <w:rFonts w:ascii="Calibri" w:eastAsia="Arial" w:hAnsi="Calibri" w:cs="Arial"/>
          <w:kern w:val="2"/>
          <w14:ligatures w14:val="standardContextual"/>
        </w:rPr>
        <w:t xml:space="preserve">Feedback </w:t>
      </w:r>
      <w:r w:rsidR="002B748B">
        <w:rPr>
          <w:rFonts w:ascii="Calibri" w:eastAsia="Arial" w:hAnsi="Calibri" w:cs="Arial"/>
          <w:kern w:val="2"/>
          <w14:ligatures w14:val="standardContextual"/>
        </w:rPr>
        <w:t xml:space="preserve">from parents, providers and other stakeholders </w:t>
      </w:r>
      <w:r w:rsidRPr="00B04938">
        <w:rPr>
          <w:rFonts w:ascii="Calibri" w:eastAsia="Arial" w:hAnsi="Calibri" w:cs="Arial"/>
          <w:kern w:val="2"/>
          <w14:ligatures w14:val="standardContextual"/>
        </w:rPr>
        <w:t>has been incorporated into</w:t>
      </w:r>
      <w:r w:rsidR="00AA3640">
        <w:rPr>
          <w:rFonts w:ascii="Calibri" w:eastAsia="Arial" w:hAnsi="Calibri" w:cs="Arial"/>
          <w:kern w:val="2"/>
          <w14:ligatures w14:val="standardContextual"/>
        </w:rPr>
        <w:t xml:space="preserve"> the</w:t>
      </w:r>
      <w:r w:rsidRPr="00B04938">
        <w:rPr>
          <w:rFonts w:ascii="Calibri" w:eastAsia="Arial" w:hAnsi="Calibri" w:cs="Arial"/>
          <w:kern w:val="2"/>
          <w14:ligatures w14:val="standardContextual"/>
        </w:rPr>
        <w:t xml:space="preserve"> </w:t>
      </w:r>
      <w:r w:rsidR="00D6570B">
        <w:rPr>
          <w:rFonts w:ascii="Calibri" w:eastAsia="Calibri" w:hAnsi="Calibri" w:cs="Times New Roman"/>
          <w:kern w:val="2"/>
          <w14:ligatures w14:val="standardContextual"/>
        </w:rPr>
        <w:t>preferred option</w:t>
      </w:r>
      <w:r w:rsidRPr="00B04938">
        <w:rPr>
          <w:rFonts w:ascii="Calibri" w:eastAsia="Arial" w:hAnsi="Calibri" w:cs="Arial"/>
          <w:kern w:val="2"/>
          <w14:ligatures w14:val="standardContextual"/>
        </w:rPr>
        <w:t xml:space="preserve"> as outlined in the table below.</w:t>
      </w:r>
    </w:p>
    <w:p w14:paraId="1232AE34" w14:textId="18E9E80A" w:rsidR="00B04938" w:rsidRPr="00B04938" w:rsidRDefault="00B04938" w:rsidP="00B04938">
      <w:pPr>
        <w:keepNext/>
        <w:spacing w:before="240" w:after="40" w:line="240" w:lineRule="auto"/>
        <w:rPr>
          <w:rFonts w:ascii="Calibri" w:eastAsia="Calibri" w:hAnsi="Calibri" w:cs="Times New Roman"/>
          <w:b/>
          <w:iCs/>
          <w:szCs w:val="18"/>
        </w:rPr>
      </w:pPr>
      <w:r w:rsidRPr="00B04938">
        <w:rPr>
          <w:rFonts w:ascii="Calibri" w:eastAsia="Calibri" w:hAnsi="Calibri" w:cs="Times New Roman"/>
          <w:b/>
          <w:iCs/>
          <w:szCs w:val="18"/>
        </w:rPr>
        <w:fldChar w:fldCharType="begin"/>
      </w:r>
      <w:r w:rsidRPr="00B04938">
        <w:rPr>
          <w:rFonts w:ascii="Calibri" w:eastAsia="Calibri" w:hAnsi="Calibri" w:cs="Times New Roman"/>
          <w:b/>
          <w:iCs/>
          <w:szCs w:val="18"/>
        </w:rPr>
        <w:instrText xml:space="preserve"> TOC \o "1-3" \h \z \u </w:instrText>
      </w:r>
      <w:r w:rsidRPr="00B04938">
        <w:rPr>
          <w:rFonts w:ascii="Calibri" w:eastAsia="Calibri" w:hAnsi="Calibri" w:cs="Times New Roman"/>
          <w:b/>
          <w:iCs/>
          <w:szCs w:val="18"/>
        </w:rPr>
        <w:fldChar w:fldCharType="end"/>
      </w:r>
      <w:r w:rsidRPr="00B04938">
        <w:rPr>
          <w:rFonts w:ascii="Calibri" w:eastAsia="Calibri" w:hAnsi="Calibri" w:cs="Times New Roman"/>
          <w:b/>
          <w:iCs/>
          <w:szCs w:val="18"/>
        </w:rPr>
        <w:t xml:space="preserve">Table </w:t>
      </w:r>
      <w:r w:rsidR="00EA416E">
        <w:rPr>
          <w:rFonts w:ascii="Calibri" w:eastAsia="Calibri" w:hAnsi="Calibri" w:cs="Times New Roman"/>
          <w:b/>
          <w:iCs/>
          <w:szCs w:val="18"/>
        </w:rPr>
        <w:t>9</w:t>
      </w:r>
      <w:r w:rsidRPr="00B04938">
        <w:rPr>
          <w:rFonts w:ascii="Calibri" w:eastAsia="Calibri" w:hAnsi="Calibri" w:cs="Times New Roman"/>
          <w:b/>
          <w:iCs/>
          <w:szCs w:val="18"/>
        </w:rPr>
        <w:t>: How feedback has been incorporated</w:t>
      </w:r>
    </w:p>
    <w:tbl>
      <w:tblPr>
        <w:tblStyle w:val="DESE"/>
        <w:tblW w:w="0" w:type="auto"/>
        <w:tblLook w:val="04A0" w:firstRow="1" w:lastRow="0" w:firstColumn="1" w:lastColumn="0" w:noHBand="0" w:noVBand="1"/>
      </w:tblPr>
      <w:tblGrid>
        <w:gridCol w:w="1667"/>
        <w:gridCol w:w="953"/>
        <w:gridCol w:w="2620"/>
        <w:gridCol w:w="3806"/>
      </w:tblGrid>
      <w:tr w:rsidR="00C14D4B" w:rsidRPr="00B04938" w14:paraId="52697F2C" w14:textId="77777777" w:rsidTr="0062031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620" w:type="dxa"/>
            <w:gridSpan w:val="2"/>
            <w:tcBorders>
              <w:top w:val="single" w:sz="4" w:space="0" w:color="44546A"/>
            </w:tcBorders>
          </w:tcPr>
          <w:p w14:paraId="5F3E10F8" w14:textId="77777777" w:rsidR="00C14D4B" w:rsidRPr="00B04938" w:rsidRDefault="00C14D4B" w:rsidP="00B04938">
            <w:pPr>
              <w:rPr>
                <w:rFonts w:eastAsia="Calibri" w:cs="Times New Roman"/>
                <w:color w:val="FFFFFF"/>
              </w:rPr>
            </w:pPr>
            <w:r w:rsidRPr="00B04938">
              <w:rPr>
                <w:rFonts w:eastAsia="Calibri" w:cs="Times New Roman"/>
                <w:color w:val="FFFFFF"/>
              </w:rPr>
              <w:t>Feedback</w:t>
            </w:r>
          </w:p>
        </w:tc>
        <w:tc>
          <w:tcPr>
            <w:tcW w:w="2620" w:type="dxa"/>
            <w:tcBorders>
              <w:top w:val="single" w:sz="4" w:space="0" w:color="44546A"/>
            </w:tcBorders>
          </w:tcPr>
          <w:p w14:paraId="3D51C47A" w14:textId="6EEB9849" w:rsidR="00C14D4B" w:rsidRPr="00B04938" w:rsidRDefault="00C14D4B" w:rsidP="00B04938">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p>
        </w:tc>
        <w:tc>
          <w:tcPr>
            <w:tcW w:w="3806" w:type="dxa"/>
          </w:tcPr>
          <w:p w14:paraId="04EB5005" w14:textId="77777777" w:rsidR="00C14D4B" w:rsidRPr="00B04938" w:rsidRDefault="00C14D4B" w:rsidP="00B04938">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sidRPr="00B04938">
              <w:rPr>
                <w:rFonts w:eastAsia="Calibri" w:cs="Times New Roman"/>
                <w:color w:val="FFFFFF"/>
              </w:rPr>
              <w:t>How feedback was included</w:t>
            </w:r>
          </w:p>
        </w:tc>
      </w:tr>
      <w:tr w:rsidR="00B04938" w:rsidRPr="00B04938" w14:paraId="069D66A3"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34408D08" w14:textId="77777777" w:rsidR="00B04938" w:rsidRPr="00B04938" w:rsidRDefault="00B04938" w:rsidP="00B04938">
            <w:pPr>
              <w:rPr>
                <w:rFonts w:eastAsia="Calibri" w:cs="Times New Roman"/>
                <w:b/>
                <w:bCs/>
              </w:rPr>
            </w:pPr>
            <w:r w:rsidRPr="00B04938">
              <w:rPr>
                <w:rFonts w:eastAsia="Calibri" w:cs="Times New Roman"/>
                <w:b/>
                <w:bCs/>
              </w:rPr>
              <w:t>Family</w:t>
            </w:r>
          </w:p>
        </w:tc>
        <w:tc>
          <w:tcPr>
            <w:tcW w:w="3573" w:type="dxa"/>
            <w:gridSpan w:val="2"/>
          </w:tcPr>
          <w:p w14:paraId="2B6F41C7"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 xml:space="preserve">Raising children is parents’ priority </w:t>
            </w:r>
          </w:p>
        </w:tc>
        <w:tc>
          <w:tcPr>
            <w:tcW w:w="3806" w:type="dxa"/>
          </w:tcPr>
          <w:p w14:paraId="663B28E9" w14:textId="77777777" w:rsidR="00B04938" w:rsidRPr="00B04938" w:rsidRDefault="00B04938" w:rsidP="00A67E21">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Parents will be able to participate in the service when they are ready. They will also be able to opt in and opt out of the service according to their circumstances and needs while they remain eligible.</w:t>
            </w:r>
          </w:p>
        </w:tc>
      </w:tr>
      <w:tr w:rsidR="00B04938" w:rsidRPr="00B04938" w14:paraId="3BB6520C"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5F773595" w14:textId="77777777" w:rsidR="00B04938" w:rsidRPr="00B04938" w:rsidRDefault="00B04938" w:rsidP="00B04938">
            <w:pPr>
              <w:rPr>
                <w:rFonts w:eastAsia="Calibri" w:cs="Times New Roman"/>
                <w:b/>
                <w:bCs/>
              </w:rPr>
            </w:pPr>
            <w:r w:rsidRPr="00B04938">
              <w:rPr>
                <w:rFonts w:eastAsia="Calibri" w:cs="Times New Roman"/>
                <w:b/>
                <w:bCs/>
              </w:rPr>
              <w:t>Challenges</w:t>
            </w:r>
          </w:p>
        </w:tc>
        <w:tc>
          <w:tcPr>
            <w:tcW w:w="3573" w:type="dxa"/>
            <w:gridSpan w:val="2"/>
          </w:tcPr>
          <w:p w14:paraId="7B4F8212"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 xml:space="preserve">Many parents have complex and varied challenges to be navigated before focusing on education and employment goals, including: </w:t>
            </w:r>
          </w:p>
          <w:p w14:paraId="343DF0CA" w14:textId="77777777" w:rsidR="00B04938" w:rsidRPr="00B04938" w:rsidRDefault="00B04938" w:rsidP="00A40BD4">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childcare costs and availability</w:t>
            </w:r>
          </w:p>
          <w:p w14:paraId="474B3FC9" w14:textId="77777777" w:rsidR="00B04938" w:rsidRPr="00B04938" w:rsidRDefault="00B04938" w:rsidP="00A40BD4">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challenges such as insecure housing, financial distress, domestic violence, language barriers, illness, complex caring roles, and lack of access to transport, poor mental health and social isolation</w:t>
            </w:r>
          </w:p>
          <w:p w14:paraId="2CDAEA06" w14:textId="77777777" w:rsidR="00B04938" w:rsidRPr="00B04938" w:rsidRDefault="00B04938" w:rsidP="00A40BD4">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transport, especially without a driver licence</w:t>
            </w:r>
          </w:p>
          <w:p w14:paraId="6550A026" w14:textId="36BC23F5" w:rsidR="00B04938" w:rsidRPr="00B04938" w:rsidRDefault="00B04938" w:rsidP="00A40BD4">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lack of language and computer skills</w:t>
            </w:r>
            <w:r w:rsidR="00C65AE5">
              <w:rPr>
                <w:rFonts w:eastAsia="Calibri" w:cs="Times New Roman"/>
              </w:rPr>
              <w:t>.</w:t>
            </w:r>
          </w:p>
        </w:tc>
        <w:tc>
          <w:tcPr>
            <w:tcW w:w="3806" w:type="dxa"/>
          </w:tcPr>
          <w:p w14:paraId="611CC5F1"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Service providers will connect parents to local community and support services, training and other programs according to their needs and aspirations.</w:t>
            </w:r>
          </w:p>
          <w:p w14:paraId="27E29D39" w14:textId="4705A732"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 xml:space="preserve">The pooled funding and the </w:t>
            </w:r>
            <w:r w:rsidR="00911D87" w:rsidRPr="00B04938">
              <w:rPr>
                <w:rFonts w:eastAsia="Calibri" w:cs="Times New Roman"/>
              </w:rPr>
              <w:t>Individual Fund</w:t>
            </w:r>
            <w:r w:rsidRPr="00B04938">
              <w:rPr>
                <w:rFonts w:eastAsia="Calibri" w:cs="Times New Roman"/>
              </w:rPr>
              <w:t xml:space="preserve"> will also be available to purchase pre-employment interventions. </w:t>
            </w:r>
          </w:p>
        </w:tc>
      </w:tr>
      <w:tr w:rsidR="00B04938" w:rsidRPr="00B04938" w14:paraId="223C771D"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5C7674FE" w14:textId="77777777" w:rsidR="00B04938" w:rsidRPr="00B04938" w:rsidRDefault="00B04938" w:rsidP="00B04938">
            <w:pPr>
              <w:rPr>
                <w:rFonts w:eastAsia="Calibri" w:cs="Times New Roman"/>
                <w:b/>
                <w:bCs/>
              </w:rPr>
            </w:pPr>
            <w:r w:rsidRPr="00B04938">
              <w:rPr>
                <w:rFonts w:eastAsia="Calibri" w:cs="Times New Roman"/>
                <w:b/>
                <w:bCs/>
              </w:rPr>
              <w:t>Eligibility</w:t>
            </w:r>
          </w:p>
        </w:tc>
        <w:tc>
          <w:tcPr>
            <w:tcW w:w="3573" w:type="dxa"/>
            <w:gridSpan w:val="2"/>
          </w:tcPr>
          <w:p w14:paraId="47731DEC"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 xml:space="preserve">The new service should be widely accessible to parents who need help to plan for their future education and employment goals. Many considered that the service should prioritise parents with high needs for support. Parents felt that the service should not be limited to Parenting Payment recipients. </w:t>
            </w:r>
          </w:p>
        </w:tc>
        <w:tc>
          <w:tcPr>
            <w:tcW w:w="3806" w:type="dxa"/>
          </w:tcPr>
          <w:p w14:paraId="264FC4EC" w14:textId="77777777" w:rsidR="00B04938" w:rsidRPr="00B04938" w:rsidRDefault="00B04938" w:rsidP="0098146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Under Option 2, the new service will not be limited to Parenting Payment recipients. Parents who have a youngest child aged under 6 years, are not earning and live in non-remote Australia will be eligible if they:</w:t>
            </w:r>
          </w:p>
          <w:p w14:paraId="5D425192" w14:textId="5513BC7D" w:rsidR="00B04938" w:rsidRPr="00B04938" w:rsidRDefault="00B04938" w:rsidP="00A40BD4">
            <w:pPr>
              <w:numPr>
                <w:ilvl w:val="0"/>
                <w:numId w:val="14"/>
              </w:num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 xml:space="preserve">are receiving Parenting Payment, Carer </w:t>
            </w:r>
            <w:r w:rsidR="0048747A">
              <w:rPr>
                <w:rFonts w:eastAsia="Calibri" w:cs="Times New Roman"/>
              </w:rPr>
              <w:t>P</w:t>
            </w:r>
            <w:r w:rsidRPr="00B04938">
              <w:rPr>
                <w:rFonts w:eastAsia="Calibri" w:cs="Times New Roman"/>
              </w:rPr>
              <w:t xml:space="preserve">ayment and Special </w:t>
            </w:r>
            <w:r w:rsidR="0048747A">
              <w:rPr>
                <w:rFonts w:eastAsia="Calibri" w:cs="Times New Roman"/>
              </w:rPr>
              <w:t>B</w:t>
            </w:r>
            <w:r w:rsidR="0048747A" w:rsidRPr="00B04938">
              <w:rPr>
                <w:rFonts w:eastAsia="Calibri" w:cs="Times New Roman"/>
              </w:rPr>
              <w:t>enefit</w:t>
            </w:r>
            <w:r w:rsidRPr="00B04938">
              <w:rPr>
                <w:rFonts w:eastAsia="Calibri" w:cs="Times New Roman"/>
              </w:rPr>
              <w:t>, or</w:t>
            </w:r>
          </w:p>
          <w:p w14:paraId="40A2023B" w14:textId="6CD678A4" w:rsidR="00B04938" w:rsidRPr="00BF2233" w:rsidRDefault="00B04938" w:rsidP="00A40BD4">
            <w:pPr>
              <w:pStyle w:val="ListParagraph"/>
              <w:numPr>
                <w:ilvl w:val="0"/>
                <w:numId w:val="14"/>
              </w:numPr>
              <w:spacing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cs="Times New Roman"/>
              </w:rPr>
            </w:pPr>
            <w:r w:rsidRPr="00BF2233">
              <w:rPr>
                <w:rFonts w:eastAsia="Calibri" w:cs="Times New Roman"/>
              </w:rPr>
              <w:t>are young parents (aged under 22 years), or parent</w:t>
            </w:r>
            <w:r w:rsidR="0048747A" w:rsidRPr="00BF2233">
              <w:rPr>
                <w:rFonts w:eastAsia="Calibri" w:cs="Times New Roman"/>
              </w:rPr>
              <w:t>s</w:t>
            </w:r>
            <w:r w:rsidRPr="00BF2233">
              <w:rPr>
                <w:rFonts w:eastAsia="Calibri" w:cs="Times New Roman"/>
              </w:rPr>
              <w:t xml:space="preserve"> who are not on income support who have a low education attainment or are First Nations parents.</w:t>
            </w:r>
          </w:p>
        </w:tc>
      </w:tr>
      <w:tr w:rsidR="00B04938" w:rsidRPr="00B04938" w14:paraId="15D5F927"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04B259AC" w14:textId="77777777" w:rsidR="00B04938" w:rsidRPr="00B04938" w:rsidRDefault="00B04938" w:rsidP="00B04938">
            <w:pPr>
              <w:rPr>
                <w:rFonts w:eastAsia="Calibri" w:cs="Times New Roman"/>
                <w:b/>
                <w:bCs/>
              </w:rPr>
            </w:pPr>
            <w:r w:rsidRPr="00B04938">
              <w:rPr>
                <w:rFonts w:eastAsia="Calibri" w:cs="Times New Roman"/>
                <w:b/>
                <w:bCs/>
              </w:rPr>
              <w:lastRenderedPageBreak/>
              <w:t>Timing</w:t>
            </w:r>
          </w:p>
        </w:tc>
        <w:tc>
          <w:tcPr>
            <w:tcW w:w="3573" w:type="dxa"/>
            <w:gridSpan w:val="2"/>
          </w:tcPr>
          <w:p w14:paraId="4926CF8F"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Feedback varied on when the best time to access the service would be. Many parents mentioned this should be based on the individual. Some parents said it would be when their youngest child was about 3 years of age.</w:t>
            </w:r>
          </w:p>
        </w:tc>
        <w:tc>
          <w:tcPr>
            <w:tcW w:w="3806" w:type="dxa"/>
          </w:tcPr>
          <w:p w14:paraId="70F58400" w14:textId="5E7BADD1"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 xml:space="preserve">Eligible parents will be able to choose when they enter the new service regardless of the age of their children, </w:t>
            </w:r>
            <w:r w:rsidR="001674A4">
              <w:rPr>
                <w:rFonts w:eastAsia="Calibri" w:cs="Times New Roman"/>
              </w:rPr>
              <w:t>while</w:t>
            </w:r>
            <w:r w:rsidRPr="00B04938">
              <w:rPr>
                <w:rFonts w:eastAsia="Calibri" w:cs="Times New Roman"/>
              </w:rPr>
              <w:t xml:space="preserve"> their youngest child is under 6</w:t>
            </w:r>
            <w:r w:rsidR="001674A4">
              <w:rPr>
                <w:rFonts w:eastAsia="Calibri" w:cs="Times New Roman"/>
              </w:rPr>
              <w:t> </w:t>
            </w:r>
            <w:r w:rsidRPr="00B04938">
              <w:rPr>
                <w:rFonts w:eastAsia="Calibri" w:cs="Times New Roman"/>
              </w:rPr>
              <w:t>years old.</w:t>
            </w:r>
          </w:p>
        </w:tc>
      </w:tr>
      <w:tr w:rsidR="00B04938" w:rsidRPr="00B04938" w14:paraId="42856FB5"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4CC3F81A" w14:textId="77777777" w:rsidR="00B04938" w:rsidRPr="00B04938" w:rsidRDefault="00B04938" w:rsidP="00B04938">
            <w:pPr>
              <w:rPr>
                <w:rFonts w:eastAsia="Calibri" w:cs="Times New Roman"/>
                <w:b/>
                <w:bCs/>
              </w:rPr>
            </w:pPr>
            <w:r w:rsidRPr="00B04938">
              <w:rPr>
                <w:rFonts w:eastAsia="Calibri" w:cs="Times New Roman"/>
                <w:b/>
                <w:bCs/>
              </w:rPr>
              <w:t>Delivery</w:t>
            </w:r>
          </w:p>
        </w:tc>
        <w:tc>
          <w:tcPr>
            <w:tcW w:w="3573" w:type="dxa"/>
            <w:gridSpan w:val="2"/>
          </w:tcPr>
          <w:p w14:paraId="1511DA5C"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Most parents did not express a strong preference for who should deliver the service, although many favoured community-led services. It is important that services are culturally appropriate, including services for First Nations, refugee and migrant parents.</w:t>
            </w:r>
          </w:p>
        </w:tc>
        <w:tc>
          <w:tcPr>
            <w:tcW w:w="3806" w:type="dxa"/>
          </w:tcPr>
          <w:p w14:paraId="68F2B7E3"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Procurement processes will be aimed at obtaining a diversity of providers capable of delivering the new service. Services are to be culturally sensitive with culturally competent staff.</w:t>
            </w:r>
          </w:p>
        </w:tc>
      </w:tr>
      <w:tr w:rsidR="00B04938" w:rsidRPr="00B04938" w14:paraId="74BC24C7"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141B5058" w14:textId="77777777" w:rsidR="00B04938" w:rsidRPr="00B04938" w:rsidRDefault="00B04938" w:rsidP="00B04938">
            <w:pPr>
              <w:rPr>
                <w:rFonts w:eastAsia="Calibri" w:cs="Times New Roman"/>
                <w:b/>
                <w:bCs/>
              </w:rPr>
            </w:pPr>
            <w:r w:rsidRPr="00B04938">
              <w:rPr>
                <w:rFonts w:eastAsia="Calibri" w:cs="Times New Roman"/>
                <w:b/>
                <w:bCs/>
              </w:rPr>
              <w:t>Sensitivity</w:t>
            </w:r>
          </w:p>
        </w:tc>
        <w:tc>
          <w:tcPr>
            <w:tcW w:w="3573" w:type="dxa"/>
            <w:gridSpan w:val="2"/>
          </w:tcPr>
          <w:p w14:paraId="76E5EE6C" w14:textId="7132E691"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Parents want staff who deliver the service to be respectful, qualified</w:t>
            </w:r>
            <w:r w:rsidR="00E67D3D">
              <w:rPr>
                <w:rFonts w:eastAsia="Calibri" w:cs="Times New Roman"/>
              </w:rPr>
              <w:t xml:space="preserve"> and</w:t>
            </w:r>
            <w:r w:rsidRPr="00B04938">
              <w:rPr>
                <w:rFonts w:eastAsia="Calibri" w:cs="Times New Roman"/>
              </w:rPr>
              <w:t xml:space="preserve"> empathetic, and have lived experience to encourage and help parents to connect with the supports they need to reach their goals.</w:t>
            </w:r>
          </w:p>
        </w:tc>
        <w:tc>
          <w:tcPr>
            <w:tcW w:w="3806" w:type="dxa"/>
          </w:tcPr>
          <w:p w14:paraId="6DF896C0" w14:textId="43469636"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 xml:space="preserve">Service providers will be expected to engage </w:t>
            </w:r>
            <w:r w:rsidRPr="00B04938">
              <w:rPr>
                <w:rFonts w:eastAsia="Arial" w:cs="Arial"/>
              </w:rPr>
              <w:t>suitably trained or qualified staff and mentors with lived experience or experience working in similar services. Services will be required to have staff trained in recognising and responding to family and domestic violence and in trauma informed practice.</w:t>
            </w:r>
          </w:p>
        </w:tc>
      </w:tr>
      <w:tr w:rsidR="00B04938" w:rsidRPr="00B04938" w14:paraId="3216955D"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70DBEF2F" w14:textId="77777777" w:rsidR="00B04938" w:rsidRPr="00B04938" w:rsidRDefault="00B04938" w:rsidP="00B04938">
            <w:pPr>
              <w:rPr>
                <w:rFonts w:eastAsia="Calibri" w:cs="Times New Roman"/>
                <w:b/>
                <w:bCs/>
              </w:rPr>
            </w:pPr>
            <w:r w:rsidRPr="00B04938">
              <w:rPr>
                <w:rFonts w:eastAsia="Calibri" w:cs="Times New Roman"/>
                <w:b/>
                <w:bCs/>
              </w:rPr>
              <w:t>Flexibility</w:t>
            </w:r>
          </w:p>
        </w:tc>
        <w:tc>
          <w:tcPr>
            <w:tcW w:w="3573" w:type="dxa"/>
            <w:gridSpan w:val="2"/>
          </w:tcPr>
          <w:p w14:paraId="4073D8E2"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Parents want to choose how and when to engage and said that services should have mixed delivery methods and locations.</w:t>
            </w:r>
          </w:p>
        </w:tc>
        <w:tc>
          <w:tcPr>
            <w:tcW w:w="3806" w:type="dxa"/>
          </w:tcPr>
          <w:p w14:paraId="375424DA"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 xml:space="preserve">Service delivery will be flexible including face-to-face and by phone. </w:t>
            </w:r>
          </w:p>
        </w:tc>
      </w:tr>
      <w:tr w:rsidR="00B04938" w:rsidRPr="00B04938" w14:paraId="46356FEC"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276CE648" w14:textId="77777777" w:rsidR="00B04938" w:rsidRPr="00B04938" w:rsidRDefault="00B04938" w:rsidP="00B04938">
            <w:pPr>
              <w:rPr>
                <w:rFonts w:eastAsia="Calibri" w:cs="Times New Roman"/>
                <w:b/>
                <w:bCs/>
              </w:rPr>
            </w:pPr>
            <w:r w:rsidRPr="00B04938">
              <w:rPr>
                <w:rFonts w:eastAsia="Calibri" w:cs="Times New Roman"/>
                <w:b/>
                <w:bCs/>
              </w:rPr>
              <w:t>Local</w:t>
            </w:r>
          </w:p>
        </w:tc>
        <w:tc>
          <w:tcPr>
            <w:tcW w:w="3573" w:type="dxa"/>
            <w:gridSpan w:val="2"/>
          </w:tcPr>
          <w:p w14:paraId="17CB154D" w14:textId="6FEDE6F3" w:rsidR="00B04938" w:rsidRPr="00B04938" w:rsidRDefault="00EC6DB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P</w:t>
            </w:r>
            <w:r w:rsidR="00B04938" w:rsidRPr="00B04938">
              <w:rPr>
                <w:rFonts w:eastAsia="Calibri" w:cs="Times New Roman"/>
              </w:rPr>
              <w:t>lace</w:t>
            </w:r>
            <w:r w:rsidR="00C11F9F">
              <w:rPr>
                <w:rFonts w:eastAsia="Calibri" w:cs="Times New Roman"/>
              </w:rPr>
              <w:t>-</w:t>
            </w:r>
            <w:r w:rsidR="00B04938" w:rsidRPr="00B04938">
              <w:rPr>
                <w:rFonts w:eastAsia="Calibri" w:cs="Times New Roman"/>
              </w:rPr>
              <w:t xml:space="preserve">based connections </w:t>
            </w:r>
            <w:r>
              <w:rPr>
                <w:rFonts w:eastAsia="Calibri" w:cs="Times New Roman"/>
              </w:rPr>
              <w:t xml:space="preserve">are important </w:t>
            </w:r>
            <w:r w:rsidR="00B04938" w:rsidRPr="00B04938">
              <w:rPr>
                <w:rFonts w:eastAsia="Calibri" w:cs="Times New Roman"/>
              </w:rPr>
              <w:t>so that referrals are accessible and helpful. For some parents, location-based challenges extended to difficulties in finding meaningful, flexible employment and relevant local training and education in line with their aspirations.</w:t>
            </w:r>
          </w:p>
        </w:tc>
        <w:tc>
          <w:tcPr>
            <w:tcW w:w="3806" w:type="dxa"/>
          </w:tcPr>
          <w:p w14:paraId="64FCE6D7" w14:textId="67C40585" w:rsidR="00B04938" w:rsidRPr="00B04938" w:rsidRDefault="00B04938" w:rsidP="00B04938">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00B04938">
              <w:rPr>
                <w:rFonts w:eastAsia="Calibri" w:cs="Times New Roman"/>
              </w:rPr>
              <w:t xml:space="preserve">Providers will be expected to </w:t>
            </w:r>
            <w:r w:rsidRPr="00B04938">
              <w:rPr>
                <w:rFonts w:eastAsia="Arial" w:cs="Arial"/>
              </w:rPr>
              <w:t xml:space="preserve">build relationships </w:t>
            </w:r>
            <w:r w:rsidR="006342C2">
              <w:rPr>
                <w:rFonts w:eastAsia="Arial" w:cs="Arial"/>
              </w:rPr>
              <w:t xml:space="preserve">and network </w:t>
            </w:r>
            <w:r w:rsidRPr="00B04938">
              <w:rPr>
                <w:rFonts w:eastAsia="Arial" w:cs="Arial"/>
              </w:rPr>
              <w:t xml:space="preserve">with local community service providers and </w:t>
            </w:r>
            <w:r w:rsidRPr="00524078">
              <w:rPr>
                <w:rFonts w:eastAsia="Arial" w:cs="Arial"/>
              </w:rPr>
              <w:t>organisations.</w:t>
            </w:r>
          </w:p>
          <w:p w14:paraId="5530A4F7" w14:textId="77777777" w:rsidR="00B04938" w:rsidRPr="00B04938" w:rsidRDefault="00B04938" w:rsidP="00B04938">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Arial" w:cs="Arial"/>
              </w:rPr>
              <w:t>Providers will also work with participants to identify strategies and supports that will help them to achieve their goals.</w:t>
            </w:r>
          </w:p>
        </w:tc>
      </w:tr>
      <w:tr w:rsidR="00B04938" w:rsidRPr="00B04938" w14:paraId="0C1542C7"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0B13828F" w14:textId="77777777" w:rsidR="00B04938" w:rsidRPr="00B04938" w:rsidRDefault="00B04938" w:rsidP="00B04938">
            <w:pPr>
              <w:rPr>
                <w:rFonts w:eastAsia="Calibri" w:cs="Times New Roman"/>
                <w:b/>
                <w:bCs/>
              </w:rPr>
            </w:pPr>
            <w:r w:rsidRPr="00B04938">
              <w:rPr>
                <w:rFonts w:eastAsia="Calibri" w:cs="Times New Roman"/>
                <w:b/>
                <w:bCs/>
              </w:rPr>
              <w:t>Communication</w:t>
            </w:r>
          </w:p>
        </w:tc>
        <w:tc>
          <w:tcPr>
            <w:tcW w:w="3573" w:type="dxa"/>
            <w:gridSpan w:val="2"/>
          </w:tcPr>
          <w:p w14:paraId="068468EA" w14:textId="6959CF7E" w:rsidR="00B04938" w:rsidRPr="00B04938" w:rsidRDefault="008452D7"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The importance of awareness raising was highlighted. </w:t>
            </w:r>
            <w:r w:rsidR="00B04938" w:rsidRPr="00B04938">
              <w:rPr>
                <w:rFonts w:eastAsia="Calibri" w:cs="Times New Roman"/>
              </w:rPr>
              <w:t xml:space="preserve">Parents </w:t>
            </w:r>
            <w:r>
              <w:rPr>
                <w:rFonts w:eastAsia="Calibri" w:cs="Times New Roman"/>
              </w:rPr>
              <w:t xml:space="preserve">in particular </w:t>
            </w:r>
            <w:r w:rsidR="00B04938" w:rsidRPr="00B04938">
              <w:rPr>
                <w:rFonts w:eastAsia="Calibri" w:cs="Times New Roman"/>
              </w:rPr>
              <w:t>want transparency and clear communication about available services.</w:t>
            </w:r>
          </w:p>
        </w:tc>
        <w:tc>
          <w:tcPr>
            <w:tcW w:w="3806" w:type="dxa"/>
          </w:tcPr>
          <w:p w14:paraId="20B99EFE" w14:textId="05FD7528" w:rsidR="00B04938" w:rsidRPr="00B04938" w:rsidRDefault="00B04938" w:rsidP="00B04938">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Providers will receive outreach and engagement funding to support them to communicate and promote the service locally.</w:t>
            </w:r>
          </w:p>
        </w:tc>
      </w:tr>
      <w:tr w:rsidR="00B04938" w:rsidRPr="00B04938" w14:paraId="3F40A1B1"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26AF913B" w14:textId="77777777" w:rsidR="00B04938" w:rsidRPr="00B04938" w:rsidRDefault="00B04938" w:rsidP="00B04938">
            <w:pPr>
              <w:rPr>
                <w:rFonts w:eastAsia="Calibri" w:cs="Times New Roman"/>
                <w:b/>
                <w:bCs/>
              </w:rPr>
            </w:pPr>
            <w:r w:rsidRPr="00B04938">
              <w:rPr>
                <w:rFonts w:eastAsia="Calibri" w:cs="Times New Roman"/>
                <w:b/>
                <w:bCs/>
              </w:rPr>
              <w:lastRenderedPageBreak/>
              <w:t>Participation</w:t>
            </w:r>
          </w:p>
        </w:tc>
        <w:tc>
          <w:tcPr>
            <w:tcW w:w="3573" w:type="dxa"/>
            <w:gridSpan w:val="2"/>
          </w:tcPr>
          <w:p w14:paraId="38633C1B" w14:textId="77777777" w:rsidR="00B04938" w:rsidRPr="00B04938" w:rsidRDefault="00B04938"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Calibri" w:cs="Times New Roman"/>
              </w:rPr>
              <w:t>While they had differing views, parents commonly suggested that the availability of financial and other supports would encourage their participation. This includes information about financial assistance which many said was not prominent under ParentsNext.</w:t>
            </w:r>
          </w:p>
        </w:tc>
        <w:tc>
          <w:tcPr>
            <w:tcW w:w="3806" w:type="dxa"/>
          </w:tcPr>
          <w:p w14:paraId="5205B013" w14:textId="6614A119" w:rsidR="00B04938" w:rsidRPr="00B04938" w:rsidRDefault="00B04938" w:rsidP="00B04938">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4938">
              <w:rPr>
                <w:rFonts w:eastAsia="Arial" w:cs="Arial"/>
              </w:rPr>
              <w:t xml:space="preserve">Parents will have more transparent access to financial assistance though the pooled funding and new </w:t>
            </w:r>
            <w:r w:rsidR="00911D87" w:rsidRPr="00B04938">
              <w:rPr>
                <w:rFonts w:eastAsia="Arial" w:cs="Arial"/>
              </w:rPr>
              <w:t>Individual Fund</w:t>
            </w:r>
            <w:r w:rsidRPr="00B04938">
              <w:rPr>
                <w:rFonts w:eastAsia="Arial" w:cs="Arial"/>
              </w:rPr>
              <w:t>.</w:t>
            </w:r>
          </w:p>
        </w:tc>
      </w:tr>
      <w:tr w:rsidR="00B04938" w:rsidRPr="00B04938" w14:paraId="6F87D6A6"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2D87E682" w14:textId="77777777" w:rsidR="00B04938" w:rsidRPr="00B04938" w:rsidRDefault="00B04938" w:rsidP="00B04938">
            <w:pPr>
              <w:rPr>
                <w:rFonts w:eastAsia="Calibri" w:cs="Times New Roman"/>
                <w:b/>
                <w:bCs/>
              </w:rPr>
            </w:pPr>
            <w:r w:rsidRPr="00B04938">
              <w:rPr>
                <w:rFonts w:eastAsia="Calibri" w:cs="Times New Roman"/>
                <w:b/>
                <w:bCs/>
              </w:rPr>
              <w:t>Complexities</w:t>
            </w:r>
          </w:p>
        </w:tc>
        <w:tc>
          <w:tcPr>
            <w:tcW w:w="3573" w:type="dxa"/>
            <w:gridSpan w:val="2"/>
          </w:tcPr>
          <w:p w14:paraId="51A2CF95" w14:textId="2412BA18" w:rsidR="00B04938" w:rsidRPr="00B04938" w:rsidRDefault="006B027E"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Feedback from parents and other stakeholders </w:t>
            </w:r>
            <w:r w:rsidR="00B04938" w:rsidRPr="00B04938">
              <w:rPr>
                <w:rFonts w:eastAsia="Calibri" w:cs="Times New Roman"/>
              </w:rPr>
              <w:t xml:space="preserve">identified complexities such as the interaction of earnings from paid employment with other forms of support such as housing, income support payments, access to a Health Care Card and childcare. </w:t>
            </w:r>
          </w:p>
        </w:tc>
        <w:tc>
          <w:tcPr>
            <w:tcW w:w="3806" w:type="dxa"/>
          </w:tcPr>
          <w:p w14:paraId="2B7405D4" w14:textId="11FA0EFA" w:rsidR="000E05FA" w:rsidRDefault="002D291B" w:rsidP="002D291B">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Aspects of the feed</w:t>
            </w:r>
            <w:r w:rsidR="000C58BD">
              <w:rPr>
                <w:rFonts w:eastAsia="Calibri" w:cs="Times New Roman"/>
              </w:rPr>
              <w:t xml:space="preserve">back have covered </w:t>
            </w:r>
            <w:r w:rsidR="000E05FA">
              <w:rPr>
                <w:rFonts w:eastAsia="Calibri" w:cs="Times New Roman"/>
              </w:rPr>
              <w:t xml:space="preserve">factors which are relevant to </w:t>
            </w:r>
            <w:r w:rsidR="009258CA">
              <w:rPr>
                <w:rFonts w:eastAsia="Calibri" w:cs="Times New Roman"/>
              </w:rPr>
              <w:t>parents</w:t>
            </w:r>
            <w:r w:rsidR="000E05FA">
              <w:rPr>
                <w:rFonts w:eastAsia="Calibri" w:cs="Times New Roman"/>
              </w:rPr>
              <w:t xml:space="preserve"> tak</w:t>
            </w:r>
            <w:r w:rsidR="00F8188B">
              <w:rPr>
                <w:rFonts w:eastAsia="Calibri" w:cs="Times New Roman"/>
              </w:rPr>
              <w:t>ing</w:t>
            </w:r>
            <w:r w:rsidR="000E05FA">
              <w:rPr>
                <w:rFonts w:eastAsia="Calibri" w:cs="Times New Roman"/>
              </w:rPr>
              <w:t xml:space="preserve"> u</w:t>
            </w:r>
            <w:r w:rsidR="009258CA">
              <w:rPr>
                <w:rFonts w:eastAsia="Calibri" w:cs="Times New Roman"/>
              </w:rPr>
              <w:t>p</w:t>
            </w:r>
            <w:r w:rsidR="000E05FA">
              <w:rPr>
                <w:rFonts w:eastAsia="Calibri" w:cs="Times New Roman"/>
              </w:rPr>
              <w:t xml:space="preserve"> </w:t>
            </w:r>
            <w:r w:rsidR="009258CA">
              <w:rPr>
                <w:rFonts w:eastAsia="Calibri" w:cs="Times New Roman"/>
              </w:rPr>
              <w:t>of employment, but</w:t>
            </w:r>
            <w:r w:rsidR="000C58BD">
              <w:rPr>
                <w:rFonts w:eastAsia="Calibri" w:cs="Times New Roman"/>
              </w:rPr>
              <w:t xml:space="preserve"> which are </w:t>
            </w:r>
            <w:r w:rsidR="000E05FA">
              <w:rPr>
                <w:rFonts w:eastAsia="Calibri" w:cs="Times New Roman"/>
              </w:rPr>
              <w:t>broader</w:t>
            </w:r>
            <w:r w:rsidR="000C58BD">
              <w:rPr>
                <w:rFonts w:eastAsia="Calibri" w:cs="Times New Roman"/>
              </w:rPr>
              <w:t xml:space="preserve"> than the </w:t>
            </w:r>
            <w:r w:rsidR="000E05FA">
              <w:rPr>
                <w:rFonts w:eastAsia="Calibri" w:cs="Times New Roman"/>
              </w:rPr>
              <w:t>principles and operation of the</w:t>
            </w:r>
            <w:r>
              <w:rPr>
                <w:rFonts w:eastAsia="Calibri" w:cs="Times New Roman"/>
              </w:rPr>
              <w:t xml:space="preserve"> new pre-employment service</w:t>
            </w:r>
            <w:r w:rsidR="000E05FA">
              <w:rPr>
                <w:rFonts w:eastAsia="Calibri" w:cs="Times New Roman"/>
              </w:rPr>
              <w:t>.</w:t>
            </w:r>
          </w:p>
          <w:p w14:paraId="53203B29" w14:textId="0D0A714C" w:rsidR="00192D41" w:rsidRDefault="00192D41" w:rsidP="002D291B">
            <w:pPr>
              <w:cnfStyle w:val="000000000000" w:firstRow="0" w:lastRow="0" w:firstColumn="0" w:lastColumn="0" w:oddVBand="0" w:evenVBand="0" w:oddHBand="0" w:evenHBand="0" w:firstRowFirstColumn="0" w:firstRowLastColumn="0" w:lastRowFirstColumn="0" w:lastRowLastColumn="0"/>
            </w:pPr>
            <w:r w:rsidRPr="003528E9">
              <w:rPr>
                <w:rFonts w:eastAsia="Calibri" w:cs="Times New Roman"/>
                <w:i/>
                <w:iCs/>
              </w:rPr>
              <w:t xml:space="preserve">Working Future: The Australian Government’s White Paper on Jobs and Opportunities </w:t>
            </w:r>
            <w:r>
              <w:rPr>
                <w:rFonts w:eastAsia="Calibri" w:cs="Times New Roman"/>
              </w:rPr>
              <w:t>reflects on the impact of f</w:t>
            </w:r>
            <w:r>
              <w:t xml:space="preserve">inancial and non-financial </w:t>
            </w:r>
            <w:r w:rsidR="002641BD">
              <w:t>dis</w:t>
            </w:r>
            <w:r>
              <w:t xml:space="preserve">incentives on participation and overcoming barriers to employment. </w:t>
            </w:r>
          </w:p>
          <w:p w14:paraId="6E027678" w14:textId="68AECD62" w:rsidR="00B04938" w:rsidRPr="00B04938" w:rsidRDefault="00192D41" w:rsidP="003528E9">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In the new service, p</w:t>
            </w:r>
            <w:r w:rsidR="000E05FA">
              <w:rPr>
                <w:rFonts w:eastAsia="Calibri" w:cs="Times New Roman"/>
              </w:rPr>
              <w:t>roviders</w:t>
            </w:r>
            <w:r w:rsidR="002D291B">
              <w:rPr>
                <w:rFonts w:eastAsia="Calibri" w:cs="Times New Roman"/>
              </w:rPr>
              <w:t xml:space="preserve"> will have a role in assisting parents to </w:t>
            </w:r>
            <w:r w:rsidR="002D291B" w:rsidRPr="003528E9">
              <w:rPr>
                <w:rFonts w:eastAsia="Calibri" w:cs="Times New Roman"/>
              </w:rPr>
              <w:t>navigate social support and childcare arrangements.</w:t>
            </w:r>
            <w:r w:rsidR="000E05FA">
              <w:rPr>
                <w:rFonts w:eastAsia="Calibri" w:cs="Times New Roman"/>
              </w:rPr>
              <w:t xml:space="preserve"> They will also be expected to </w:t>
            </w:r>
            <w:r w:rsidR="009258CA">
              <w:rPr>
                <w:rFonts w:eastAsia="Calibri" w:cs="Times New Roman"/>
              </w:rPr>
              <w:t>provide</w:t>
            </w:r>
            <w:r w:rsidR="000E05FA">
              <w:rPr>
                <w:rFonts w:eastAsia="Calibri" w:cs="Times New Roman"/>
              </w:rPr>
              <w:t xml:space="preserve"> post-placement support when parents </w:t>
            </w:r>
            <w:r w:rsidR="009258CA">
              <w:rPr>
                <w:rFonts w:eastAsia="Calibri" w:cs="Times New Roman"/>
              </w:rPr>
              <w:t>begin education o</w:t>
            </w:r>
            <w:r w:rsidR="00F8188B">
              <w:rPr>
                <w:rFonts w:eastAsia="Calibri" w:cs="Times New Roman"/>
              </w:rPr>
              <w:t>r paid work.</w:t>
            </w:r>
          </w:p>
        </w:tc>
      </w:tr>
      <w:tr w:rsidR="008452D7" w:rsidRPr="00B04938" w14:paraId="14FB48BC" w14:textId="77777777" w:rsidTr="003528E9">
        <w:trPr>
          <w:cantSplit/>
        </w:trPr>
        <w:tc>
          <w:tcPr>
            <w:cnfStyle w:val="001000000000" w:firstRow="0" w:lastRow="0" w:firstColumn="1" w:lastColumn="0" w:oddVBand="0" w:evenVBand="0" w:oddHBand="0" w:evenHBand="0" w:firstRowFirstColumn="0" w:firstRowLastColumn="0" w:lastRowFirstColumn="0" w:lastRowLastColumn="0"/>
            <w:tcW w:w="1667" w:type="dxa"/>
          </w:tcPr>
          <w:p w14:paraId="2D516445" w14:textId="26A79B28" w:rsidR="008452D7" w:rsidRPr="00B04938" w:rsidRDefault="008452D7" w:rsidP="00B04938">
            <w:pPr>
              <w:rPr>
                <w:rFonts w:eastAsia="Calibri" w:cs="Times New Roman"/>
                <w:b/>
                <w:bCs/>
              </w:rPr>
            </w:pPr>
            <w:r>
              <w:rPr>
                <w:rFonts w:eastAsia="Calibri" w:cs="Times New Roman"/>
                <w:b/>
                <w:bCs/>
              </w:rPr>
              <w:t>Provider Payments</w:t>
            </w:r>
          </w:p>
        </w:tc>
        <w:tc>
          <w:tcPr>
            <w:tcW w:w="3573" w:type="dxa"/>
            <w:gridSpan w:val="2"/>
          </w:tcPr>
          <w:p w14:paraId="26806596" w14:textId="534CE06D" w:rsidR="008452D7" w:rsidRDefault="008452D7" w:rsidP="00B04938">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There were </w:t>
            </w:r>
            <w:r w:rsidR="00DB0AF2">
              <w:rPr>
                <w:rFonts w:eastAsia="Calibri" w:cs="Times New Roman"/>
              </w:rPr>
              <w:t>varying</w:t>
            </w:r>
            <w:r>
              <w:rPr>
                <w:rFonts w:eastAsia="Calibri" w:cs="Times New Roman"/>
              </w:rPr>
              <w:t xml:space="preserve"> views </w:t>
            </w:r>
            <w:r w:rsidR="00DB0AF2">
              <w:rPr>
                <w:rFonts w:eastAsia="Calibri" w:cs="Times New Roman"/>
              </w:rPr>
              <w:t>on</w:t>
            </w:r>
            <w:r>
              <w:rPr>
                <w:rFonts w:eastAsia="Calibri" w:cs="Times New Roman"/>
              </w:rPr>
              <w:t xml:space="preserve"> the provider payment model</w:t>
            </w:r>
            <w:r w:rsidR="00845E39">
              <w:rPr>
                <w:rFonts w:eastAsia="Calibri" w:cs="Times New Roman"/>
              </w:rPr>
              <w:t>,</w:t>
            </w:r>
            <w:r w:rsidR="00625CF7">
              <w:rPr>
                <w:rFonts w:eastAsia="Calibri" w:cs="Times New Roman"/>
              </w:rPr>
              <w:t xml:space="preserve"> </w:t>
            </w:r>
            <w:r w:rsidR="007938AD">
              <w:rPr>
                <w:rFonts w:eastAsia="Calibri" w:cs="Times New Roman"/>
              </w:rPr>
              <w:t xml:space="preserve">including </w:t>
            </w:r>
            <w:r w:rsidR="005152A2">
              <w:rPr>
                <w:rFonts w:eastAsia="Calibri" w:cs="Times New Roman"/>
              </w:rPr>
              <w:t xml:space="preserve">proposing </w:t>
            </w:r>
            <w:r w:rsidR="00B918E6">
              <w:rPr>
                <w:rFonts w:eastAsia="Calibri" w:cs="Times New Roman"/>
              </w:rPr>
              <w:t>fee-for-servic</w:t>
            </w:r>
            <w:r w:rsidR="00CA4A7F">
              <w:rPr>
                <w:rFonts w:eastAsia="Calibri" w:cs="Times New Roman"/>
              </w:rPr>
              <w:t>e</w:t>
            </w:r>
            <w:r w:rsidR="00B918E6">
              <w:rPr>
                <w:rFonts w:eastAsia="Calibri" w:cs="Times New Roman"/>
              </w:rPr>
              <w:t xml:space="preserve"> </w:t>
            </w:r>
            <w:r w:rsidR="00CA4A7F">
              <w:rPr>
                <w:rFonts w:eastAsia="Calibri" w:cs="Times New Roman"/>
              </w:rPr>
              <w:t>arrangements</w:t>
            </w:r>
            <w:r w:rsidR="00F11592">
              <w:rPr>
                <w:rFonts w:eastAsia="Calibri" w:cs="Times New Roman"/>
              </w:rPr>
              <w:t xml:space="preserve"> or </w:t>
            </w:r>
            <w:r w:rsidR="007938AD">
              <w:rPr>
                <w:rFonts w:eastAsia="Calibri" w:cs="Times New Roman"/>
              </w:rPr>
              <w:t>variable</w:t>
            </w:r>
            <w:r w:rsidR="00F11592">
              <w:rPr>
                <w:rFonts w:eastAsia="Calibri" w:cs="Times New Roman"/>
              </w:rPr>
              <w:t xml:space="preserve"> fees depending on the level of </w:t>
            </w:r>
            <w:r w:rsidR="007938AD">
              <w:rPr>
                <w:rFonts w:eastAsia="Calibri" w:cs="Times New Roman"/>
              </w:rPr>
              <w:t>assistance</w:t>
            </w:r>
            <w:r w:rsidR="00F11592">
              <w:rPr>
                <w:rFonts w:eastAsia="Calibri" w:cs="Times New Roman"/>
              </w:rPr>
              <w:t xml:space="preserve"> required</w:t>
            </w:r>
            <w:r w:rsidR="00396FA9">
              <w:rPr>
                <w:rFonts w:eastAsia="Calibri" w:cs="Times New Roman"/>
              </w:rPr>
              <w:t>. R</w:t>
            </w:r>
            <w:r w:rsidR="00DB0AF2">
              <w:rPr>
                <w:rFonts w:eastAsia="Calibri" w:cs="Times New Roman"/>
              </w:rPr>
              <w:t xml:space="preserve">egular service fees </w:t>
            </w:r>
            <w:r w:rsidR="00CA4A7F">
              <w:rPr>
                <w:rFonts w:eastAsia="Calibri" w:cs="Times New Roman"/>
              </w:rPr>
              <w:t>also featured</w:t>
            </w:r>
            <w:r w:rsidR="00DB0AF2">
              <w:rPr>
                <w:rFonts w:eastAsia="Calibri" w:cs="Times New Roman"/>
              </w:rPr>
              <w:t>.</w:t>
            </w:r>
          </w:p>
        </w:tc>
        <w:tc>
          <w:tcPr>
            <w:tcW w:w="3806" w:type="dxa"/>
          </w:tcPr>
          <w:p w14:paraId="26C60003" w14:textId="67842358" w:rsidR="008452D7" w:rsidRDefault="00115411" w:rsidP="002D291B">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A simple fee structure of regular 6</w:t>
            </w:r>
            <w:r w:rsidR="00231F26">
              <w:rPr>
                <w:rFonts w:eastAsia="Calibri" w:cs="Times New Roman"/>
              </w:rPr>
              <w:noBreakHyphen/>
              <w:t>monthly</w:t>
            </w:r>
            <w:r>
              <w:rPr>
                <w:rFonts w:eastAsia="Calibri" w:cs="Times New Roman"/>
              </w:rPr>
              <w:t xml:space="preserve"> serv</w:t>
            </w:r>
            <w:r w:rsidR="00231F26">
              <w:rPr>
                <w:rFonts w:eastAsia="Calibri" w:cs="Times New Roman"/>
              </w:rPr>
              <w:t>ice</w:t>
            </w:r>
            <w:r>
              <w:rPr>
                <w:rFonts w:eastAsia="Calibri" w:cs="Times New Roman"/>
              </w:rPr>
              <w:t xml:space="preserve"> fees </w:t>
            </w:r>
            <w:r w:rsidR="00396FA9">
              <w:rPr>
                <w:rFonts w:eastAsia="Calibri" w:cs="Times New Roman"/>
              </w:rPr>
              <w:t>is proposed</w:t>
            </w:r>
            <w:r w:rsidR="00625CF7">
              <w:rPr>
                <w:rFonts w:eastAsia="Calibri" w:cs="Times New Roman"/>
              </w:rPr>
              <w:t xml:space="preserve">, with payments more than double the </w:t>
            </w:r>
            <w:r w:rsidR="00E44B67">
              <w:rPr>
                <w:rFonts w:eastAsia="Calibri" w:cs="Times New Roman"/>
              </w:rPr>
              <w:t>fees under ParentsNext. This also replaces outcome fees.</w:t>
            </w:r>
            <w:r w:rsidR="00396FA9">
              <w:rPr>
                <w:rFonts w:eastAsia="Calibri" w:cs="Times New Roman"/>
              </w:rPr>
              <w:t xml:space="preserve"> </w:t>
            </w:r>
            <w:r w:rsidR="003F74C9">
              <w:rPr>
                <w:rFonts w:eastAsia="Calibri" w:cs="Times New Roman"/>
              </w:rPr>
              <w:t xml:space="preserve">The </w:t>
            </w:r>
            <w:r w:rsidR="00396FA9">
              <w:rPr>
                <w:rFonts w:eastAsia="Calibri" w:cs="Times New Roman"/>
              </w:rPr>
              <w:t>performance framework</w:t>
            </w:r>
            <w:r w:rsidR="00F73F79">
              <w:rPr>
                <w:rFonts w:eastAsia="Calibri" w:cs="Times New Roman"/>
              </w:rPr>
              <w:t xml:space="preserve"> will </w:t>
            </w:r>
            <w:r w:rsidR="00D85B73">
              <w:rPr>
                <w:rFonts w:eastAsia="Calibri" w:cs="Times New Roman"/>
              </w:rPr>
              <w:t>assess whether providers are supporting parents to make progress towards their goals.</w:t>
            </w:r>
          </w:p>
        </w:tc>
      </w:tr>
    </w:tbl>
    <w:p w14:paraId="15F192FF" w14:textId="77777777" w:rsidR="00622257" w:rsidRDefault="00622257" w:rsidP="00B04938">
      <w:pPr>
        <w:rPr>
          <w:rFonts w:ascii="Calibri" w:eastAsia="Calibri" w:hAnsi="Calibri" w:cs="Calibri"/>
          <w:lang w:eastAsia="en-AU"/>
        </w:rPr>
      </w:pPr>
    </w:p>
    <w:p w14:paraId="16F3AA96" w14:textId="2611DA54" w:rsidR="00B04938" w:rsidRPr="00B04938" w:rsidRDefault="00B04938" w:rsidP="00B04938">
      <w:pPr>
        <w:rPr>
          <w:rFonts w:ascii="Calibri" w:eastAsia="Calibri" w:hAnsi="Calibri" w:cs="Calibri"/>
          <w:lang w:eastAsia="en-AU"/>
        </w:rPr>
      </w:pPr>
      <w:r w:rsidRPr="00B04938">
        <w:rPr>
          <w:rFonts w:ascii="Calibri" w:eastAsia="Calibri" w:hAnsi="Calibri" w:cs="Calibri"/>
          <w:lang w:eastAsia="en-AU"/>
        </w:rPr>
        <w:t>More granular feedback will be considered as the operational policy, procedures, guidelines and ICT systems are developed. This will reflect on what parents have said about how they want to be informed about and engage with the new service.</w:t>
      </w:r>
    </w:p>
    <w:p w14:paraId="7B5223CE" w14:textId="0986EBC9" w:rsidR="006D587A" w:rsidRDefault="00AA361B" w:rsidP="006D587A">
      <w:pPr>
        <w:pStyle w:val="Heading2"/>
        <w:rPr>
          <w:rStyle w:val="eop"/>
        </w:rPr>
      </w:pPr>
      <w:bookmarkStart w:id="92" w:name="_Toc145919710"/>
      <w:bookmarkStart w:id="93" w:name="_Toc151123131"/>
      <w:r>
        <w:rPr>
          <w:rStyle w:val="eop"/>
        </w:rPr>
        <w:t>7.4</w:t>
      </w:r>
      <w:r>
        <w:rPr>
          <w:rStyle w:val="eop"/>
        </w:rPr>
        <w:tab/>
      </w:r>
      <w:r w:rsidR="006D587A">
        <w:rPr>
          <w:rStyle w:val="eop"/>
        </w:rPr>
        <w:t xml:space="preserve">Future </w:t>
      </w:r>
      <w:bookmarkEnd w:id="92"/>
      <w:r w:rsidR="00C00853">
        <w:rPr>
          <w:rStyle w:val="eop"/>
        </w:rPr>
        <w:t>consultation</w:t>
      </w:r>
      <w:bookmarkEnd w:id="93"/>
    </w:p>
    <w:p w14:paraId="193492AB" w14:textId="77777777" w:rsidR="006D587A" w:rsidRDefault="006D587A" w:rsidP="006D587A">
      <w:pPr>
        <w:pStyle w:val="xmsonormal"/>
        <w:spacing w:after="200" w:line="276" w:lineRule="auto"/>
        <w:rPr>
          <w:rStyle w:val="eop"/>
        </w:rPr>
      </w:pPr>
      <w:r w:rsidRPr="00FA5C8B">
        <w:rPr>
          <w:rStyle w:val="eop"/>
        </w:rPr>
        <w:t xml:space="preserve">The department will continue to consult with parents and other stakeholders as the detailed design of the new service proceeds, the new arrangements are implemented and after the new service </w:t>
      </w:r>
      <w:r w:rsidRPr="00FA5C8B">
        <w:rPr>
          <w:rStyle w:val="eop"/>
        </w:rPr>
        <w:lastRenderedPageBreak/>
        <w:t>begins operating to ensure that it remains relevant and meets the needs of participants. Organisations selected to deliver the services will be expected to engage locally with parents and other agencies on their service offer.</w:t>
      </w:r>
    </w:p>
    <w:p w14:paraId="4194D54C" w14:textId="77777777" w:rsidR="00770BED" w:rsidRDefault="00817DB0" w:rsidP="00A40BD4">
      <w:pPr>
        <w:pStyle w:val="Heading1"/>
        <w:numPr>
          <w:ilvl w:val="0"/>
          <w:numId w:val="11"/>
        </w:numPr>
        <w:ind w:left="357" w:hanging="357"/>
      </w:pPr>
      <w:bookmarkStart w:id="94" w:name="_Toc151123132"/>
      <w:r>
        <w:t>Preferred option</w:t>
      </w:r>
      <w:bookmarkEnd w:id="94"/>
      <w:r w:rsidR="00F2028B">
        <w:t xml:space="preserve"> </w:t>
      </w:r>
    </w:p>
    <w:p w14:paraId="59E72E78" w14:textId="3B24A5B4" w:rsidR="00D34F5C" w:rsidRPr="00C74F32" w:rsidRDefault="00D34F5C" w:rsidP="007F6967">
      <w:pPr>
        <w:pStyle w:val="Heading2"/>
      </w:pPr>
      <w:bookmarkStart w:id="95" w:name="_Toc151123133"/>
      <w:r>
        <w:t>8.1</w:t>
      </w:r>
      <w:r>
        <w:tab/>
      </w:r>
      <w:r w:rsidR="004844B5">
        <w:t>Conclusion</w:t>
      </w:r>
      <w:bookmarkEnd w:id="95"/>
    </w:p>
    <w:p w14:paraId="57B88722" w14:textId="38FC5053" w:rsidR="00A67BC7" w:rsidRPr="00B815AA" w:rsidRDefault="00D54B22" w:rsidP="007133D0">
      <w:r w:rsidRPr="00B815AA">
        <w:t xml:space="preserve">This section compares the </w:t>
      </w:r>
      <w:r w:rsidR="003619DE" w:rsidRPr="00B815AA">
        <w:t>3</w:t>
      </w:r>
      <w:r w:rsidRPr="00B815AA">
        <w:t xml:space="preserve"> options</w:t>
      </w:r>
      <w:r w:rsidR="00681303" w:rsidRPr="00B815AA">
        <w:t xml:space="preserve"> presented</w:t>
      </w:r>
      <w:r w:rsidRPr="00B815AA">
        <w:t xml:space="preserve"> </w:t>
      </w:r>
      <w:r w:rsidR="003619DE" w:rsidRPr="00B815AA">
        <w:t xml:space="preserve">to identify </w:t>
      </w:r>
      <w:r w:rsidR="00681303" w:rsidRPr="00B815AA">
        <w:t xml:space="preserve">a preferred option with the </w:t>
      </w:r>
      <w:r w:rsidR="00B815AA" w:rsidRPr="00B815AA">
        <w:t>greatest</w:t>
      </w:r>
      <w:r w:rsidR="00681303" w:rsidRPr="00B815AA">
        <w:t xml:space="preserve"> </w:t>
      </w:r>
      <w:r w:rsidR="00B815AA" w:rsidRPr="00B815AA">
        <w:t>net</w:t>
      </w:r>
      <w:r w:rsidR="00681303" w:rsidRPr="00B815AA">
        <w:t xml:space="preserve"> benefit</w:t>
      </w:r>
      <w:r w:rsidR="00B815AA" w:rsidRPr="00B815AA">
        <w:t>.</w:t>
      </w:r>
    </w:p>
    <w:p w14:paraId="018DC6E0" w14:textId="3807D952" w:rsidR="00817DB0" w:rsidRDefault="00817DB0" w:rsidP="007133D0">
      <w:r w:rsidRPr="00B102CF">
        <w:rPr>
          <w:b/>
          <w:bCs/>
        </w:rPr>
        <w:t>Option 1 – no pre-employment service for parents</w:t>
      </w:r>
      <w:r>
        <w:t xml:space="preserve"> – </w:t>
      </w:r>
      <w:r w:rsidR="00B03CC2">
        <w:t xml:space="preserve">does not meet the policy objectives </w:t>
      </w:r>
      <w:r w:rsidR="00B03CC2" w:rsidRPr="008173EB">
        <w:t xml:space="preserve">described at section </w:t>
      </w:r>
      <w:r w:rsidR="008173EB" w:rsidRPr="008173EB">
        <w:t>4</w:t>
      </w:r>
      <w:r w:rsidR="00B03CC2" w:rsidRPr="008173EB">
        <w:t>. This</w:t>
      </w:r>
      <w:r w:rsidR="00B03CC2">
        <w:t xml:space="preserve"> option</w:t>
      </w:r>
      <w:r>
        <w:t xml:space="preserve"> ignore</w:t>
      </w:r>
      <w:r w:rsidR="00B03CC2">
        <w:t>s</w:t>
      </w:r>
      <w:r>
        <w:t xml:space="preserve"> the views of parents, their advocates and other stakeholders</w:t>
      </w:r>
      <w:r w:rsidR="6EFBE434">
        <w:t xml:space="preserve">, including the Economic Inclusion Advisory Committee </w:t>
      </w:r>
      <w:r w:rsidR="534AA656">
        <w:t xml:space="preserve">and the Women’s Economic Equality </w:t>
      </w:r>
      <w:r w:rsidR="00D9231E">
        <w:t>Taskforce</w:t>
      </w:r>
      <w:r w:rsidR="00E67D3D">
        <w:t>,</w:t>
      </w:r>
      <w:r w:rsidR="534AA656">
        <w:t xml:space="preserve"> </w:t>
      </w:r>
      <w:r>
        <w:t xml:space="preserve">that there is a need for vulnerable parents in </w:t>
      </w:r>
      <w:r w:rsidR="001B6DE2">
        <w:t>particular</w:t>
      </w:r>
      <w:r>
        <w:t xml:space="preserve"> to be supported </w:t>
      </w:r>
      <w:r w:rsidR="001B6DE2">
        <w:t>to identify and overcome their barriers to participation while at the same time giving priority to child rearing.</w:t>
      </w:r>
    </w:p>
    <w:p w14:paraId="54288135" w14:textId="474AA04C" w:rsidR="001B6DE2" w:rsidRDefault="001B6DE2" w:rsidP="007133D0">
      <w:r>
        <w:t>While this option has</w:t>
      </w:r>
      <w:r w:rsidR="00BE0185">
        <w:t xml:space="preserve"> </w:t>
      </w:r>
      <w:r w:rsidR="00DE0AD8">
        <w:t>no</w:t>
      </w:r>
      <w:r>
        <w:t xml:space="preserve"> direct cost, it has the potential </w:t>
      </w:r>
      <w:r w:rsidR="00834E16">
        <w:t xml:space="preserve">to </w:t>
      </w:r>
      <w:r>
        <w:t>be at the expense of affected parents, their families and their contribution to the Australian economy more broadly</w:t>
      </w:r>
      <w:r w:rsidR="4A591ADE">
        <w:t>, as well as costs associated with poorer longer-term outcomes</w:t>
      </w:r>
      <w:r>
        <w:t xml:space="preserve">. </w:t>
      </w:r>
      <w:r w:rsidR="00591EAA">
        <w:t xml:space="preserve">Without </w:t>
      </w:r>
      <w:r w:rsidR="00362EBE">
        <w:t>coordinated and individualised support, u</w:t>
      </w:r>
      <w:r>
        <w:t xml:space="preserve">naddressed </w:t>
      </w:r>
      <w:r w:rsidR="00FA57DA">
        <w:t xml:space="preserve">vocational and </w:t>
      </w:r>
      <w:r>
        <w:t>non-vocational barriers may compound</w:t>
      </w:r>
      <w:r w:rsidR="0098146B">
        <w:t xml:space="preserve">, </w:t>
      </w:r>
      <w:r w:rsidR="00F322F3">
        <w:t>resulting in</w:t>
      </w:r>
      <w:r w:rsidR="0075017C">
        <w:t xml:space="preserve"> continued </w:t>
      </w:r>
      <w:r>
        <w:t>reliance on income support</w:t>
      </w:r>
      <w:r w:rsidR="008A62AA">
        <w:t xml:space="preserve">, </w:t>
      </w:r>
      <w:r w:rsidR="0075017C">
        <w:t>delayed</w:t>
      </w:r>
      <w:r w:rsidR="008A62AA">
        <w:t xml:space="preserve"> </w:t>
      </w:r>
      <w:r>
        <w:t xml:space="preserve">re-entry to </w:t>
      </w:r>
      <w:r w:rsidR="00834E16">
        <w:t>the workforce and parents be</w:t>
      </w:r>
      <w:r w:rsidR="00710933">
        <w:t>ing</w:t>
      </w:r>
      <w:r w:rsidR="00834E16">
        <w:t xml:space="preserve"> unable to achieve their full social and economic potential.</w:t>
      </w:r>
    </w:p>
    <w:p w14:paraId="70BF407C" w14:textId="5E4E8940" w:rsidR="00F16383" w:rsidRDefault="00834E16" w:rsidP="009E240A">
      <w:r w:rsidRPr="00B102CF">
        <w:rPr>
          <w:b/>
          <w:bCs/>
        </w:rPr>
        <w:t xml:space="preserve">Option 2 – new voluntary </w:t>
      </w:r>
      <w:r w:rsidR="00BC3787" w:rsidRPr="00B102CF">
        <w:rPr>
          <w:b/>
          <w:bCs/>
        </w:rPr>
        <w:t xml:space="preserve">pre-employment </w:t>
      </w:r>
      <w:r w:rsidRPr="00B102CF">
        <w:rPr>
          <w:b/>
          <w:bCs/>
        </w:rPr>
        <w:t xml:space="preserve">service </w:t>
      </w:r>
      <w:r w:rsidR="00BC3787" w:rsidRPr="00B102CF">
        <w:rPr>
          <w:b/>
          <w:bCs/>
        </w:rPr>
        <w:t>for vulnerable parents</w:t>
      </w:r>
      <w:r w:rsidRPr="00834E16">
        <w:t xml:space="preserve"> </w:t>
      </w:r>
      <w:r>
        <w:t xml:space="preserve">– </w:t>
      </w:r>
      <w:r w:rsidR="00533BFD">
        <w:t xml:space="preserve">delivers best against the policy objective by providing a flexible </w:t>
      </w:r>
      <w:r w:rsidR="00533BFD" w:rsidRPr="00834E16">
        <w:t xml:space="preserve">and culturally responsive voluntary early intervention service for the most </w:t>
      </w:r>
      <w:r w:rsidR="00533BFD">
        <w:t>vulnerable</w:t>
      </w:r>
      <w:r w:rsidR="00533BFD" w:rsidRPr="00834E16">
        <w:t xml:space="preserve"> parents with young children under 6</w:t>
      </w:r>
      <w:r w:rsidR="00533BFD">
        <w:t xml:space="preserve"> years of age. </w:t>
      </w:r>
      <w:r w:rsidR="00B94B2D">
        <w:t xml:space="preserve">Eligibility is not restricted to </w:t>
      </w:r>
      <w:r w:rsidR="00002185">
        <w:t>P</w:t>
      </w:r>
      <w:r w:rsidR="00B94B2D">
        <w:t>arenting Payment recipients, so many more parents will be assisted who face challenges in returning to work or education.</w:t>
      </w:r>
    </w:p>
    <w:p w14:paraId="5F75238D" w14:textId="156AA0DF" w:rsidR="00060FE1" w:rsidRDefault="007267F2" w:rsidP="009E240A">
      <w:r>
        <w:t xml:space="preserve">This option </w:t>
      </w:r>
      <w:r w:rsidR="00834E16">
        <w:t>incorporates the key features raised in consultations, prioritised by stakeholders and highlighted by the Select Committee</w:t>
      </w:r>
      <w:r w:rsidR="7588ADD0">
        <w:t xml:space="preserve">, </w:t>
      </w:r>
      <w:r>
        <w:t xml:space="preserve">the </w:t>
      </w:r>
      <w:r w:rsidR="008E3E7A">
        <w:t>Economic Inclusion Advisory Committee and the Women’s Economic Equality Taskforce</w:t>
      </w:r>
      <w:r w:rsidR="00834E16">
        <w:t>.</w:t>
      </w:r>
      <w:r w:rsidR="000F15A0">
        <w:t xml:space="preserve"> It </w:t>
      </w:r>
      <w:r w:rsidR="006E5D37">
        <w:t>is not restricted to Parenting</w:t>
      </w:r>
      <w:r w:rsidR="00F706DD">
        <w:t xml:space="preserve"> P</w:t>
      </w:r>
      <w:r w:rsidR="006E5D37">
        <w:t xml:space="preserve">ayment </w:t>
      </w:r>
      <w:r w:rsidR="00F97C2F">
        <w:t>recipients</w:t>
      </w:r>
      <w:r w:rsidR="006E5D37">
        <w:t xml:space="preserve"> but includes </w:t>
      </w:r>
      <w:r w:rsidR="00F97C2F">
        <w:t xml:space="preserve">other parents with </w:t>
      </w:r>
      <w:r w:rsidR="00F706DD">
        <w:t xml:space="preserve">vocational and non-vocational barriers to </w:t>
      </w:r>
      <w:r w:rsidR="00917094">
        <w:t>engagement and re-entry to the workforce.</w:t>
      </w:r>
    </w:p>
    <w:p w14:paraId="513E8FD1" w14:textId="36AA55B7" w:rsidR="00CE7247" w:rsidRDefault="00834E16" w:rsidP="007133D0">
      <w:r>
        <w:t xml:space="preserve">The service will focus </w:t>
      </w:r>
      <w:r w:rsidR="00CE7247" w:rsidRPr="00834E16">
        <w:t xml:space="preserve">on </w:t>
      </w:r>
      <w:r w:rsidR="00F65D2A">
        <w:t xml:space="preserve">each parent’s </w:t>
      </w:r>
      <w:r w:rsidR="00CE7247" w:rsidRPr="00834E16">
        <w:t>future aspirations, take account of their caring responsibilities</w:t>
      </w:r>
      <w:r>
        <w:t>,</w:t>
      </w:r>
      <w:r w:rsidR="00CE7247" w:rsidRPr="00834E16">
        <w:t xml:space="preserve"> strengthen their human capability and support the development </w:t>
      </w:r>
      <w:r>
        <w:t xml:space="preserve">and achievement </w:t>
      </w:r>
      <w:r w:rsidR="00CE7247" w:rsidRPr="00834E16">
        <w:t>of their education and employment goals.</w:t>
      </w:r>
    </w:p>
    <w:p w14:paraId="6A671586" w14:textId="3D4DC835" w:rsidR="00C74F32" w:rsidRDefault="00DA4DFC" w:rsidP="007133D0">
      <w:r>
        <w:t xml:space="preserve">Only around 4 in 10 parents </w:t>
      </w:r>
      <w:r w:rsidR="00C01FA4">
        <w:t xml:space="preserve">surveyed as part of the consultations </w:t>
      </w:r>
      <w:r>
        <w:t xml:space="preserve">said that they were aware of the range </w:t>
      </w:r>
      <w:r w:rsidR="00420259">
        <w:t xml:space="preserve">of </w:t>
      </w:r>
      <w:r>
        <w:t xml:space="preserve">supports available to them as a parent or felt that they had enough support. </w:t>
      </w:r>
      <w:r w:rsidR="00C01FA4">
        <w:t>As part of the new service, p</w:t>
      </w:r>
      <w:r w:rsidR="00EF4D28">
        <w:t>arents</w:t>
      </w:r>
      <w:r w:rsidR="00D2145E">
        <w:t xml:space="preserve"> will </w:t>
      </w:r>
      <w:r w:rsidR="00EF4D28">
        <w:t xml:space="preserve">be informed about the range of </w:t>
      </w:r>
      <w:r w:rsidR="004A34DE">
        <w:t>assistance</w:t>
      </w:r>
      <w:r w:rsidR="00EF4D28">
        <w:t xml:space="preserve"> </w:t>
      </w:r>
      <w:r w:rsidR="00337EE0">
        <w:t>they can access</w:t>
      </w:r>
      <w:r w:rsidR="005D5AE3">
        <w:t xml:space="preserve">. </w:t>
      </w:r>
      <w:r w:rsidR="00C74F32">
        <w:t>Parents will be mentored by frontline staff in organisations contracted by the department wh</w:t>
      </w:r>
      <w:r w:rsidR="00304000">
        <w:t>ich</w:t>
      </w:r>
      <w:r w:rsidR="00C74F32">
        <w:t xml:space="preserve"> are closely connected within their community and have wide networks to underpin the delivery of support.</w:t>
      </w:r>
    </w:p>
    <w:p w14:paraId="457A4659" w14:textId="3FA72AFE" w:rsidR="0070097D" w:rsidRDefault="00755F65" w:rsidP="007133D0">
      <w:r w:rsidRPr="00C262D4">
        <w:t>There is strong support from stakeholders for a new voluntary pre-employment service for parents who face the greatest challenges in reconnecting with the workforce when their children have started school.</w:t>
      </w:r>
      <w:r w:rsidR="00427C45" w:rsidRPr="00C262D4">
        <w:t xml:space="preserve"> </w:t>
      </w:r>
      <w:r w:rsidR="0070097D" w:rsidRPr="00C262D4">
        <w:rPr>
          <w:rStyle w:val="normaltextrun"/>
          <w:rFonts w:eastAsiaTheme="majorEastAsia" w:cstheme="minorHAnsi"/>
        </w:rPr>
        <w:t xml:space="preserve">The Select Committee interim report notes that most stakeholders agree there is a </w:t>
      </w:r>
      <w:r w:rsidR="0070097D" w:rsidRPr="00C262D4">
        <w:rPr>
          <w:rStyle w:val="normaltextrun"/>
          <w:rFonts w:eastAsiaTheme="majorEastAsia" w:cstheme="minorHAnsi"/>
        </w:rPr>
        <w:lastRenderedPageBreak/>
        <w:t>role for a service that supports</w:t>
      </w:r>
      <w:r w:rsidR="0070097D" w:rsidRPr="00FA574B">
        <w:rPr>
          <w:rStyle w:val="normaltextrun"/>
          <w:rFonts w:eastAsiaTheme="majorEastAsia" w:cstheme="minorHAnsi"/>
        </w:rPr>
        <w:t xml:space="preserve"> parents to build their skills and capacity and addresses barriers to future workforce participation.</w:t>
      </w:r>
    </w:p>
    <w:p w14:paraId="4E38145D" w14:textId="585C9B8A" w:rsidR="00F5209F" w:rsidRDefault="001D3D85" w:rsidP="007133D0">
      <w:r>
        <w:t>R</w:t>
      </w:r>
      <w:r w:rsidR="00F5209F">
        <w:t xml:space="preserve">egulatory costs are higher for this option than </w:t>
      </w:r>
      <w:r w:rsidR="001177E7">
        <w:t>for O</w:t>
      </w:r>
      <w:r w:rsidR="00F5209F">
        <w:t>ption</w:t>
      </w:r>
      <w:r>
        <w:t xml:space="preserve"> 3</w:t>
      </w:r>
      <w:r w:rsidR="00845E69">
        <w:t>, falling in the main on service providers</w:t>
      </w:r>
      <w:r w:rsidR="006E4486">
        <w:t xml:space="preserve"> categorised as business or community organisation</w:t>
      </w:r>
      <w:r w:rsidR="00BE0185">
        <w:t>s</w:t>
      </w:r>
      <w:r w:rsidR="006E4486">
        <w:t>.</w:t>
      </w:r>
      <w:r>
        <w:t xml:space="preserve"> However, that is a </w:t>
      </w:r>
      <w:r w:rsidR="00C74B2C">
        <w:t xml:space="preserve">result of </w:t>
      </w:r>
      <w:r w:rsidR="007E5A72">
        <w:t xml:space="preserve">higher </w:t>
      </w:r>
      <w:r>
        <w:t>expected cas</w:t>
      </w:r>
      <w:r w:rsidR="00C74B2C">
        <w:t>e</w:t>
      </w:r>
      <w:r>
        <w:t xml:space="preserve">load </w:t>
      </w:r>
      <w:r w:rsidR="00C74B2C">
        <w:t xml:space="preserve">numbers </w:t>
      </w:r>
      <w:r w:rsidR="00720BE8">
        <w:t xml:space="preserve">with wider eligibility than </w:t>
      </w:r>
      <w:r w:rsidR="00A2716A">
        <w:t>O</w:t>
      </w:r>
      <w:r w:rsidR="00720BE8">
        <w:t xml:space="preserve">ption 3 </w:t>
      </w:r>
      <w:r w:rsidR="00C74B2C">
        <w:t>and</w:t>
      </w:r>
      <w:r w:rsidR="00720BE8">
        <w:t xml:space="preserve"> greater</w:t>
      </w:r>
      <w:r w:rsidR="00C74B2C">
        <w:t xml:space="preserve"> provider </w:t>
      </w:r>
      <w:r w:rsidR="008D1604">
        <w:t>numbers and diversity</w:t>
      </w:r>
      <w:r w:rsidR="00720BE8">
        <w:t>.</w:t>
      </w:r>
      <w:r w:rsidR="00C74B2C">
        <w:t xml:space="preserve"> </w:t>
      </w:r>
      <w:r w:rsidR="002F7F3A">
        <w:t>However, overall net benefits are the highest of all the option given the likely positive impact on parent’s economic security and wellbeing.</w:t>
      </w:r>
    </w:p>
    <w:p w14:paraId="505CE850" w14:textId="1808C5FF" w:rsidR="00597A47" w:rsidRDefault="00F65D2A" w:rsidP="00345D79">
      <w:r w:rsidRPr="00FD7D08">
        <w:rPr>
          <w:b/>
          <w:bCs/>
        </w:rPr>
        <w:t>Option 3</w:t>
      </w:r>
      <w:r w:rsidR="00FD7D08" w:rsidRPr="00FD7D08">
        <w:rPr>
          <w:b/>
          <w:bCs/>
        </w:rPr>
        <w:t xml:space="preserve"> - new voluntary pre-employment service for Parenting Payment recipients</w:t>
      </w:r>
      <w:r w:rsidR="00704009">
        <w:rPr>
          <w:b/>
          <w:bCs/>
        </w:rPr>
        <w:t xml:space="preserve"> </w:t>
      </w:r>
      <w:r w:rsidR="00897EF1">
        <w:t xml:space="preserve">has the same service offer as Option 2 but </w:t>
      </w:r>
      <w:r w:rsidR="00231F63">
        <w:t>narrower eligibility</w:t>
      </w:r>
      <w:r w:rsidR="00256C15">
        <w:t xml:space="preserve"> and fewer</w:t>
      </w:r>
      <w:r w:rsidR="00554D5C">
        <w:t xml:space="preserve"> </w:t>
      </w:r>
      <w:r w:rsidR="0024336B">
        <w:t xml:space="preserve">expected </w:t>
      </w:r>
      <w:r w:rsidR="00554D5C">
        <w:t>providers</w:t>
      </w:r>
      <w:r w:rsidR="00380C60">
        <w:t xml:space="preserve">. </w:t>
      </w:r>
      <w:r w:rsidR="00456381">
        <w:t>W</w:t>
      </w:r>
      <w:r w:rsidR="004B5ECF">
        <w:t>h</w:t>
      </w:r>
      <w:r w:rsidR="00456381">
        <w:t xml:space="preserve">ile it would deliver on </w:t>
      </w:r>
      <w:r w:rsidR="004B5ECF">
        <w:t xml:space="preserve">the policy objectives </w:t>
      </w:r>
      <w:r w:rsidR="00E01A23">
        <w:t xml:space="preserve">for </w:t>
      </w:r>
      <w:r w:rsidR="00597A47">
        <w:rPr>
          <w:rFonts w:eastAsia="Arial" w:cs="Arial"/>
        </w:rPr>
        <w:t xml:space="preserve">early pre-employment support </w:t>
      </w:r>
      <w:r w:rsidR="00E01A23">
        <w:rPr>
          <w:rFonts w:eastAsia="Arial" w:cs="Arial"/>
        </w:rPr>
        <w:t>described in section 4</w:t>
      </w:r>
      <w:r w:rsidR="00EC4971">
        <w:rPr>
          <w:rFonts w:eastAsia="Arial" w:cs="Arial"/>
        </w:rPr>
        <w:t xml:space="preserve">, eligibility excludes many </w:t>
      </w:r>
      <w:r w:rsidR="00597A47">
        <w:rPr>
          <w:rFonts w:eastAsia="Arial" w:cs="Arial"/>
        </w:rPr>
        <w:t>vulnerable parents</w:t>
      </w:r>
      <w:r w:rsidR="00EC4971">
        <w:rPr>
          <w:rFonts w:eastAsia="Arial" w:cs="Arial"/>
        </w:rPr>
        <w:t>.</w:t>
      </w:r>
    </w:p>
    <w:p w14:paraId="237E4390" w14:textId="7484EA15" w:rsidR="00345D79" w:rsidRDefault="005E7AC9" w:rsidP="00345D79">
      <w:r>
        <w:t>The department’s evaluation of 2018</w:t>
      </w:r>
      <w:r w:rsidR="00230F20">
        <w:t xml:space="preserve">–2021 </w:t>
      </w:r>
      <w:r>
        <w:t xml:space="preserve">ParentsNext </w:t>
      </w:r>
      <w:r w:rsidR="00345D79">
        <w:t>established that, with appropriate support, most parents with young children could grow their human capability and work readiness, increase their wellbeing and limit their social isolation by engagement in activities and the development of supportive relationships with their caseworkers.</w:t>
      </w:r>
      <w:r w:rsidR="00625A4F">
        <w:rPr>
          <w:rStyle w:val="FootnoteReference"/>
        </w:rPr>
        <w:footnoteReference w:id="41"/>
      </w:r>
      <w:r w:rsidR="009448B8">
        <w:t xml:space="preserve"> </w:t>
      </w:r>
      <w:r w:rsidR="00B0147E">
        <w:t xml:space="preserve">However, under </w:t>
      </w:r>
      <w:r w:rsidR="009448B8">
        <w:t>Option 3</w:t>
      </w:r>
      <w:r w:rsidR="00F503AE">
        <w:t xml:space="preserve"> m</w:t>
      </w:r>
      <w:r w:rsidR="00625A4F">
        <w:t xml:space="preserve">any vulnerable parents of young children </w:t>
      </w:r>
      <w:r w:rsidR="00B0147E">
        <w:t xml:space="preserve">would </w:t>
      </w:r>
      <w:r w:rsidR="00394D34">
        <w:t>not be eligible for</w:t>
      </w:r>
      <w:r w:rsidR="00625A4F">
        <w:t xml:space="preserve"> this early intervention </w:t>
      </w:r>
      <w:r w:rsidR="00B0147E">
        <w:t xml:space="preserve">and </w:t>
      </w:r>
      <w:r w:rsidR="00625A4F">
        <w:t>may face additional challenges returning to the workforce when their children are older.</w:t>
      </w:r>
    </w:p>
    <w:p w14:paraId="43B7789F" w14:textId="34F35E98" w:rsidR="009F0EF7" w:rsidRDefault="0018135E" w:rsidP="00345D79">
      <w:r w:rsidRPr="0042341B">
        <w:t xml:space="preserve">With fewer participants than Option 2, fewer providers would be </w:t>
      </w:r>
      <w:r w:rsidR="00F53763">
        <w:t>expected</w:t>
      </w:r>
      <w:r w:rsidR="00F53763" w:rsidRPr="0042341B">
        <w:t xml:space="preserve"> </w:t>
      </w:r>
      <w:r w:rsidRPr="0042341B">
        <w:t>for the new service. Reduced provider numbers risks the services not being able to provide the diversity, accessibility and local adaptability which parents and stakeholders are seeking. Restricting access to Parenting Payment recipients does not align with the weight of feedback through consultations or submissions. Parents said that the service should not be limited to parents receiving Parenting Payment. Many highlighted prioritising the service for parents who they considered would have higher needs of support, like young, single or first-time parents, those living poverty or experiencing domestic and family violence, or parents who care for children with disability, First Nations parents and migrant or refugee parents.</w:t>
      </w:r>
    </w:p>
    <w:p w14:paraId="314DF95C" w14:textId="78AB2481" w:rsidR="00E452F1" w:rsidRDefault="00C36A11" w:rsidP="006D68BC">
      <w:r>
        <w:t xml:space="preserve">Like </w:t>
      </w:r>
      <w:r w:rsidR="00A2716A">
        <w:t>O</w:t>
      </w:r>
      <w:r>
        <w:t xml:space="preserve">ption 2, regulatory costs </w:t>
      </w:r>
      <w:r w:rsidR="00D92950">
        <w:t xml:space="preserve">fall </w:t>
      </w:r>
      <w:r>
        <w:t>in the main on service providers categorised as business or community organisation</w:t>
      </w:r>
      <w:r w:rsidR="00206693">
        <w:t>s</w:t>
      </w:r>
      <w:r w:rsidR="00D92950">
        <w:t xml:space="preserve">. </w:t>
      </w:r>
      <w:r w:rsidR="006D68BC">
        <w:t xml:space="preserve">Regulatory costs are </w:t>
      </w:r>
      <w:r>
        <w:t>lowe</w:t>
      </w:r>
      <w:r w:rsidR="006D68BC">
        <w:t xml:space="preserve">r for this option than </w:t>
      </w:r>
      <w:r w:rsidR="00EC3AF5">
        <w:t>O</w:t>
      </w:r>
      <w:r w:rsidR="006D68BC">
        <w:t>ption 2</w:t>
      </w:r>
      <w:r w:rsidR="00D92950">
        <w:t xml:space="preserve">, primarily </w:t>
      </w:r>
      <w:r w:rsidR="00DE2128">
        <w:t xml:space="preserve">because </w:t>
      </w:r>
      <w:r w:rsidR="00DE2128" w:rsidRPr="00611724">
        <w:t>there</w:t>
      </w:r>
      <w:r w:rsidR="006D68BC" w:rsidRPr="00611724">
        <w:t xml:space="preserve"> </w:t>
      </w:r>
      <w:r w:rsidR="005B6F53" w:rsidRPr="00611724">
        <w:t xml:space="preserve">fewer </w:t>
      </w:r>
      <w:r w:rsidR="00E452F1" w:rsidRPr="00611724">
        <w:t>are participants</w:t>
      </w:r>
      <w:r w:rsidR="006D68BC" w:rsidRPr="00611724">
        <w:t xml:space="preserve"> compared to </w:t>
      </w:r>
      <w:r w:rsidR="00600A09" w:rsidRPr="00611724">
        <w:t xml:space="preserve">Option </w:t>
      </w:r>
      <w:r w:rsidR="006D68BC" w:rsidRPr="00611724">
        <w:t xml:space="preserve">2 </w:t>
      </w:r>
      <w:r w:rsidR="00600A09" w:rsidRPr="00611724">
        <w:t>with</w:t>
      </w:r>
      <w:r w:rsidR="0041645F" w:rsidRPr="00611724">
        <w:t xml:space="preserve"> fewer</w:t>
      </w:r>
      <w:r w:rsidR="006D68BC" w:rsidRPr="00611724">
        <w:t xml:space="preserve"> </w:t>
      </w:r>
      <w:r w:rsidR="0041645F" w:rsidRPr="00611724">
        <w:t>providers and locations</w:t>
      </w:r>
      <w:r w:rsidR="008A3053" w:rsidRPr="00611724">
        <w:t xml:space="preserve"> expected</w:t>
      </w:r>
      <w:r w:rsidR="006D68BC" w:rsidRPr="00611724">
        <w:t>.</w:t>
      </w:r>
      <w:r w:rsidR="00E452F1">
        <w:t xml:space="preserve"> </w:t>
      </w:r>
      <w:r w:rsidR="00C56742">
        <w:t xml:space="preserve">However, </w:t>
      </w:r>
      <w:r w:rsidR="00153D9D">
        <w:t xml:space="preserve">having </w:t>
      </w:r>
      <w:r w:rsidR="00C56742">
        <w:t xml:space="preserve">fewer providers risks </w:t>
      </w:r>
      <w:r w:rsidR="00400544">
        <w:t>reducing provide</w:t>
      </w:r>
      <w:r w:rsidR="008E2262">
        <w:t>r</w:t>
      </w:r>
      <w:r w:rsidR="00400544">
        <w:t xml:space="preserve"> </w:t>
      </w:r>
      <w:r w:rsidR="00C86C56">
        <w:t>diversity</w:t>
      </w:r>
      <w:r w:rsidR="00400544">
        <w:t xml:space="preserve">, local connections and </w:t>
      </w:r>
      <w:r w:rsidR="00C86C56">
        <w:t>accessibility for parents</w:t>
      </w:r>
      <w:r w:rsidR="00704FC8">
        <w:t>,</w:t>
      </w:r>
      <w:r w:rsidR="008E2262">
        <w:t xml:space="preserve"> contrary to </w:t>
      </w:r>
      <w:r w:rsidR="00153D9D">
        <w:t xml:space="preserve">servicing and </w:t>
      </w:r>
      <w:r w:rsidR="008E2262">
        <w:t>stakeholder priorities.</w:t>
      </w:r>
      <w:r w:rsidR="00CE2C62">
        <w:t xml:space="preserve"> If services are not attractive, fewer eligible parents are likely to </w:t>
      </w:r>
      <w:r w:rsidR="00AE1D63">
        <w:t>participate.</w:t>
      </w:r>
    </w:p>
    <w:p w14:paraId="3A217A91" w14:textId="36DE64BE" w:rsidR="009F0EF7" w:rsidRDefault="007A70A3" w:rsidP="006D68BC">
      <w:r>
        <w:t xml:space="preserve">The table below compares the </w:t>
      </w:r>
      <w:r w:rsidR="00E07674">
        <w:t xml:space="preserve">assessments of expected </w:t>
      </w:r>
      <w:r>
        <w:t>net benefit from section 6.</w:t>
      </w:r>
    </w:p>
    <w:p w14:paraId="2D11DADB" w14:textId="590362A8" w:rsidR="00AC52BC" w:rsidRDefault="00A67BC7" w:rsidP="00B43709">
      <w:pPr>
        <w:pStyle w:val="Caption"/>
        <w:keepNext/>
      </w:pPr>
      <w:r w:rsidRPr="00524078">
        <w:lastRenderedPageBreak/>
        <w:fldChar w:fldCharType="begin"/>
      </w:r>
      <w:r w:rsidRPr="00524078">
        <w:instrText>TOC \o "1-3" \h \z \u</w:instrText>
      </w:r>
      <w:r w:rsidRPr="00524078">
        <w:fldChar w:fldCharType="end"/>
      </w:r>
      <w:r w:rsidRPr="00524078">
        <w:t xml:space="preserve">Table </w:t>
      </w:r>
      <w:r w:rsidR="00EA416E" w:rsidRPr="00524078">
        <w:t>10</w:t>
      </w:r>
      <w:r w:rsidRPr="00524078">
        <w:t xml:space="preserve">: </w:t>
      </w:r>
      <w:r w:rsidR="00495C58" w:rsidRPr="00524078">
        <w:t>Comparison</w:t>
      </w:r>
      <w:r w:rsidR="00BB1D5C" w:rsidRPr="00524078">
        <w:t xml:space="preserve"> of the</w:t>
      </w:r>
      <w:r w:rsidRPr="00524078">
        <w:t xml:space="preserve"> </w:t>
      </w:r>
      <w:r w:rsidR="008A3053" w:rsidRPr="00524078">
        <w:t>net benefit</w:t>
      </w:r>
      <w:r w:rsidRPr="00524078">
        <w:t xml:space="preserve"> of the </w:t>
      </w:r>
      <w:r w:rsidR="0058681A" w:rsidRPr="00524078">
        <w:t xml:space="preserve">options </w:t>
      </w:r>
      <w:r w:rsidR="003617EA" w:rsidRPr="00524078">
        <w:t>considered</w:t>
      </w:r>
    </w:p>
    <w:tbl>
      <w:tblPr>
        <w:tblStyle w:val="DESE"/>
        <w:tblW w:w="0" w:type="auto"/>
        <w:tblLayout w:type="fixed"/>
        <w:tblLook w:val="04A0" w:firstRow="1" w:lastRow="0" w:firstColumn="1" w:lastColumn="0" w:noHBand="0" w:noVBand="1"/>
      </w:tblPr>
      <w:tblGrid>
        <w:gridCol w:w="2268"/>
        <w:gridCol w:w="2268"/>
        <w:gridCol w:w="2268"/>
        <w:gridCol w:w="2268"/>
      </w:tblGrid>
      <w:tr w:rsidR="00AC52BC" w:rsidRPr="00B04938" w14:paraId="22096986" w14:textId="77777777" w:rsidTr="003778A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268" w:type="dxa"/>
            <w:tcBorders>
              <w:top w:val="single" w:sz="4" w:space="0" w:color="44546A"/>
              <w:bottom w:val="single" w:sz="4" w:space="0" w:color="auto"/>
            </w:tcBorders>
          </w:tcPr>
          <w:p w14:paraId="2105C86B" w14:textId="77777777" w:rsidR="00AC52BC" w:rsidRPr="00B04938" w:rsidRDefault="00AC52BC" w:rsidP="00620312">
            <w:pPr>
              <w:rPr>
                <w:rFonts w:eastAsia="Calibri" w:cs="Times New Roman"/>
                <w:color w:val="FFFFFF"/>
              </w:rPr>
            </w:pPr>
            <w:r>
              <w:rPr>
                <w:rFonts w:eastAsia="Calibri" w:cs="Times New Roman"/>
                <w:color w:val="FFFFFF"/>
              </w:rPr>
              <w:t>Criterion</w:t>
            </w:r>
          </w:p>
        </w:tc>
        <w:tc>
          <w:tcPr>
            <w:tcW w:w="2268" w:type="dxa"/>
            <w:tcBorders>
              <w:top w:val="single" w:sz="4" w:space="0" w:color="44546A"/>
              <w:bottom w:val="single" w:sz="4" w:space="0" w:color="auto"/>
            </w:tcBorders>
          </w:tcPr>
          <w:p w14:paraId="75E687EF" w14:textId="2A9BEE1F" w:rsidR="00E22980" w:rsidRPr="00B04938" w:rsidRDefault="00E22980" w:rsidP="00525A3B">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 xml:space="preserve">Net benefit </w:t>
            </w:r>
            <w:r w:rsidR="00AC52BC">
              <w:rPr>
                <w:rFonts w:eastAsia="Calibri" w:cs="Times New Roman"/>
                <w:color w:val="FFFFFF"/>
              </w:rPr>
              <w:t>Option 1</w:t>
            </w:r>
          </w:p>
        </w:tc>
        <w:tc>
          <w:tcPr>
            <w:tcW w:w="2268" w:type="dxa"/>
            <w:tcBorders>
              <w:bottom w:val="single" w:sz="4" w:space="0" w:color="auto"/>
            </w:tcBorders>
          </w:tcPr>
          <w:p w14:paraId="27F9DE93" w14:textId="731596AE" w:rsidR="00E22980" w:rsidRPr="00B04938" w:rsidRDefault="00525A3B" w:rsidP="00525A3B">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 xml:space="preserve">Net benefit </w:t>
            </w:r>
            <w:r w:rsidR="00AC52BC">
              <w:rPr>
                <w:rFonts w:eastAsia="Calibri" w:cs="Times New Roman"/>
                <w:color w:val="FFFFFF"/>
              </w:rPr>
              <w:t>Option 2</w:t>
            </w:r>
          </w:p>
        </w:tc>
        <w:tc>
          <w:tcPr>
            <w:tcW w:w="2268" w:type="dxa"/>
            <w:tcBorders>
              <w:bottom w:val="single" w:sz="4" w:space="0" w:color="auto"/>
            </w:tcBorders>
          </w:tcPr>
          <w:p w14:paraId="37DC85E5" w14:textId="0F8C9EBA" w:rsidR="00AC52BC" w:rsidRPr="00B04938" w:rsidRDefault="00525A3B" w:rsidP="00620312">
            <w:pPr>
              <w:cnfStyle w:val="100000000000" w:firstRow="1" w:lastRow="0" w:firstColumn="0" w:lastColumn="0" w:oddVBand="0" w:evenVBand="0" w:oddHBand="0" w:evenHBand="0" w:firstRowFirstColumn="0" w:firstRowLastColumn="0" w:lastRowFirstColumn="0" w:lastRowLastColumn="0"/>
              <w:rPr>
                <w:rFonts w:eastAsia="Calibri" w:cs="Times New Roman"/>
                <w:color w:val="FFFFFF"/>
              </w:rPr>
            </w:pPr>
            <w:r>
              <w:rPr>
                <w:rFonts w:eastAsia="Calibri" w:cs="Times New Roman"/>
                <w:color w:val="FFFFFF"/>
              </w:rPr>
              <w:t xml:space="preserve">Net benefit </w:t>
            </w:r>
            <w:r w:rsidR="00AC52BC">
              <w:rPr>
                <w:rFonts w:eastAsia="Calibri" w:cs="Times New Roman"/>
                <w:color w:val="FFFFFF"/>
              </w:rPr>
              <w:t>Option 3</w:t>
            </w:r>
            <w:r w:rsidR="00E22980">
              <w:rPr>
                <w:rFonts w:eastAsia="Calibri" w:cs="Times New Roman"/>
                <w:color w:val="FFFFFF"/>
              </w:rPr>
              <w:t xml:space="preserve"> </w:t>
            </w:r>
          </w:p>
        </w:tc>
      </w:tr>
      <w:tr w:rsidR="00792C3A" w:rsidRPr="00B04938" w14:paraId="484B51DE" w14:textId="77777777" w:rsidTr="003778A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5E221085" w14:textId="4DB7D4CB" w:rsidR="00792C3A" w:rsidRPr="00AF1321" w:rsidRDefault="00792C3A" w:rsidP="00792C3A">
            <w:pPr>
              <w:pStyle w:val="ListBullet"/>
              <w:rPr>
                <w:rFonts w:cstheme="minorHAnsi"/>
              </w:rPr>
            </w:pPr>
            <w:r w:rsidRPr="00BC37B3">
              <w:t xml:space="preserve">Policy objectives </w:t>
            </w:r>
          </w:p>
        </w:tc>
        <w:tc>
          <w:tcPr>
            <w:tcW w:w="2268" w:type="dxa"/>
          </w:tcPr>
          <w:p w14:paraId="5BE0AC29" w14:textId="12411960" w:rsidR="00792C3A" w:rsidRPr="00B04938" w:rsidRDefault="00A12CFB"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c>
          <w:tcPr>
            <w:tcW w:w="2268" w:type="dxa"/>
          </w:tcPr>
          <w:p w14:paraId="553985AC" w14:textId="032D6D7A" w:rsidR="00792C3A" w:rsidRPr="00B04938" w:rsidRDefault="002F7F3A"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High</w:t>
            </w:r>
            <w:r w:rsidR="00792C3A">
              <w:rPr>
                <w:rFonts w:eastAsia="Calibri" w:cs="Times New Roman"/>
              </w:rPr>
              <w:t xml:space="preserve"> – designed to meet all objectives</w:t>
            </w:r>
          </w:p>
        </w:tc>
        <w:tc>
          <w:tcPr>
            <w:tcW w:w="2268" w:type="dxa"/>
            <w:tcBorders>
              <w:right w:val="single" w:sz="4" w:space="0" w:color="auto"/>
            </w:tcBorders>
          </w:tcPr>
          <w:p w14:paraId="1AC9FD17" w14:textId="00CD9A45" w:rsidR="00792C3A" w:rsidRPr="00B04938" w:rsidRDefault="00792C3A"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Medium – designed to meet all objectives but with limited eligibility</w:t>
            </w:r>
          </w:p>
        </w:tc>
      </w:tr>
      <w:tr w:rsidR="00792C3A" w:rsidRPr="00B04938" w14:paraId="5D77E1AD" w14:textId="77777777" w:rsidTr="003778A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vAlign w:val="top"/>
          </w:tcPr>
          <w:p w14:paraId="42A93EE0" w14:textId="08CD5465" w:rsidR="00792C3A" w:rsidRPr="00412466" w:rsidRDefault="00792C3A" w:rsidP="00792C3A">
            <w:pPr>
              <w:pStyle w:val="ListBullet"/>
              <w:rPr>
                <w:rFonts w:cstheme="minorHAnsi"/>
              </w:rPr>
            </w:pPr>
            <w:r w:rsidRPr="00BC37B3">
              <w:t>Responds to stakeholder feedback</w:t>
            </w:r>
          </w:p>
        </w:tc>
        <w:tc>
          <w:tcPr>
            <w:tcW w:w="2268" w:type="dxa"/>
          </w:tcPr>
          <w:p w14:paraId="71DDFA0E" w14:textId="630F6E45" w:rsidR="00792C3A" w:rsidRPr="00B04938" w:rsidRDefault="00792C3A"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Nil</w:t>
            </w:r>
          </w:p>
        </w:tc>
        <w:tc>
          <w:tcPr>
            <w:tcW w:w="2268" w:type="dxa"/>
          </w:tcPr>
          <w:p w14:paraId="6BCECD64" w14:textId="71D08E9C" w:rsidR="00792C3A" w:rsidRPr="00B04938" w:rsidRDefault="00792C3A"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High</w:t>
            </w:r>
          </w:p>
        </w:tc>
        <w:tc>
          <w:tcPr>
            <w:tcW w:w="2268" w:type="dxa"/>
            <w:tcBorders>
              <w:right w:val="single" w:sz="4" w:space="0" w:color="auto"/>
            </w:tcBorders>
          </w:tcPr>
          <w:p w14:paraId="77AA5B27" w14:textId="08CDE74D" w:rsidR="00792C3A" w:rsidRPr="00B04938" w:rsidRDefault="00792C3A"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Medium</w:t>
            </w:r>
            <w:r w:rsidR="00A12CFB">
              <w:rPr>
                <w:rFonts w:eastAsia="Calibri" w:cs="Times New Roman"/>
              </w:rPr>
              <w:t xml:space="preserve"> </w:t>
            </w:r>
          </w:p>
        </w:tc>
      </w:tr>
      <w:tr w:rsidR="00792C3A" w:rsidRPr="00524078" w14:paraId="5D20C661" w14:textId="77777777" w:rsidTr="003778A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5B198316" w14:textId="5437E3C4" w:rsidR="00792C3A" w:rsidRPr="00524078" w:rsidRDefault="00A14E90" w:rsidP="00792C3A">
            <w:pPr>
              <w:pStyle w:val="ListBullet"/>
              <w:rPr>
                <w:rFonts w:cstheme="minorHAnsi"/>
              </w:rPr>
            </w:pPr>
            <w:r w:rsidRPr="00524078">
              <w:rPr>
                <w:rFonts w:cstheme="minorHAnsi"/>
              </w:rPr>
              <w:t>Parents</w:t>
            </w:r>
            <w:r w:rsidR="00792C3A" w:rsidRPr="00524078">
              <w:rPr>
                <w:rFonts w:cstheme="minorHAnsi"/>
              </w:rPr>
              <w:t xml:space="preserve"> </w:t>
            </w:r>
          </w:p>
        </w:tc>
        <w:tc>
          <w:tcPr>
            <w:tcW w:w="2268" w:type="dxa"/>
          </w:tcPr>
          <w:p w14:paraId="7CC6C9A4" w14:textId="71ECB2A0" w:rsidR="00792C3A" w:rsidRPr="00524078" w:rsidRDefault="00524078"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High long term social and economic costs</w:t>
            </w:r>
          </w:p>
        </w:tc>
        <w:tc>
          <w:tcPr>
            <w:tcW w:w="2268" w:type="dxa"/>
          </w:tcPr>
          <w:p w14:paraId="713292EF" w14:textId="580481D9" w:rsidR="00792C3A" w:rsidRPr="00524078" w:rsidRDefault="002F7F3A"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High</w:t>
            </w:r>
          </w:p>
        </w:tc>
        <w:tc>
          <w:tcPr>
            <w:tcW w:w="2268" w:type="dxa"/>
            <w:tcBorders>
              <w:right w:val="single" w:sz="4" w:space="0" w:color="auto"/>
            </w:tcBorders>
          </w:tcPr>
          <w:p w14:paraId="3C3BCC7E" w14:textId="6F157CD3" w:rsidR="00792C3A" w:rsidRPr="00524078" w:rsidRDefault="00A14E90"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Low</w:t>
            </w:r>
          </w:p>
        </w:tc>
      </w:tr>
      <w:tr w:rsidR="00792C3A" w:rsidRPr="00524078" w14:paraId="0BB8D20D" w14:textId="77777777" w:rsidTr="003778A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4D675174" w14:textId="6A12CBAA" w:rsidR="00792C3A" w:rsidRPr="00524078" w:rsidRDefault="00792C3A" w:rsidP="00792C3A">
            <w:pPr>
              <w:pStyle w:val="ListBullet"/>
              <w:rPr>
                <w:rFonts w:cstheme="minorHAnsi"/>
              </w:rPr>
            </w:pPr>
            <w:r w:rsidRPr="00524078">
              <w:rPr>
                <w:rFonts w:cstheme="minorHAnsi"/>
              </w:rPr>
              <w:t xml:space="preserve">Providers </w:t>
            </w:r>
          </w:p>
        </w:tc>
        <w:tc>
          <w:tcPr>
            <w:tcW w:w="2268" w:type="dxa"/>
          </w:tcPr>
          <w:p w14:paraId="0FAC9D4B" w14:textId="28045BC7" w:rsidR="00792C3A" w:rsidRPr="00524078" w:rsidRDefault="00A6320B"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Nil</w:t>
            </w:r>
          </w:p>
        </w:tc>
        <w:tc>
          <w:tcPr>
            <w:tcW w:w="2268" w:type="dxa"/>
          </w:tcPr>
          <w:p w14:paraId="6C1B0B07" w14:textId="12B81C49" w:rsidR="00792C3A" w:rsidRPr="00524078" w:rsidRDefault="00A6320B"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Medium</w:t>
            </w:r>
          </w:p>
        </w:tc>
        <w:tc>
          <w:tcPr>
            <w:tcW w:w="2268" w:type="dxa"/>
          </w:tcPr>
          <w:p w14:paraId="64830201" w14:textId="0C5D3C8F" w:rsidR="00792C3A" w:rsidRPr="00524078" w:rsidRDefault="00126595"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Low</w:t>
            </w:r>
          </w:p>
        </w:tc>
      </w:tr>
      <w:tr w:rsidR="00792C3A" w:rsidRPr="00524078" w14:paraId="7A88769D" w14:textId="77777777" w:rsidTr="003778A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7F26E2EB" w14:textId="48582E5B" w:rsidR="00792C3A" w:rsidRPr="00524078" w:rsidRDefault="00792C3A" w:rsidP="00792C3A">
            <w:pPr>
              <w:pStyle w:val="ListBullet"/>
              <w:rPr>
                <w:rFonts w:cstheme="minorHAnsi"/>
              </w:rPr>
            </w:pPr>
            <w:r w:rsidRPr="00524078">
              <w:rPr>
                <w:rFonts w:cstheme="minorHAnsi"/>
              </w:rPr>
              <w:t>Employers</w:t>
            </w:r>
          </w:p>
        </w:tc>
        <w:tc>
          <w:tcPr>
            <w:tcW w:w="2268" w:type="dxa"/>
          </w:tcPr>
          <w:p w14:paraId="11DC5DDD" w14:textId="2C430B18" w:rsidR="00792C3A" w:rsidRPr="00524078" w:rsidRDefault="00A6320B"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Nil</w:t>
            </w:r>
          </w:p>
        </w:tc>
        <w:tc>
          <w:tcPr>
            <w:tcW w:w="2268" w:type="dxa"/>
          </w:tcPr>
          <w:p w14:paraId="4E09B0F0" w14:textId="0F717791" w:rsidR="00792C3A" w:rsidRPr="00524078" w:rsidRDefault="00A6320B"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Limited</w:t>
            </w:r>
          </w:p>
        </w:tc>
        <w:tc>
          <w:tcPr>
            <w:tcW w:w="2268" w:type="dxa"/>
            <w:tcBorders>
              <w:right w:val="single" w:sz="4" w:space="0" w:color="auto"/>
            </w:tcBorders>
          </w:tcPr>
          <w:p w14:paraId="64D5D63B" w14:textId="6BAAAF58" w:rsidR="00792C3A" w:rsidRPr="00524078" w:rsidRDefault="009F0EF7" w:rsidP="00792C3A">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Limited</w:t>
            </w:r>
          </w:p>
        </w:tc>
      </w:tr>
      <w:tr w:rsidR="00A6320B" w:rsidRPr="00B04938" w14:paraId="06EB0884" w14:textId="77777777" w:rsidTr="003778A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6E2B442C" w14:textId="7DDC4398" w:rsidR="00A6320B" w:rsidRPr="00524078" w:rsidRDefault="00A6320B" w:rsidP="00A6320B">
            <w:pPr>
              <w:pStyle w:val="ListBullet"/>
              <w:rPr>
                <w:rFonts w:cstheme="minorHAnsi"/>
              </w:rPr>
            </w:pPr>
            <w:r w:rsidRPr="00524078">
              <w:rPr>
                <w:rFonts w:cstheme="minorHAnsi"/>
              </w:rPr>
              <w:t xml:space="preserve">Government </w:t>
            </w:r>
          </w:p>
        </w:tc>
        <w:tc>
          <w:tcPr>
            <w:tcW w:w="2268" w:type="dxa"/>
          </w:tcPr>
          <w:p w14:paraId="0CE34E70" w14:textId="1F8D1F68" w:rsidR="00A6320B" w:rsidRPr="00524078" w:rsidRDefault="00A6320B"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Medium</w:t>
            </w:r>
            <w:r w:rsidR="00524078" w:rsidRPr="00524078">
              <w:rPr>
                <w:rFonts w:eastAsia="Calibri" w:cs="Times New Roman"/>
              </w:rPr>
              <w:t xml:space="preserve"> indirect fiscal costs</w:t>
            </w:r>
          </w:p>
        </w:tc>
        <w:tc>
          <w:tcPr>
            <w:tcW w:w="2268" w:type="dxa"/>
          </w:tcPr>
          <w:p w14:paraId="0744DB4F" w14:textId="2B77A6D0" w:rsidR="00A6320B" w:rsidRPr="00524078" w:rsidRDefault="00A6320B"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Medium</w:t>
            </w:r>
          </w:p>
        </w:tc>
        <w:tc>
          <w:tcPr>
            <w:tcW w:w="2268" w:type="dxa"/>
            <w:tcBorders>
              <w:right w:val="single" w:sz="4" w:space="0" w:color="auto"/>
            </w:tcBorders>
          </w:tcPr>
          <w:p w14:paraId="779E1726" w14:textId="50BEDB7D" w:rsidR="00A6320B" w:rsidRDefault="009F0EF7"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524078">
              <w:rPr>
                <w:rFonts w:eastAsia="Calibri" w:cs="Times New Roman"/>
              </w:rPr>
              <w:t>Low</w:t>
            </w:r>
          </w:p>
        </w:tc>
      </w:tr>
      <w:tr w:rsidR="00A6320B" w:rsidRPr="00A232A5" w14:paraId="3CD4BF5F" w14:textId="77777777" w:rsidTr="003778A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7B5EFAD2" w14:textId="061A0A58" w:rsidR="00A6320B" w:rsidRPr="00A232A5" w:rsidRDefault="00A6320B" w:rsidP="00A6320B">
            <w:pPr>
              <w:pStyle w:val="ListBullet"/>
              <w:rPr>
                <w:rFonts w:cstheme="minorHAnsi"/>
              </w:rPr>
            </w:pPr>
            <w:r w:rsidRPr="00A232A5">
              <w:rPr>
                <w:rFonts w:cstheme="minorHAnsi"/>
              </w:rPr>
              <w:t>Caseload and servicing reach</w:t>
            </w:r>
          </w:p>
        </w:tc>
        <w:tc>
          <w:tcPr>
            <w:tcW w:w="2268" w:type="dxa"/>
          </w:tcPr>
          <w:p w14:paraId="05C93AC3" w14:textId="4422B88E" w:rsidR="00A6320B" w:rsidRPr="00A232A5" w:rsidRDefault="00A6320B"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232A5">
              <w:rPr>
                <w:rFonts w:eastAsia="Calibri" w:cs="Times New Roman"/>
              </w:rPr>
              <w:t>Nil</w:t>
            </w:r>
          </w:p>
        </w:tc>
        <w:tc>
          <w:tcPr>
            <w:tcW w:w="2268" w:type="dxa"/>
          </w:tcPr>
          <w:p w14:paraId="13DFF0AF" w14:textId="1EA78B64" w:rsidR="00A6320B" w:rsidRPr="00A232A5" w:rsidRDefault="002F7F3A"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232A5">
              <w:rPr>
                <w:rFonts w:eastAsia="Calibri" w:cs="Times New Roman"/>
              </w:rPr>
              <w:t>High</w:t>
            </w:r>
            <w:r w:rsidR="00A6320B" w:rsidRPr="00A232A5">
              <w:rPr>
                <w:rFonts w:eastAsia="Calibri" w:cs="Times New Roman"/>
              </w:rPr>
              <w:t xml:space="preserve"> – expected to </w:t>
            </w:r>
            <w:r w:rsidR="00E13910" w:rsidRPr="00A232A5">
              <w:rPr>
                <w:rFonts w:eastAsia="Calibri" w:cs="Times New Roman"/>
              </w:rPr>
              <w:t>have a</w:t>
            </w:r>
            <w:r w:rsidR="00FF2F25" w:rsidRPr="00A232A5">
              <w:rPr>
                <w:rFonts w:eastAsia="Calibri" w:cs="Times New Roman"/>
              </w:rPr>
              <w:t xml:space="preserve">n average </w:t>
            </w:r>
            <w:r w:rsidR="00E13910" w:rsidRPr="00A232A5">
              <w:rPr>
                <w:rFonts w:eastAsia="Calibri" w:cs="Times New Roman"/>
              </w:rPr>
              <w:t>point in time caseload of</w:t>
            </w:r>
            <w:r w:rsidR="00AB6AD2" w:rsidRPr="00A232A5">
              <w:rPr>
                <w:rFonts w:eastAsia="Calibri" w:cs="Times New Roman"/>
              </w:rPr>
              <w:t xml:space="preserve"> </w:t>
            </w:r>
            <w:r w:rsidR="00FF2F25" w:rsidRPr="00A232A5">
              <w:rPr>
                <w:rFonts w:eastAsia="Calibri" w:cs="Times New Roman"/>
              </w:rPr>
              <w:t>22,100 parents</w:t>
            </w:r>
          </w:p>
        </w:tc>
        <w:tc>
          <w:tcPr>
            <w:tcW w:w="2268" w:type="dxa"/>
            <w:tcBorders>
              <w:right w:val="single" w:sz="4" w:space="0" w:color="auto"/>
            </w:tcBorders>
          </w:tcPr>
          <w:p w14:paraId="112112A3" w14:textId="6E538C7E" w:rsidR="00A6320B" w:rsidRPr="00A232A5" w:rsidRDefault="00A6320B"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232A5">
              <w:rPr>
                <w:rFonts w:eastAsia="Calibri" w:cs="Times New Roman"/>
              </w:rPr>
              <w:t xml:space="preserve">Low – expected to </w:t>
            </w:r>
            <w:r w:rsidR="00E13910" w:rsidRPr="00A232A5">
              <w:rPr>
                <w:rFonts w:eastAsia="Calibri" w:cs="Times New Roman"/>
              </w:rPr>
              <w:t>have a</w:t>
            </w:r>
            <w:r w:rsidR="00FF2F25" w:rsidRPr="00A232A5">
              <w:rPr>
                <w:rFonts w:eastAsia="Calibri" w:cs="Times New Roman"/>
              </w:rPr>
              <w:t>n average</w:t>
            </w:r>
            <w:r w:rsidR="00E13910" w:rsidRPr="00A232A5">
              <w:rPr>
                <w:rFonts w:eastAsia="Calibri" w:cs="Times New Roman"/>
              </w:rPr>
              <w:t xml:space="preserve"> point in time </w:t>
            </w:r>
            <w:r w:rsidR="006B7439" w:rsidRPr="00A232A5">
              <w:rPr>
                <w:rFonts w:eastAsia="Calibri" w:cs="Times New Roman"/>
              </w:rPr>
              <w:t>cas</w:t>
            </w:r>
            <w:r w:rsidR="00B03265" w:rsidRPr="00A232A5">
              <w:rPr>
                <w:rFonts w:eastAsia="Calibri" w:cs="Times New Roman"/>
              </w:rPr>
              <w:t>e</w:t>
            </w:r>
            <w:r w:rsidR="006B7439" w:rsidRPr="00A232A5">
              <w:rPr>
                <w:rFonts w:eastAsia="Calibri" w:cs="Times New Roman"/>
              </w:rPr>
              <w:t xml:space="preserve">load of </w:t>
            </w:r>
            <w:r w:rsidR="00FF2F25" w:rsidRPr="00A232A5">
              <w:rPr>
                <w:rFonts w:eastAsia="Calibri" w:cs="Times New Roman"/>
              </w:rPr>
              <w:t>12,200</w:t>
            </w:r>
            <w:r w:rsidR="00AB6AD2" w:rsidRPr="00A232A5">
              <w:rPr>
                <w:rFonts w:eastAsia="Calibri" w:cs="Times New Roman"/>
              </w:rPr>
              <w:t xml:space="preserve"> parents</w:t>
            </w:r>
          </w:p>
        </w:tc>
      </w:tr>
      <w:tr w:rsidR="00A6320B" w:rsidRPr="00B04938" w14:paraId="5F143D8C" w14:textId="77777777" w:rsidTr="003778A0">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tcPr>
          <w:p w14:paraId="6049616B" w14:textId="300B89A4" w:rsidR="00A6320B" w:rsidRPr="00A232A5" w:rsidRDefault="00A6320B" w:rsidP="00A6320B">
            <w:pPr>
              <w:pStyle w:val="ListBullet"/>
              <w:rPr>
                <w:rFonts w:cstheme="minorHAnsi"/>
              </w:rPr>
            </w:pPr>
            <w:r w:rsidRPr="00A232A5">
              <w:rPr>
                <w:rFonts w:cstheme="minorHAnsi"/>
              </w:rPr>
              <w:t>Regulatory cost</w:t>
            </w:r>
          </w:p>
        </w:tc>
        <w:tc>
          <w:tcPr>
            <w:tcW w:w="2268" w:type="dxa"/>
            <w:tcBorders>
              <w:bottom w:val="single" w:sz="4" w:space="0" w:color="auto"/>
            </w:tcBorders>
          </w:tcPr>
          <w:p w14:paraId="7A2B38A8" w14:textId="547AB862" w:rsidR="00A6320B" w:rsidRPr="00A232A5" w:rsidRDefault="00A6320B"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232A5">
              <w:rPr>
                <w:rFonts w:eastAsia="Calibri" w:cs="Times New Roman"/>
              </w:rPr>
              <w:t>Nil</w:t>
            </w:r>
          </w:p>
        </w:tc>
        <w:tc>
          <w:tcPr>
            <w:tcW w:w="2268" w:type="dxa"/>
            <w:tcBorders>
              <w:bottom w:val="single" w:sz="4" w:space="0" w:color="auto"/>
            </w:tcBorders>
          </w:tcPr>
          <w:p w14:paraId="67298FB9" w14:textId="779E97F0" w:rsidR="00A6320B" w:rsidRPr="00A232A5" w:rsidRDefault="00A6320B"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232A5">
              <w:rPr>
                <w:rFonts w:eastAsia="Calibri" w:cs="Times New Roman"/>
              </w:rPr>
              <w:t>Low</w:t>
            </w:r>
          </w:p>
        </w:tc>
        <w:tc>
          <w:tcPr>
            <w:tcW w:w="2268" w:type="dxa"/>
            <w:tcBorders>
              <w:bottom w:val="single" w:sz="4" w:space="0" w:color="auto"/>
              <w:right w:val="single" w:sz="4" w:space="0" w:color="auto"/>
            </w:tcBorders>
          </w:tcPr>
          <w:p w14:paraId="407B8E70" w14:textId="33C6DE50" w:rsidR="00A6320B" w:rsidRDefault="00A6320B" w:rsidP="00A6320B">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232A5">
              <w:rPr>
                <w:rFonts w:eastAsia="Calibri" w:cs="Times New Roman"/>
              </w:rPr>
              <w:t>Low</w:t>
            </w:r>
          </w:p>
        </w:tc>
      </w:tr>
    </w:tbl>
    <w:p w14:paraId="2F72E94C" w14:textId="77777777" w:rsidR="003F5E8C" w:rsidRDefault="003F5E8C" w:rsidP="00014875"/>
    <w:p w14:paraId="67A714FD" w14:textId="67132DB0" w:rsidR="00F65D2A" w:rsidRDefault="00014875" w:rsidP="00014875">
      <w:r>
        <w:t xml:space="preserve">On balance, </w:t>
      </w:r>
      <w:r w:rsidR="003A3364" w:rsidRPr="005176A2">
        <w:rPr>
          <w:b/>
          <w:bCs/>
        </w:rPr>
        <w:t>Option 2</w:t>
      </w:r>
      <w:r w:rsidR="003A3364">
        <w:t xml:space="preserve"> is the preferred approach for providing pre-employment services </w:t>
      </w:r>
      <w:r w:rsidR="00747907">
        <w:t xml:space="preserve">to </w:t>
      </w:r>
      <w:r w:rsidR="00215072">
        <w:t xml:space="preserve">prepare vulnerable parents of young children to </w:t>
      </w:r>
      <w:r w:rsidR="007154BA">
        <w:t xml:space="preserve">return to the workforce and </w:t>
      </w:r>
      <w:r w:rsidR="00747907">
        <w:t xml:space="preserve">improve </w:t>
      </w:r>
      <w:r w:rsidR="007154BA">
        <w:t xml:space="preserve">their </w:t>
      </w:r>
      <w:r w:rsidR="00747907">
        <w:t xml:space="preserve">opportunities </w:t>
      </w:r>
      <w:r w:rsidR="000B04F9">
        <w:t>for</w:t>
      </w:r>
      <w:r w:rsidR="007154BA">
        <w:t xml:space="preserve"> education and employment</w:t>
      </w:r>
      <w:r>
        <w:t xml:space="preserve"> and long-term economic security</w:t>
      </w:r>
      <w:r w:rsidR="00DE2128">
        <w:t xml:space="preserve">. It </w:t>
      </w:r>
      <w:r w:rsidR="00507253">
        <w:t xml:space="preserve">most closely meets the policy objectives and </w:t>
      </w:r>
      <w:r w:rsidR="006E3F33">
        <w:t>draws on extensive consultation and feedback.</w:t>
      </w:r>
      <w:r w:rsidR="00427C45">
        <w:t xml:space="preserve"> It will assist more </w:t>
      </w:r>
      <w:r w:rsidR="00CB3FDC">
        <w:t xml:space="preserve">vulnerable </w:t>
      </w:r>
      <w:r w:rsidR="00427C45">
        <w:t>parents than Option</w:t>
      </w:r>
      <w:r w:rsidR="00A1664A">
        <w:t xml:space="preserve"> </w:t>
      </w:r>
      <w:r w:rsidR="00427C45">
        <w:t>3</w:t>
      </w:r>
      <w:r w:rsidR="00FD505C">
        <w:t>.</w:t>
      </w:r>
    </w:p>
    <w:p w14:paraId="14E9FDAE" w14:textId="1B42E5B4" w:rsidR="00C74F32" w:rsidRPr="00C74F32" w:rsidRDefault="00AA361B" w:rsidP="007133D0">
      <w:pPr>
        <w:pStyle w:val="Heading2"/>
      </w:pPr>
      <w:bookmarkStart w:id="96" w:name="_Toc151123134"/>
      <w:r>
        <w:t>8.</w:t>
      </w:r>
      <w:r w:rsidR="00D34F5C">
        <w:t>2</w:t>
      </w:r>
      <w:r>
        <w:tab/>
      </w:r>
      <w:r w:rsidR="00C74F32" w:rsidRPr="00C74F32">
        <w:t>Implementation</w:t>
      </w:r>
      <w:bookmarkEnd w:id="96"/>
    </w:p>
    <w:p w14:paraId="7B60FEC5" w14:textId="33008883" w:rsidR="003A0106" w:rsidRDefault="003A0106" w:rsidP="007133D0">
      <w:r>
        <w:t xml:space="preserve">Implementing </w:t>
      </w:r>
      <w:r w:rsidR="008C4E09">
        <w:t>the</w:t>
      </w:r>
      <w:r>
        <w:t xml:space="preserve"> new pre-employment service to replace</w:t>
      </w:r>
      <w:r w:rsidR="00AE4814">
        <w:t xml:space="preserve"> the</w:t>
      </w:r>
      <w:r>
        <w:t xml:space="preserve"> </w:t>
      </w:r>
      <w:r w:rsidR="00161E52">
        <w:t xml:space="preserve">ParentsNext </w:t>
      </w:r>
      <w:r w:rsidR="00AE4814">
        <w:t>p</w:t>
      </w:r>
      <w:r w:rsidR="00161E52">
        <w:t>rogram</w:t>
      </w:r>
      <w:r>
        <w:t xml:space="preserve"> will require clear communication</w:t>
      </w:r>
      <w:r w:rsidR="00B45B04">
        <w:t>, implementation</w:t>
      </w:r>
      <w:r>
        <w:t xml:space="preserve"> and transition arrangements for </w:t>
      </w:r>
      <w:r w:rsidR="00AC1911">
        <w:t xml:space="preserve">potential participants, </w:t>
      </w:r>
      <w:r>
        <w:t>existing participants, providers, community services and other stakeholders.</w:t>
      </w:r>
      <w:r w:rsidR="00DF17F3" w:rsidRPr="00DF17F3">
        <w:t xml:space="preserve"> </w:t>
      </w:r>
      <w:r w:rsidR="00DF17F3">
        <w:t>Departmental staff will manage implementation and transition processes.</w:t>
      </w:r>
    </w:p>
    <w:p w14:paraId="540A793A" w14:textId="07AB46D3" w:rsidR="00B22B15" w:rsidRDefault="007510A2" w:rsidP="00F65D2A">
      <w:r>
        <w:t xml:space="preserve">There will be </w:t>
      </w:r>
      <w:r w:rsidR="00F65D2A" w:rsidRPr="006141B7">
        <w:t xml:space="preserve">a </w:t>
      </w:r>
      <w:r w:rsidR="00040256">
        <w:t>detailed</w:t>
      </w:r>
      <w:r w:rsidR="00C6740A">
        <w:t xml:space="preserve"> </w:t>
      </w:r>
      <w:r w:rsidR="00006128">
        <w:t xml:space="preserve">implementation </w:t>
      </w:r>
      <w:r w:rsidR="00C6740A">
        <w:t xml:space="preserve">plan </w:t>
      </w:r>
      <w:r w:rsidR="00006128">
        <w:t xml:space="preserve">for </w:t>
      </w:r>
      <w:r w:rsidR="005E03E8">
        <w:t xml:space="preserve">establishing </w:t>
      </w:r>
      <w:r>
        <w:t xml:space="preserve">the new service and </w:t>
      </w:r>
      <w:r w:rsidR="005E03E8">
        <w:t xml:space="preserve">the </w:t>
      </w:r>
      <w:r>
        <w:t xml:space="preserve">transition from </w:t>
      </w:r>
      <w:r w:rsidR="00E343C2">
        <w:t>ParentsNex</w:t>
      </w:r>
      <w:r w:rsidR="00DF17F3">
        <w:t>t</w:t>
      </w:r>
      <w:r w:rsidR="00CB120F">
        <w:t>, underpinned by thorough project and risk management as well</w:t>
      </w:r>
      <w:r w:rsidR="007E32BE">
        <w:t xml:space="preserve"> </w:t>
      </w:r>
      <w:r w:rsidR="00CB120F">
        <w:t>a</w:t>
      </w:r>
      <w:r w:rsidR="007E32BE">
        <w:t>s a</w:t>
      </w:r>
      <w:r w:rsidR="00CB120F">
        <w:t xml:space="preserve"> </w:t>
      </w:r>
      <w:r w:rsidR="007E32BE">
        <w:t>comprehensive</w:t>
      </w:r>
      <w:r w:rsidR="00CB120F">
        <w:t xml:space="preserve"> communication stra</w:t>
      </w:r>
      <w:r w:rsidR="007E32BE">
        <w:t>te</w:t>
      </w:r>
      <w:r w:rsidR="00CB120F">
        <w:t>gy.</w:t>
      </w:r>
      <w:r w:rsidR="00E343C2">
        <w:t xml:space="preserve"> The plan will be </w:t>
      </w:r>
      <w:r w:rsidR="00751B5E">
        <w:t>info</w:t>
      </w:r>
      <w:r w:rsidR="00AC1911">
        <w:t>r</w:t>
      </w:r>
      <w:r w:rsidR="00751B5E">
        <w:t>med</w:t>
      </w:r>
      <w:r w:rsidR="008357E2">
        <w:t xml:space="preserve"> by </w:t>
      </w:r>
      <w:r w:rsidR="00040256">
        <w:t xml:space="preserve">feedback from </w:t>
      </w:r>
      <w:r w:rsidR="008357E2">
        <w:t>stakeholders, peak bodies</w:t>
      </w:r>
      <w:r w:rsidR="009D2752">
        <w:t xml:space="preserve"> and</w:t>
      </w:r>
      <w:r w:rsidR="008357E2">
        <w:t xml:space="preserve"> </w:t>
      </w:r>
      <w:r w:rsidR="00B22B15">
        <w:t>partner</w:t>
      </w:r>
      <w:r w:rsidR="008357E2">
        <w:t xml:space="preserve"> departments</w:t>
      </w:r>
      <w:r w:rsidR="009D2752">
        <w:t xml:space="preserve">, </w:t>
      </w:r>
      <w:r w:rsidR="0092618B">
        <w:t xml:space="preserve">as well as </w:t>
      </w:r>
      <w:r w:rsidR="00040256">
        <w:t xml:space="preserve">experience in introducing </w:t>
      </w:r>
      <w:r w:rsidR="008357E2">
        <w:t xml:space="preserve">other </w:t>
      </w:r>
      <w:r w:rsidR="009D44FD">
        <w:t>pre</w:t>
      </w:r>
      <w:r w:rsidR="008357E2">
        <w:noBreakHyphen/>
      </w:r>
      <w:r w:rsidR="009D44FD">
        <w:t>employment</w:t>
      </w:r>
      <w:r w:rsidR="00AB2C36">
        <w:t xml:space="preserve"> and employment</w:t>
      </w:r>
      <w:r w:rsidR="009D44FD">
        <w:t xml:space="preserve"> services.</w:t>
      </w:r>
    </w:p>
    <w:p w14:paraId="031E27FA" w14:textId="43C8347A" w:rsidR="00F65D2A" w:rsidRDefault="00380823" w:rsidP="00264B8C">
      <w:r>
        <w:t xml:space="preserve">This approach </w:t>
      </w:r>
      <w:r w:rsidR="00CF2363">
        <w:t xml:space="preserve">will </w:t>
      </w:r>
      <w:r w:rsidR="00F65D2A" w:rsidRPr="006141B7">
        <w:t xml:space="preserve">reduce risks associated with </w:t>
      </w:r>
      <w:r w:rsidR="00AC1911">
        <w:t xml:space="preserve">the </w:t>
      </w:r>
      <w:r w:rsidR="00F65D2A" w:rsidRPr="006141B7">
        <w:t xml:space="preserve">transition to the new </w:t>
      </w:r>
      <w:r w:rsidR="009D44FD">
        <w:t>service</w:t>
      </w:r>
      <w:r w:rsidR="008357E2">
        <w:t>, minimise disruption for continuing participants</w:t>
      </w:r>
      <w:r w:rsidR="000463C8">
        <w:t xml:space="preserve"> </w:t>
      </w:r>
      <w:r w:rsidR="00F65D2A" w:rsidRPr="006141B7">
        <w:t>and help strengthen stakeholder understanding</w:t>
      </w:r>
      <w:r w:rsidR="009D44FD">
        <w:t>.</w:t>
      </w:r>
      <w:r w:rsidR="00AA61A8">
        <w:t xml:space="preserve"> </w:t>
      </w:r>
      <w:r w:rsidR="00896291">
        <w:t>F</w:t>
      </w:r>
      <w:r w:rsidR="00437B38">
        <w:t>urther, fe</w:t>
      </w:r>
      <w:r w:rsidR="00896291">
        <w:t xml:space="preserve">atures of the new service have been designed to address </w:t>
      </w:r>
      <w:r w:rsidR="00A8343F">
        <w:t>risks</w:t>
      </w:r>
      <w:r w:rsidR="0034502F">
        <w:t xml:space="preserve">. For example, </w:t>
      </w:r>
      <w:r w:rsidR="00264B8C">
        <w:t xml:space="preserve">capacity building for small </w:t>
      </w:r>
      <w:r w:rsidR="00264B8C">
        <w:lastRenderedPageBreak/>
        <w:t xml:space="preserve">organisations addresses risks </w:t>
      </w:r>
      <w:r w:rsidR="00A8343F">
        <w:t>associated with engaging a diversity of providers</w:t>
      </w:r>
      <w:r w:rsidR="00264B8C">
        <w:t xml:space="preserve">. </w:t>
      </w:r>
      <w:r w:rsidR="00E56CF4">
        <w:t xml:space="preserve">The potential that the voluntary </w:t>
      </w:r>
      <w:r w:rsidR="00B307BD">
        <w:t>service</w:t>
      </w:r>
      <w:r w:rsidR="00E56CF4">
        <w:t xml:space="preserve"> will </w:t>
      </w:r>
      <w:r w:rsidR="00B307BD">
        <w:t xml:space="preserve">attract fewer </w:t>
      </w:r>
      <w:r w:rsidR="00A72946">
        <w:t>participants</w:t>
      </w:r>
      <w:r w:rsidR="00B307BD">
        <w:t xml:space="preserve"> than projected </w:t>
      </w:r>
      <w:r w:rsidR="00A72946">
        <w:t>is addressed through</w:t>
      </w:r>
      <w:r w:rsidR="00E56CF4">
        <w:t xml:space="preserve"> </w:t>
      </w:r>
      <w:r w:rsidR="00437B38">
        <w:t xml:space="preserve">outreach and engagement funding for providers </w:t>
      </w:r>
      <w:r w:rsidR="00A72946">
        <w:t>as well as the broader communication strategy.</w:t>
      </w:r>
    </w:p>
    <w:p w14:paraId="44F34208" w14:textId="6FF97859" w:rsidR="00E8120B" w:rsidRDefault="0088673D" w:rsidP="00E8120B">
      <w:r>
        <w:t>The</w:t>
      </w:r>
      <w:r w:rsidR="00E8120B">
        <w:t xml:space="preserve"> arrangements will also have regard to the interplay </w:t>
      </w:r>
      <w:r w:rsidR="00E8120B" w:rsidRPr="00E8120B">
        <w:t>of the new service with employment services and complementary programs, and with the early childhood and care sector</w:t>
      </w:r>
      <w:r w:rsidR="00E8120B">
        <w:t xml:space="preserve">. </w:t>
      </w:r>
      <w:r w:rsidR="00DA5202">
        <w:t xml:space="preserve">Access to </w:t>
      </w:r>
      <w:r w:rsidR="1D62E518">
        <w:t xml:space="preserve">affordable </w:t>
      </w:r>
      <w:r w:rsidR="00DA5202">
        <w:t>c</w:t>
      </w:r>
      <w:r w:rsidR="00E8120B">
        <w:t xml:space="preserve">hildcare has been identified as a key factor </w:t>
      </w:r>
      <w:r w:rsidR="00DA5202">
        <w:t>to</w:t>
      </w:r>
      <w:r w:rsidR="00E8120B">
        <w:t xml:space="preserve"> enable </w:t>
      </w:r>
      <w:r w:rsidR="00DA5202">
        <w:t>participation in the new service.</w:t>
      </w:r>
    </w:p>
    <w:p w14:paraId="21E5E0EF" w14:textId="6F581C88" w:rsidR="00623BA7" w:rsidRDefault="00623BA7" w:rsidP="00E8120B">
      <w:r>
        <w:t>Key elements of the implementation plan will</w:t>
      </w:r>
      <w:r w:rsidR="00136D12">
        <w:t xml:space="preserve"> </w:t>
      </w:r>
      <w:r>
        <w:t>include:</w:t>
      </w:r>
    </w:p>
    <w:p w14:paraId="78E930A3" w14:textId="730E496D" w:rsidR="006A5C86" w:rsidRPr="000513FE" w:rsidRDefault="006A5C86" w:rsidP="00A40BD4">
      <w:pPr>
        <w:pStyle w:val="ListParagraph"/>
        <w:numPr>
          <w:ilvl w:val="0"/>
          <w:numId w:val="9"/>
        </w:numPr>
        <w:ind w:left="357" w:hanging="357"/>
      </w:pPr>
      <w:r w:rsidRPr="000513FE">
        <w:t>information sharing and engagement with parents, providers and other stakeholders</w:t>
      </w:r>
      <w:r w:rsidR="00067593" w:rsidRPr="000513FE">
        <w:t xml:space="preserve"> </w:t>
      </w:r>
      <w:r w:rsidR="00161998" w:rsidRPr="000513FE">
        <w:t>using</w:t>
      </w:r>
      <w:r w:rsidR="00067593" w:rsidRPr="000513FE">
        <w:t xml:space="preserve"> multiple channels</w:t>
      </w:r>
    </w:p>
    <w:p w14:paraId="20427667" w14:textId="1866381F" w:rsidR="002932BE" w:rsidRPr="00D121EC" w:rsidRDefault="003C0B41" w:rsidP="00A40BD4">
      <w:pPr>
        <w:pStyle w:val="ListParagraph"/>
        <w:numPr>
          <w:ilvl w:val="0"/>
          <w:numId w:val="9"/>
        </w:numPr>
        <w:ind w:left="357" w:hanging="357"/>
      </w:pPr>
      <w:r w:rsidRPr="00D121EC">
        <w:t>exten</w:t>
      </w:r>
      <w:r w:rsidR="00161998" w:rsidRPr="00D121EC">
        <w:t>ding</w:t>
      </w:r>
      <w:r w:rsidRPr="00D121EC">
        <w:t xml:space="preserve"> </w:t>
      </w:r>
      <w:r w:rsidR="002932BE" w:rsidRPr="00D121EC">
        <w:t>ParentsNext contract</w:t>
      </w:r>
      <w:r w:rsidR="00FC2DA5" w:rsidRPr="00D121EC">
        <w:t>s</w:t>
      </w:r>
      <w:r w:rsidR="000513FE" w:rsidRPr="00D121EC">
        <w:t xml:space="preserve"> </w:t>
      </w:r>
      <w:r w:rsidR="00D121EC" w:rsidRPr="00D121EC">
        <w:rPr>
          <w:rFonts w:eastAsia="Times New Roman"/>
        </w:rPr>
        <w:t>and exploring alternative arrangements if a provider indicates that they propose to not accept the extension</w:t>
      </w:r>
    </w:p>
    <w:p w14:paraId="511C2905" w14:textId="0ADFB518" w:rsidR="00136D12" w:rsidRPr="000513FE" w:rsidRDefault="00E75A58" w:rsidP="00A40BD4">
      <w:pPr>
        <w:pStyle w:val="ListParagraph"/>
        <w:numPr>
          <w:ilvl w:val="0"/>
          <w:numId w:val="9"/>
        </w:numPr>
        <w:ind w:left="357" w:hanging="357"/>
      </w:pPr>
      <w:r w:rsidRPr="000513FE">
        <w:t xml:space="preserve">continued consultation including the </w:t>
      </w:r>
      <w:r w:rsidR="008C6158" w:rsidRPr="000513FE">
        <w:t>e</w:t>
      </w:r>
      <w:r w:rsidR="000A76C4" w:rsidRPr="000513FE">
        <w:t>stablishment</w:t>
      </w:r>
      <w:r w:rsidR="00136D12" w:rsidRPr="000513FE">
        <w:t xml:space="preserve"> </w:t>
      </w:r>
      <w:r w:rsidR="000A76C4" w:rsidRPr="000513FE">
        <w:t>of a parents</w:t>
      </w:r>
      <w:r w:rsidR="008C6158" w:rsidRPr="000513FE">
        <w:t>’</w:t>
      </w:r>
      <w:r w:rsidR="000A76C4" w:rsidRPr="000513FE">
        <w:t xml:space="preserve"> advisory group to </w:t>
      </w:r>
      <w:r w:rsidR="005978D1" w:rsidRPr="000513FE">
        <w:t>provide</w:t>
      </w:r>
      <w:r w:rsidR="00F26F5A" w:rsidRPr="000513FE">
        <w:t xml:space="preserve"> </w:t>
      </w:r>
      <w:r w:rsidR="005978D1" w:rsidRPr="000513FE">
        <w:t>insights</w:t>
      </w:r>
      <w:r w:rsidR="00F26F5A" w:rsidRPr="000513FE">
        <w:t xml:space="preserve"> and feedback </w:t>
      </w:r>
      <w:r w:rsidR="005978D1" w:rsidRPr="000513FE">
        <w:t>on</w:t>
      </w:r>
      <w:r w:rsidR="00067076" w:rsidRPr="000513FE">
        <w:t xml:space="preserve"> the</w:t>
      </w:r>
      <w:r w:rsidR="00F26F5A" w:rsidRPr="000513FE">
        <w:t xml:space="preserve"> </w:t>
      </w:r>
      <w:r w:rsidR="005978D1" w:rsidRPr="000513FE">
        <w:t>implementation</w:t>
      </w:r>
      <w:r w:rsidR="00F26F5A" w:rsidRPr="000513FE">
        <w:t xml:space="preserve"> and </w:t>
      </w:r>
      <w:r w:rsidR="00067076" w:rsidRPr="000513FE">
        <w:t xml:space="preserve">operation </w:t>
      </w:r>
      <w:r w:rsidR="005978D1" w:rsidRPr="000513FE">
        <w:t>of</w:t>
      </w:r>
      <w:r w:rsidR="00067076" w:rsidRPr="000513FE">
        <w:t xml:space="preserve"> the new </w:t>
      </w:r>
      <w:r w:rsidR="005978D1" w:rsidRPr="000513FE">
        <w:t>service</w:t>
      </w:r>
    </w:p>
    <w:p w14:paraId="27417910" w14:textId="1A571447" w:rsidR="005B47BA" w:rsidRPr="000513FE" w:rsidRDefault="005B47BA" w:rsidP="00A40BD4">
      <w:pPr>
        <w:pStyle w:val="ListParagraph"/>
        <w:numPr>
          <w:ilvl w:val="0"/>
          <w:numId w:val="9"/>
        </w:numPr>
        <w:ind w:left="357" w:hanging="357"/>
      </w:pPr>
      <w:r w:rsidRPr="000513FE">
        <w:t xml:space="preserve">maintaining engagement with partner departments </w:t>
      </w:r>
      <w:r w:rsidR="002A09AD" w:rsidRPr="000513FE">
        <w:t xml:space="preserve">and Services Australia </w:t>
      </w:r>
      <w:r w:rsidR="007A6BE1" w:rsidRPr="000513FE">
        <w:t>in areas such as access</w:t>
      </w:r>
      <w:r w:rsidR="002A09AD" w:rsidRPr="000513FE">
        <w:t xml:space="preserve"> </w:t>
      </w:r>
      <w:r w:rsidR="00EC12F8" w:rsidRPr="000513FE">
        <w:t xml:space="preserve">to </w:t>
      </w:r>
      <w:r w:rsidR="00386D81" w:rsidRPr="000513FE">
        <w:t>child</w:t>
      </w:r>
      <w:r w:rsidR="00C52F72" w:rsidRPr="000513FE">
        <w:t>care</w:t>
      </w:r>
      <w:r w:rsidR="00CB50A9" w:rsidRPr="000513FE">
        <w:t xml:space="preserve"> and childcare</w:t>
      </w:r>
      <w:r w:rsidR="00C52F72" w:rsidRPr="000513FE">
        <w:t xml:space="preserve"> </w:t>
      </w:r>
      <w:r w:rsidR="00E75A58" w:rsidRPr="000513FE">
        <w:t>subsidies</w:t>
      </w:r>
    </w:p>
    <w:p w14:paraId="320454E4" w14:textId="0A5CFABA" w:rsidR="000A76C4" w:rsidRPr="000513FE" w:rsidRDefault="000A76C4" w:rsidP="00A40BD4">
      <w:pPr>
        <w:pStyle w:val="ListParagraph"/>
        <w:numPr>
          <w:ilvl w:val="0"/>
          <w:numId w:val="9"/>
        </w:numPr>
        <w:ind w:left="357" w:hanging="357"/>
      </w:pPr>
      <w:r w:rsidRPr="000513FE">
        <w:t>undertaking a national procurement process to engage organisations to deliver the new service</w:t>
      </w:r>
    </w:p>
    <w:p w14:paraId="6F762B7C" w14:textId="58516383" w:rsidR="0085552F" w:rsidRDefault="0085552F" w:rsidP="00A40BD4">
      <w:pPr>
        <w:pStyle w:val="ListParagraph"/>
        <w:numPr>
          <w:ilvl w:val="0"/>
          <w:numId w:val="9"/>
        </w:numPr>
        <w:ind w:left="357" w:hanging="357"/>
      </w:pPr>
      <w:r w:rsidRPr="000513FE">
        <w:t xml:space="preserve">development of </w:t>
      </w:r>
      <w:r w:rsidR="00E0524D" w:rsidRPr="000513FE">
        <w:t xml:space="preserve">deeds, </w:t>
      </w:r>
      <w:r w:rsidRPr="000513FE">
        <w:t>guidelines</w:t>
      </w:r>
      <w:r w:rsidR="00C11EF5" w:rsidRPr="000513FE">
        <w:t xml:space="preserve">, </w:t>
      </w:r>
      <w:r w:rsidR="00067076" w:rsidRPr="000513FE">
        <w:t>information</w:t>
      </w:r>
      <w:r w:rsidRPr="000513FE">
        <w:t xml:space="preserve"> and </w:t>
      </w:r>
      <w:r w:rsidR="00940F47" w:rsidRPr="000513FE">
        <w:t xml:space="preserve">essential </w:t>
      </w:r>
      <w:r w:rsidRPr="000513FE">
        <w:t xml:space="preserve">training </w:t>
      </w:r>
      <w:r w:rsidR="00940F47" w:rsidRPr="000513FE">
        <w:t xml:space="preserve">modules </w:t>
      </w:r>
      <w:r w:rsidR="005978D1" w:rsidRPr="000513FE">
        <w:t>for</w:t>
      </w:r>
      <w:r w:rsidRPr="000513FE">
        <w:t xml:space="preserve"> providers </w:t>
      </w:r>
      <w:r w:rsidR="00940F47" w:rsidRPr="000513FE">
        <w:t>of the new</w:t>
      </w:r>
      <w:r w:rsidRPr="000513FE">
        <w:t xml:space="preserve"> service</w:t>
      </w:r>
      <w:r w:rsidR="00940F47" w:rsidRPr="000513FE">
        <w:t xml:space="preserve"> and their staff</w:t>
      </w:r>
    </w:p>
    <w:p w14:paraId="141DF0AD" w14:textId="1590BEAE" w:rsidR="00C977F1" w:rsidRPr="000513FE" w:rsidRDefault="00C977F1" w:rsidP="00C977F1">
      <w:pPr>
        <w:pStyle w:val="ListParagraph"/>
        <w:numPr>
          <w:ilvl w:val="0"/>
          <w:numId w:val="9"/>
        </w:numPr>
        <w:ind w:left="357" w:hanging="357"/>
      </w:pPr>
      <w:r w:rsidRPr="000513FE">
        <w:t xml:space="preserve">management of capacity building funding to support smaller and diverse organisations </w:t>
      </w:r>
      <w:r>
        <w:t>engaged to deliver the new service</w:t>
      </w:r>
    </w:p>
    <w:p w14:paraId="00194EA1" w14:textId="125DA0D1" w:rsidR="000A76C4" w:rsidRPr="000513FE" w:rsidRDefault="000A76C4" w:rsidP="00A40BD4">
      <w:pPr>
        <w:pStyle w:val="ListParagraph"/>
        <w:numPr>
          <w:ilvl w:val="0"/>
          <w:numId w:val="9"/>
        </w:numPr>
        <w:ind w:left="357" w:hanging="357"/>
      </w:pPr>
      <w:r w:rsidRPr="000513FE">
        <w:t>building I</w:t>
      </w:r>
      <w:r w:rsidR="008C6158" w:rsidRPr="000513FE">
        <w:t>C</w:t>
      </w:r>
      <w:r w:rsidRPr="000513FE">
        <w:t>T (</w:t>
      </w:r>
      <w:r w:rsidR="0060293E" w:rsidRPr="000513FE">
        <w:t>the department</w:t>
      </w:r>
      <w:r w:rsidRPr="000513FE">
        <w:t xml:space="preserve"> and Services Australia) to support </w:t>
      </w:r>
      <w:r w:rsidR="008C6158" w:rsidRPr="000513FE">
        <w:t xml:space="preserve">the operation of the </w:t>
      </w:r>
      <w:r w:rsidRPr="000513FE">
        <w:t>new service, including new data points for monitoring and reporting purpose</w:t>
      </w:r>
      <w:r w:rsidR="008D0FB1" w:rsidRPr="000513FE">
        <w:t>s</w:t>
      </w:r>
    </w:p>
    <w:p w14:paraId="74CFFDD0" w14:textId="42A76AD4" w:rsidR="005235ED" w:rsidRPr="000513FE" w:rsidRDefault="005235ED" w:rsidP="00A40BD4">
      <w:pPr>
        <w:pStyle w:val="ListParagraph"/>
        <w:numPr>
          <w:ilvl w:val="0"/>
          <w:numId w:val="9"/>
        </w:numPr>
        <w:ind w:left="357" w:hanging="357"/>
      </w:pPr>
      <w:r w:rsidRPr="000513FE">
        <w:t>continuity of pre-employment assistance to parents in ParentsNext and as they move to the new service</w:t>
      </w:r>
    </w:p>
    <w:p w14:paraId="33C16D0F" w14:textId="3E625BAB" w:rsidR="009670AC" w:rsidRPr="00BB5D65" w:rsidRDefault="002932BE" w:rsidP="00A40BD4">
      <w:pPr>
        <w:pStyle w:val="ListParagraph"/>
        <w:numPr>
          <w:ilvl w:val="0"/>
          <w:numId w:val="9"/>
        </w:numPr>
        <w:ind w:left="357" w:hanging="357"/>
        <w:rPr>
          <w:rFonts w:eastAsia="Arial" w:cs="Arial"/>
        </w:rPr>
      </w:pPr>
      <w:r w:rsidRPr="000513FE">
        <w:t xml:space="preserve">detailed transition arrangements for ParentsNext </w:t>
      </w:r>
      <w:r w:rsidR="00043990" w:rsidRPr="000513FE">
        <w:t>providers</w:t>
      </w:r>
      <w:r w:rsidR="00366E82" w:rsidRPr="000513FE">
        <w:t xml:space="preserve"> and participants</w:t>
      </w:r>
      <w:r w:rsidR="003572AD" w:rsidRPr="000513FE">
        <w:t xml:space="preserve"> designed to achieve</w:t>
      </w:r>
      <w:r w:rsidR="003572AD" w:rsidRPr="00BB5D65">
        <w:rPr>
          <w:rFonts w:eastAsia="Arial" w:cs="Arial"/>
        </w:rPr>
        <w:t xml:space="preserve"> a smooth transfer </w:t>
      </w:r>
      <w:r w:rsidR="009670AC" w:rsidRPr="00BB5D65">
        <w:rPr>
          <w:rFonts w:eastAsia="Arial" w:cs="Arial"/>
        </w:rPr>
        <w:t>to the new service</w:t>
      </w:r>
      <w:r w:rsidR="00942325" w:rsidRPr="00BB5D65">
        <w:rPr>
          <w:rFonts w:eastAsia="Arial" w:cs="Arial"/>
        </w:rPr>
        <w:t>.</w:t>
      </w:r>
    </w:p>
    <w:p w14:paraId="5B791AEE" w14:textId="5564407E" w:rsidR="00A21379" w:rsidRDefault="00A21379" w:rsidP="00E8120B">
      <w:r>
        <w:t xml:space="preserve">ParentsNext contracts will be extended in accordance with existing Deeds. </w:t>
      </w:r>
      <w:r w:rsidR="00280A85">
        <w:t xml:space="preserve">Should any providers wish to decline the extension, </w:t>
      </w:r>
      <w:r w:rsidR="00BA7962">
        <w:t xml:space="preserve">deed provisions and procurement arrangements </w:t>
      </w:r>
      <w:r w:rsidR="00A208EE">
        <w:t>will be used by the department where alternative servicing arrangements are required.</w:t>
      </w:r>
    </w:p>
    <w:p w14:paraId="42443C0B" w14:textId="2E38FE1B" w:rsidR="00E8120B" w:rsidRPr="00BB5D65" w:rsidRDefault="00AA61A8" w:rsidP="00E8120B">
      <w:r w:rsidRPr="00BB5D65">
        <w:t>I</w:t>
      </w:r>
      <w:r w:rsidR="005235ED" w:rsidRPr="00BB5D65">
        <w:t>C</w:t>
      </w:r>
      <w:r w:rsidRPr="00BB5D65">
        <w:t xml:space="preserve">T systems will </w:t>
      </w:r>
      <w:r w:rsidR="008357E2" w:rsidRPr="00BB5D65">
        <w:t xml:space="preserve">be developed or enhanced to </w:t>
      </w:r>
      <w:r w:rsidRPr="00BB5D65">
        <w:t xml:space="preserve">support the operation of the new </w:t>
      </w:r>
      <w:r w:rsidR="008357E2" w:rsidRPr="00BB5D65">
        <w:t xml:space="preserve">voluntary </w:t>
      </w:r>
      <w:r w:rsidRPr="00BB5D65">
        <w:t>service</w:t>
      </w:r>
      <w:r w:rsidR="008357E2" w:rsidRPr="00BB5D65">
        <w:t xml:space="preserve"> for parents and providers. </w:t>
      </w:r>
      <w:r w:rsidR="000165DE" w:rsidRPr="00BB5D65">
        <w:t xml:space="preserve">This could include referral and registration of participants, communication between participants and their mentors, keeping track of appointments and progress against planned goals, managing payments and </w:t>
      </w:r>
      <w:r w:rsidR="004D0E6A" w:rsidRPr="00BB5D65">
        <w:t>financial assistance</w:t>
      </w:r>
      <w:r w:rsidR="000165DE" w:rsidRPr="00BB5D65">
        <w:t xml:space="preserve"> and, where available, connections to other services and activities.</w:t>
      </w:r>
      <w:r w:rsidR="006E69E6" w:rsidRPr="00BB5D65">
        <w:t xml:space="preserve"> </w:t>
      </w:r>
      <w:r w:rsidR="00E8120B" w:rsidRPr="00BB5D65">
        <w:t>During implementation, the department will work with providers of the new service to build their I</w:t>
      </w:r>
      <w:r w:rsidR="00C76973" w:rsidRPr="00BB5D65">
        <w:t>C</w:t>
      </w:r>
      <w:r w:rsidR="00E8120B" w:rsidRPr="00BB5D65">
        <w:t>T capability, to alleviate risk and to ensure their systems meet the department</w:t>
      </w:r>
      <w:r w:rsidR="00E15C2D" w:rsidRPr="00BB5D65">
        <w:t>’</w:t>
      </w:r>
      <w:r w:rsidR="00E8120B" w:rsidRPr="00BB5D65">
        <w:t>s cyber security requirements.</w:t>
      </w:r>
    </w:p>
    <w:p w14:paraId="321A290E" w14:textId="24358D3E" w:rsidR="00E8120B" w:rsidRDefault="00E8120B" w:rsidP="00C87277">
      <w:r w:rsidRPr="00BB5D65">
        <w:lastRenderedPageBreak/>
        <w:t>The department will work closely with organisations</w:t>
      </w:r>
      <w:r w:rsidR="006E69E6" w:rsidRPr="00BB5D65">
        <w:t xml:space="preserve"> selected to deliver the new service as well as </w:t>
      </w:r>
      <w:r w:rsidR="009270E6" w:rsidRPr="00BB5D65">
        <w:t>Paren</w:t>
      </w:r>
      <w:r w:rsidR="005D440C" w:rsidRPr="00BB5D65">
        <w:t>ts</w:t>
      </w:r>
      <w:r w:rsidR="009270E6" w:rsidRPr="00BB5D65">
        <w:t xml:space="preserve">Next providers </w:t>
      </w:r>
      <w:r w:rsidRPr="00BB5D65">
        <w:t>and</w:t>
      </w:r>
      <w:r>
        <w:t xml:space="preserve"> regular updates will be published to inform stakeholders of the transition process.</w:t>
      </w:r>
    </w:p>
    <w:p w14:paraId="611CA351" w14:textId="77777777" w:rsidR="00770BED" w:rsidRPr="00CB5DB9" w:rsidRDefault="00C74F32" w:rsidP="00A40BD4">
      <w:pPr>
        <w:pStyle w:val="Heading1"/>
        <w:numPr>
          <w:ilvl w:val="0"/>
          <w:numId w:val="11"/>
        </w:numPr>
        <w:ind w:left="357" w:hanging="357"/>
        <w:rPr>
          <w:color w:val="auto"/>
        </w:rPr>
      </w:pPr>
      <w:bookmarkStart w:id="97" w:name="_Toc151123135"/>
      <w:bookmarkStart w:id="98" w:name="_Hlk145673119"/>
      <w:r w:rsidRPr="00CB5DB9">
        <w:rPr>
          <w:color w:val="auto"/>
        </w:rPr>
        <w:t>Evaluation and monitoring</w:t>
      </w:r>
      <w:bookmarkEnd w:id="97"/>
      <w:r w:rsidR="003B672E" w:rsidRPr="00CB5DB9">
        <w:rPr>
          <w:color w:val="auto"/>
        </w:rPr>
        <w:t xml:space="preserve"> </w:t>
      </w:r>
    </w:p>
    <w:p w14:paraId="1E59D4B3" w14:textId="2BBA2ECB" w:rsidR="00A33FC1" w:rsidRPr="0088044D" w:rsidRDefault="00A33FC1" w:rsidP="00840978">
      <w:bookmarkStart w:id="99" w:name="_Hlk145674493"/>
      <w:bookmarkEnd w:id="98"/>
      <w:r w:rsidRPr="0088044D">
        <w:t>There will be a comprehensive performance framework that measures the overall success of the pre-employment service as well as driving the performance of organisations delivering support to parents, including APS delivered services where applicable. Central to this will be ensuring that parents receive a quality service that is locally relevant, draws on their strengths, meets their needs, values their care role, and supports them to identify and progress towards their education and employment goals when they are ready to do so.</w:t>
      </w:r>
    </w:p>
    <w:p w14:paraId="25F01722" w14:textId="20A1EB2E" w:rsidR="006101AC" w:rsidRPr="0088044D" w:rsidRDefault="006101AC" w:rsidP="006101AC">
      <w:r w:rsidRPr="0088044D">
        <w:t>Detailed efficiency, effectiveness, equity and quality performance indicators will be developed which align with the objectives of the new service. Delivery organisations will</w:t>
      </w:r>
      <w:r w:rsidR="007C0CCA">
        <w:t xml:space="preserve"> be</w:t>
      </w:r>
      <w:r w:rsidRPr="0088044D">
        <w:t xml:space="preserve"> assessed by the department against these indicators through a range of performance monitoring and assurance activities. The performance framework will be subject to regular review.</w:t>
      </w:r>
    </w:p>
    <w:p w14:paraId="342BABE1" w14:textId="00BEF863" w:rsidR="001B06A7" w:rsidRDefault="00975281" w:rsidP="0088044D">
      <w:bookmarkStart w:id="100" w:name="_Hlk148349613"/>
      <w:r>
        <w:t xml:space="preserve">A </w:t>
      </w:r>
      <w:r w:rsidRPr="0088044D">
        <w:t xml:space="preserve">range of methodologies </w:t>
      </w:r>
      <w:r>
        <w:t xml:space="preserve">will be used for the </w:t>
      </w:r>
      <w:r w:rsidR="001B06A7" w:rsidRPr="0088044D">
        <w:t xml:space="preserve">ongoing evaluation </w:t>
      </w:r>
      <w:r>
        <w:t>of the</w:t>
      </w:r>
      <w:r w:rsidR="008A3053">
        <w:t xml:space="preserve"> new</w:t>
      </w:r>
      <w:r>
        <w:t xml:space="preserve"> service </w:t>
      </w:r>
      <w:r w:rsidR="001B06A7" w:rsidRPr="0088044D">
        <w:t>against its underpinning principles and objectives as well as key elements of the service offer. Evaluation activity will include participant and service provider surveys, quantitative analysis of administrative data and analysis of qualitative information including feedback from participant and service provider interviews. Parents will be contacted to gauge its impact on those who have participated in the voluntary service as well as drawing out why eligible parents may not have taken part.</w:t>
      </w:r>
    </w:p>
    <w:bookmarkEnd w:id="100"/>
    <w:p w14:paraId="1363C09D" w14:textId="7EC7F77C" w:rsidR="009003EB" w:rsidRDefault="006C4411" w:rsidP="003A289D">
      <w:r w:rsidRPr="00551A18">
        <w:t xml:space="preserve">The research will provide ideas for improvement on an iterative basis. Mixed-methods and quasi-experimental design will be employed. </w:t>
      </w:r>
      <w:bookmarkStart w:id="101" w:name="_Hlk148350088"/>
      <w:r w:rsidRPr="00551A18">
        <w:t>An impact analysis, aimed at quantifying the effect of the program on participant outcomes such as increased human capability, participation in education and training and progress towards employment, will compare participants with non-participants with similar characteristics to assess any difference in engagement in education or employment over this time. The evaluation will maximise analytical opportunities, utilising comparative and regression techniques wherever feasible, to estimate the program effect for these participant groups.</w:t>
      </w:r>
    </w:p>
    <w:p w14:paraId="504827C8" w14:textId="26F21487" w:rsidR="006C4411" w:rsidRPr="00551A18" w:rsidRDefault="006C4411" w:rsidP="00551A18">
      <w:r w:rsidRPr="00551A18">
        <w:t>Given the differences in participant characteristics and their resultant outcomes, several different outcome measures will be explored. While an educational attainment and participation in employment may not occur in the short term, an attempt will be made to follow participants’ progress for as long as possible. Proxy measures such as income support status, education subsidy payments, Pensioner Education Supplement, childcare uptake and earnings will be explored to assess whether the policy objectives are being met.</w:t>
      </w:r>
    </w:p>
    <w:p w14:paraId="3E22C09D" w14:textId="586E3D97" w:rsidR="00617D3B" w:rsidRDefault="006C4411" w:rsidP="00A36C50">
      <w:r w:rsidRPr="00551A18">
        <w:t>Analysis of administrative data supplemented by impact analyses, qualitative and quantitative fieldwork will be undertaken by equity cohorts (</w:t>
      </w:r>
      <w:r w:rsidR="00C00CA0">
        <w:t>including s</w:t>
      </w:r>
      <w:r w:rsidRPr="00551A18">
        <w:t>ingle parents</w:t>
      </w:r>
      <w:r w:rsidR="00C00CA0">
        <w:t>,</w:t>
      </w:r>
      <w:r w:rsidRPr="00551A18">
        <w:t xml:space="preserve"> women, </w:t>
      </w:r>
      <w:r w:rsidR="00C00CA0">
        <w:t>First Nations parents</w:t>
      </w:r>
      <w:r w:rsidRPr="00551A18">
        <w:t xml:space="preserve">, parents with a disability or a child with a disability, </w:t>
      </w:r>
      <w:r w:rsidR="00C00CA0">
        <w:t>parents from culturally and linguistically diverse backgrounds</w:t>
      </w:r>
      <w:r w:rsidRPr="00551A18">
        <w:t>, refugees and those who are homeless). Achieving the indicators of success for these groups will be, in part, a reflection of the appropriateness of</w:t>
      </w:r>
      <w:r w:rsidR="00C00CA0">
        <w:t xml:space="preserve"> and </w:t>
      </w:r>
      <w:r w:rsidRPr="00551A18">
        <w:t>satisfaction with the diverse local and community-based organisations selected to deliver the program and the degree to which the flexibility of the program enables the needs of the most vulnerable groups to be met.</w:t>
      </w:r>
    </w:p>
    <w:bookmarkEnd w:id="101"/>
    <w:p w14:paraId="5F12623C" w14:textId="4BE7582A" w:rsidR="00777190" w:rsidRPr="0088044D" w:rsidRDefault="00777190" w:rsidP="008F71EF">
      <w:r w:rsidRPr="0088044D">
        <w:lastRenderedPageBreak/>
        <w:t xml:space="preserve">The </w:t>
      </w:r>
      <w:r w:rsidR="00FC2ACD">
        <w:t xml:space="preserve">pilot </w:t>
      </w:r>
      <w:r w:rsidRPr="0088044D">
        <w:t>of APS delivery will be evaluated in parallel with evaluation of the service overall.</w:t>
      </w:r>
    </w:p>
    <w:p w14:paraId="69AAAB47" w14:textId="0971BE75" w:rsidR="009C721D" w:rsidRPr="0088044D" w:rsidRDefault="0080710A" w:rsidP="009C721D">
      <w:r w:rsidRPr="0088044D">
        <w:t xml:space="preserve">Evaluation and </w:t>
      </w:r>
      <w:r w:rsidR="00932716" w:rsidRPr="0088044D">
        <w:t xml:space="preserve">monitoring </w:t>
      </w:r>
      <w:r w:rsidRPr="0088044D">
        <w:t>outcomes</w:t>
      </w:r>
      <w:r w:rsidR="00932716" w:rsidRPr="0088044D">
        <w:t xml:space="preserve"> will </w:t>
      </w:r>
      <w:r w:rsidRPr="0088044D">
        <w:t xml:space="preserve">identify successes and </w:t>
      </w:r>
      <w:r w:rsidR="00CE7247" w:rsidRPr="0088044D">
        <w:t>opportunities</w:t>
      </w:r>
      <w:r w:rsidRPr="0088044D">
        <w:t xml:space="preserve"> for </w:t>
      </w:r>
      <w:r w:rsidR="00CE7247" w:rsidRPr="0088044D">
        <w:t>improvement, and inform</w:t>
      </w:r>
      <w:r w:rsidR="00932716" w:rsidRPr="0088044D">
        <w:t xml:space="preserve"> future enhancements or alterations to the pre-employment service to ensure that </w:t>
      </w:r>
      <w:r w:rsidR="0021156C" w:rsidRPr="0088044D">
        <w:t xml:space="preserve">it </w:t>
      </w:r>
      <w:r w:rsidR="009D0B4F" w:rsidRPr="0088044D">
        <w:t xml:space="preserve">fulfils </w:t>
      </w:r>
      <w:r w:rsidR="0021156C" w:rsidRPr="0088044D">
        <w:t xml:space="preserve">its objectives and </w:t>
      </w:r>
      <w:r w:rsidR="00074A5A" w:rsidRPr="0088044D">
        <w:t xml:space="preserve">unlocks </w:t>
      </w:r>
      <w:r w:rsidR="00A71A3B" w:rsidRPr="0088044D">
        <w:t xml:space="preserve">parents’ potential </w:t>
      </w:r>
      <w:r w:rsidR="0021156C" w:rsidRPr="0088044D">
        <w:t xml:space="preserve">in </w:t>
      </w:r>
      <w:r w:rsidR="00777190" w:rsidRPr="0088044D">
        <w:t>preparing</w:t>
      </w:r>
      <w:r w:rsidR="0021156C" w:rsidRPr="0088044D">
        <w:t xml:space="preserve"> </w:t>
      </w:r>
      <w:r w:rsidR="00A71A3B" w:rsidRPr="0088044D">
        <w:t xml:space="preserve">them </w:t>
      </w:r>
      <w:r w:rsidR="00777190" w:rsidRPr="0088044D">
        <w:t>for</w:t>
      </w:r>
      <w:r w:rsidR="0021156C" w:rsidRPr="0088044D">
        <w:t xml:space="preserve"> the workforce as their children start school.</w:t>
      </w:r>
      <w:bookmarkEnd w:id="99"/>
    </w:p>
    <w:p w14:paraId="71D8FA38" w14:textId="15F4C15C" w:rsidR="008F71EF" w:rsidRDefault="008F71EF" w:rsidP="00621009">
      <w:pPr>
        <w:tabs>
          <w:tab w:val="left" w:pos="6635"/>
        </w:tabs>
      </w:pPr>
      <w:r>
        <w:br w:type="page"/>
      </w:r>
    </w:p>
    <w:p w14:paraId="5A1AA960" w14:textId="77777777" w:rsidR="003A728D" w:rsidRPr="003A728D" w:rsidRDefault="00887822" w:rsidP="00887822">
      <w:pPr>
        <w:pStyle w:val="Heading1"/>
      </w:pPr>
      <w:bookmarkStart w:id="102" w:name="_Toc151123136"/>
      <w:r w:rsidRPr="003A728D">
        <w:lastRenderedPageBreak/>
        <w:t>Appendix A</w:t>
      </w:r>
      <w:r w:rsidR="00FE6225" w:rsidRPr="003A728D">
        <w:t xml:space="preserve"> – </w:t>
      </w:r>
      <w:bookmarkStart w:id="103" w:name="_Toc70684347"/>
      <w:r w:rsidR="003B2AEF" w:rsidRPr="003A728D">
        <w:t>Regulatory burden estimates – costing assumptions</w:t>
      </w:r>
      <w:bookmarkEnd w:id="102"/>
      <w:bookmarkEnd w:id="103"/>
    </w:p>
    <w:p w14:paraId="621EEF3C" w14:textId="77777777" w:rsidR="00FE6225" w:rsidRDefault="00FE6225" w:rsidP="00FE6225">
      <w:pPr>
        <w:pStyle w:val="Heading3"/>
      </w:pPr>
      <w:bookmarkStart w:id="104" w:name="_Toc70684348"/>
      <w:bookmarkStart w:id="105" w:name="_Toc70684533"/>
      <w:bookmarkStart w:id="106" w:name="_Toc70937644"/>
      <w:bookmarkStart w:id="107" w:name="_Toc71029085"/>
      <w:bookmarkStart w:id="108" w:name="_Toc71214228"/>
      <w:bookmarkStart w:id="109" w:name="_Toc151123137"/>
      <w:r>
        <w:t>Methodology</w:t>
      </w:r>
      <w:bookmarkEnd w:id="104"/>
      <w:bookmarkEnd w:id="105"/>
      <w:bookmarkEnd w:id="106"/>
      <w:bookmarkEnd w:id="107"/>
      <w:bookmarkEnd w:id="108"/>
      <w:bookmarkEnd w:id="109"/>
    </w:p>
    <w:p w14:paraId="7573EECD" w14:textId="0CF42FA4" w:rsidR="007A4A7D" w:rsidRDefault="00FE6225" w:rsidP="00FE6225">
      <w:r w:rsidRPr="00A54102">
        <w:t>Regulatory burden is an average measure of the cost of regulation.</w:t>
      </w:r>
      <w:r w:rsidR="007A4A7D" w:rsidRPr="00A54102">
        <w:t xml:space="preserve"> For Options 2 and 3 in this Impact Analysis, regulatory costs have been estimated separately for the </w:t>
      </w:r>
      <w:r w:rsidR="002F0F76">
        <w:t>4</w:t>
      </w:r>
      <w:r w:rsidR="002F0F76" w:rsidRPr="00A54102">
        <w:t xml:space="preserve"> </w:t>
      </w:r>
      <w:r w:rsidR="007A4A7D" w:rsidRPr="00A54102">
        <w:t xml:space="preserve">months extension for ParentsNext and </w:t>
      </w:r>
      <w:r w:rsidR="00BF3B4B">
        <w:t xml:space="preserve">for </w:t>
      </w:r>
      <w:r w:rsidR="007A4A7D" w:rsidRPr="00A54102">
        <w:t>the new service</w:t>
      </w:r>
      <w:r w:rsidR="00611724" w:rsidRPr="00A54102">
        <w:t>.</w:t>
      </w:r>
    </w:p>
    <w:p w14:paraId="7BFAC44D" w14:textId="3914FE7E" w:rsidR="00775DFA" w:rsidRDefault="00FE6225" w:rsidP="00FE6225">
      <w:r>
        <w:t>The regulatory costs in</w:t>
      </w:r>
      <w:r w:rsidR="007306AE">
        <w:t xml:space="preserve"> this</w:t>
      </w:r>
      <w:r>
        <w:t xml:space="preserve"> </w:t>
      </w:r>
      <w:r w:rsidR="00561853">
        <w:t>Impact Analysis</w:t>
      </w:r>
      <w:r>
        <w:t xml:space="preserve"> have been calculated </w:t>
      </w:r>
      <w:r w:rsidR="00DE5C95">
        <w:t xml:space="preserve">using a similar costing </w:t>
      </w:r>
      <w:r w:rsidR="00775DFA">
        <w:t>model</w:t>
      </w:r>
      <w:r w:rsidR="00DE5C95">
        <w:t xml:space="preserve"> to </w:t>
      </w:r>
      <w:r w:rsidR="005162AA">
        <w:t xml:space="preserve">the </w:t>
      </w:r>
      <w:r w:rsidR="00775DFA">
        <w:t>New Employment Services Model Regulatory Impact Statement</w:t>
      </w:r>
      <w:r w:rsidR="005162AA">
        <w:t xml:space="preserve"> for relevant </w:t>
      </w:r>
      <w:r w:rsidR="00E73C24">
        <w:t>activities.</w:t>
      </w:r>
      <w:r w:rsidR="007E1AAD">
        <w:rPr>
          <w:rStyle w:val="FootnoteReference"/>
        </w:rPr>
        <w:footnoteReference w:id="42"/>
      </w:r>
      <w:r w:rsidR="00E73C24">
        <w:t xml:space="preserve"> The model is based on the following components:</w:t>
      </w:r>
    </w:p>
    <w:p w14:paraId="4D228045" w14:textId="16C8C158" w:rsidR="00AB168A" w:rsidRDefault="00FE6225" w:rsidP="00FE6225">
      <w:r>
        <w:rPr>
          <w:b/>
          <w:bCs/>
        </w:rPr>
        <w:t>Regulatory activities</w:t>
      </w:r>
      <w:r>
        <w:t xml:space="preserve">: </w:t>
      </w:r>
      <w:r w:rsidR="000945F8">
        <w:t xml:space="preserve">Requirements for providers are set out in the </w:t>
      </w:r>
      <w:r w:rsidR="006D5D67">
        <w:t>ParentsNext Deed 2018</w:t>
      </w:r>
      <w:r w:rsidR="00750202">
        <w:t>–</w:t>
      </w:r>
      <w:r w:rsidR="00E13B0C">
        <w:t>2024</w:t>
      </w:r>
      <w:r w:rsidR="006D5D67">
        <w:t xml:space="preserve"> for the current program and will be included in the </w:t>
      </w:r>
      <w:r w:rsidR="005D4389">
        <w:t xml:space="preserve">deed </w:t>
      </w:r>
      <w:r w:rsidR="000945F8">
        <w:t>for the new service</w:t>
      </w:r>
      <w:r w:rsidR="006D5D67">
        <w:t>.</w:t>
      </w:r>
      <w:r>
        <w:t xml:space="preserve"> </w:t>
      </w:r>
      <w:r w:rsidR="006D5D67">
        <w:t>These are supplemented by p</w:t>
      </w:r>
      <w:r>
        <w:t>olicy guides</w:t>
      </w:r>
      <w:r w:rsidR="00561853">
        <w:t xml:space="preserve"> </w:t>
      </w:r>
      <w:r>
        <w:t xml:space="preserve">to detail operational requirements. </w:t>
      </w:r>
      <w:r w:rsidR="007306AE">
        <w:t xml:space="preserve">Service delivery is supported by ICT. </w:t>
      </w:r>
    </w:p>
    <w:p w14:paraId="16D96647" w14:textId="1DCFEF78" w:rsidR="007306AE" w:rsidRDefault="00FE6225" w:rsidP="00FE6225">
      <w:r>
        <w:t xml:space="preserve">Not all contractual requirements count as regulatory burden. </w:t>
      </w:r>
      <w:r w:rsidR="004A34F2">
        <w:t xml:space="preserve">For the </w:t>
      </w:r>
      <w:r w:rsidR="000D2E8A">
        <w:t xml:space="preserve">purposes of calculating Regulatory </w:t>
      </w:r>
      <w:r w:rsidR="00467152">
        <w:t>Burden</w:t>
      </w:r>
      <w:r w:rsidR="000D2E8A">
        <w:t xml:space="preserve"> </w:t>
      </w:r>
      <w:r w:rsidR="00467152">
        <w:t>Estimates</w:t>
      </w:r>
      <w:r w:rsidR="00870805">
        <w:t xml:space="preserve">, </w:t>
      </w:r>
      <w:r w:rsidR="00467152">
        <w:t>those</w:t>
      </w:r>
      <w:r w:rsidR="000D2E8A">
        <w:t xml:space="preserve"> ta</w:t>
      </w:r>
      <w:r w:rsidR="00467152">
        <w:t>s</w:t>
      </w:r>
      <w:r w:rsidR="000D2E8A">
        <w:t xml:space="preserve">ks that are undertaken </w:t>
      </w:r>
      <w:r w:rsidR="005561A9">
        <w:t xml:space="preserve">to demonstrate a </w:t>
      </w:r>
      <w:r w:rsidR="00467152">
        <w:t>provider</w:t>
      </w:r>
      <w:r w:rsidR="005561A9">
        <w:t xml:space="preserve"> has fulfilled their contractual obligations </w:t>
      </w:r>
      <w:r w:rsidR="00870805">
        <w:t>are counted (such as reporting and record keeping)</w:t>
      </w:r>
      <w:r w:rsidR="008D6753">
        <w:t>.</w:t>
      </w:r>
    </w:p>
    <w:p w14:paraId="0B51B89C" w14:textId="6967B3BA" w:rsidR="00FE6225" w:rsidRDefault="00FE6225" w:rsidP="00FE6225">
      <w:pPr>
        <w:spacing w:after="120" w:line="240" w:lineRule="auto"/>
      </w:pPr>
      <w:r>
        <w:t xml:space="preserve">Regulatory requirements for </w:t>
      </w:r>
      <w:r w:rsidR="0068775B">
        <w:t xml:space="preserve">pre-employment </w:t>
      </w:r>
      <w:r>
        <w:t>service</w:t>
      </w:r>
      <w:r w:rsidR="00AB168A">
        <w:t>s</w:t>
      </w:r>
      <w:r>
        <w:t xml:space="preserve"> fall under the following broad categories: </w:t>
      </w:r>
    </w:p>
    <w:p w14:paraId="18DC2CAF" w14:textId="172F8279" w:rsidR="00FF2628" w:rsidRPr="00604283" w:rsidRDefault="00FF2628" w:rsidP="00A40BD4">
      <w:pPr>
        <w:pStyle w:val="ListParagraph"/>
        <w:numPr>
          <w:ilvl w:val="0"/>
          <w:numId w:val="9"/>
        </w:numPr>
        <w:ind w:left="357" w:hanging="357"/>
        <w:rPr>
          <w:b/>
          <w:bCs/>
        </w:rPr>
      </w:pPr>
      <w:r w:rsidRPr="00604283">
        <w:rPr>
          <w:b/>
          <w:bCs/>
        </w:rPr>
        <w:t>For the new service and the extension of ParentsNext</w:t>
      </w:r>
    </w:p>
    <w:p w14:paraId="180E6065" w14:textId="18504BED" w:rsidR="00FF2628" w:rsidRDefault="00FF2628" w:rsidP="00A40BD4">
      <w:pPr>
        <w:pStyle w:val="ListParagraph"/>
        <w:numPr>
          <w:ilvl w:val="1"/>
          <w:numId w:val="9"/>
        </w:numPr>
      </w:pPr>
      <w:r>
        <w:t>registration and assessment</w:t>
      </w:r>
    </w:p>
    <w:p w14:paraId="78A4BC24" w14:textId="4D6F8941" w:rsidR="00FF2628" w:rsidRDefault="00FF2628" w:rsidP="00A40BD4">
      <w:pPr>
        <w:pStyle w:val="ListParagraph"/>
        <w:numPr>
          <w:ilvl w:val="1"/>
          <w:numId w:val="9"/>
        </w:numPr>
      </w:pPr>
      <w:r>
        <w:t>appointments</w:t>
      </w:r>
    </w:p>
    <w:p w14:paraId="022BF5A1" w14:textId="63A26B97" w:rsidR="00FF2628" w:rsidRDefault="00FF2628" w:rsidP="00A40BD4">
      <w:pPr>
        <w:pStyle w:val="ListParagraph"/>
        <w:numPr>
          <w:ilvl w:val="1"/>
          <w:numId w:val="9"/>
        </w:numPr>
      </w:pPr>
      <w:r>
        <w:t>services</w:t>
      </w:r>
    </w:p>
    <w:p w14:paraId="55022D63" w14:textId="5BD33257" w:rsidR="00FF2628" w:rsidRDefault="00FF2628" w:rsidP="00A40BD4">
      <w:pPr>
        <w:pStyle w:val="ListParagraph"/>
        <w:numPr>
          <w:ilvl w:val="1"/>
          <w:numId w:val="9"/>
        </w:numPr>
      </w:pPr>
      <w:r>
        <w:t>activities including complementary programs</w:t>
      </w:r>
    </w:p>
    <w:p w14:paraId="036523CA" w14:textId="19839505" w:rsidR="00FF2628" w:rsidRDefault="00FF2628" w:rsidP="00A40BD4">
      <w:pPr>
        <w:pStyle w:val="ListParagraph"/>
        <w:numPr>
          <w:ilvl w:val="1"/>
          <w:numId w:val="9"/>
        </w:numPr>
      </w:pPr>
      <w:r>
        <w:t>financial assistance, including wage subsidies and relocation assistance</w:t>
      </w:r>
    </w:p>
    <w:p w14:paraId="104A4E53" w14:textId="179A1D27" w:rsidR="00FF2628" w:rsidRDefault="00FF2628" w:rsidP="00A40BD4">
      <w:pPr>
        <w:pStyle w:val="ListParagraph"/>
        <w:numPr>
          <w:ilvl w:val="1"/>
          <w:numId w:val="9"/>
        </w:numPr>
      </w:pPr>
      <w:r>
        <w:t>contract management</w:t>
      </w:r>
    </w:p>
    <w:p w14:paraId="1B1E5F5B" w14:textId="75C3A36E" w:rsidR="00FF2628" w:rsidRDefault="00FF2628" w:rsidP="00A40BD4">
      <w:pPr>
        <w:pStyle w:val="ListParagraph"/>
        <w:numPr>
          <w:ilvl w:val="1"/>
          <w:numId w:val="9"/>
        </w:numPr>
      </w:pPr>
      <w:r>
        <w:t>training</w:t>
      </w:r>
    </w:p>
    <w:p w14:paraId="2F2BA556" w14:textId="518726BE" w:rsidR="00FF2628" w:rsidRDefault="00FF2628" w:rsidP="00A40BD4">
      <w:pPr>
        <w:pStyle w:val="ListParagraph"/>
        <w:numPr>
          <w:ilvl w:val="1"/>
          <w:numId w:val="9"/>
        </w:numPr>
      </w:pPr>
      <w:r>
        <w:t>deeds and guidelines updates</w:t>
      </w:r>
    </w:p>
    <w:p w14:paraId="287FEC65" w14:textId="423ACAB2" w:rsidR="00FF2628" w:rsidRPr="00604283" w:rsidRDefault="00FF2628" w:rsidP="00A40BD4">
      <w:pPr>
        <w:pStyle w:val="ListParagraph"/>
        <w:numPr>
          <w:ilvl w:val="0"/>
          <w:numId w:val="9"/>
        </w:numPr>
        <w:ind w:left="357" w:hanging="357"/>
        <w:rPr>
          <w:b/>
          <w:bCs/>
        </w:rPr>
      </w:pPr>
      <w:r w:rsidRPr="00604283">
        <w:rPr>
          <w:b/>
          <w:bCs/>
        </w:rPr>
        <w:t>For the new service only</w:t>
      </w:r>
    </w:p>
    <w:p w14:paraId="36E44F3A" w14:textId="371CC61B" w:rsidR="00FF2628" w:rsidRPr="00604283" w:rsidRDefault="00FF2628" w:rsidP="00A40BD4">
      <w:pPr>
        <w:pStyle w:val="ListParagraph"/>
        <w:numPr>
          <w:ilvl w:val="1"/>
          <w:numId w:val="9"/>
        </w:numPr>
      </w:pPr>
      <w:r>
        <w:t>recording goal plans</w:t>
      </w:r>
    </w:p>
    <w:p w14:paraId="1700A812" w14:textId="22C22253" w:rsidR="00FF2628" w:rsidRPr="00604283" w:rsidRDefault="00FF2628" w:rsidP="00A40BD4">
      <w:pPr>
        <w:pStyle w:val="ListParagraph"/>
        <w:numPr>
          <w:ilvl w:val="1"/>
          <w:numId w:val="9"/>
        </w:numPr>
      </w:pPr>
      <w:r>
        <w:t>outreach and engagement funding</w:t>
      </w:r>
    </w:p>
    <w:p w14:paraId="067296D1" w14:textId="016D38FE" w:rsidR="00FF2628" w:rsidRPr="00604283" w:rsidRDefault="00307061" w:rsidP="00A40BD4">
      <w:pPr>
        <w:pStyle w:val="ListParagraph"/>
        <w:numPr>
          <w:ilvl w:val="0"/>
          <w:numId w:val="9"/>
        </w:numPr>
        <w:ind w:left="357" w:hanging="357"/>
        <w:rPr>
          <w:b/>
          <w:bCs/>
        </w:rPr>
      </w:pPr>
      <w:r w:rsidRPr="00604283">
        <w:rPr>
          <w:b/>
          <w:bCs/>
        </w:rPr>
        <w:t>For ParentsNext only</w:t>
      </w:r>
    </w:p>
    <w:p w14:paraId="251827E2" w14:textId="0A80D449" w:rsidR="00FF2628" w:rsidRDefault="00307061" w:rsidP="00A40BD4">
      <w:pPr>
        <w:pStyle w:val="ListParagraph"/>
        <w:numPr>
          <w:ilvl w:val="1"/>
          <w:numId w:val="9"/>
        </w:numPr>
      </w:pPr>
      <w:r>
        <w:t>recording participation plans</w:t>
      </w:r>
    </w:p>
    <w:p w14:paraId="28E6BBBF" w14:textId="0C40EC70" w:rsidR="00307061" w:rsidRDefault="00307061" w:rsidP="00A40BD4">
      <w:pPr>
        <w:pStyle w:val="ListParagraph"/>
        <w:numPr>
          <w:ilvl w:val="1"/>
          <w:numId w:val="9"/>
        </w:numPr>
      </w:pPr>
      <w:r>
        <w:t>outcome payments</w:t>
      </w:r>
      <w:r w:rsidR="001B66F7">
        <w:t>.</w:t>
      </w:r>
    </w:p>
    <w:p w14:paraId="41B075C1" w14:textId="4590223B" w:rsidR="00FE6225" w:rsidRDefault="00FE6225" w:rsidP="00BA039D">
      <w:pPr>
        <w:keepNext/>
        <w:keepLines/>
      </w:pPr>
      <w:r>
        <w:rPr>
          <w:b/>
          <w:bCs/>
        </w:rPr>
        <w:lastRenderedPageBreak/>
        <w:t>Transactions</w:t>
      </w:r>
      <w:r>
        <w:t xml:space="preserve">: The number of times a regulated entity (provider, employer or </w:t>
      </w:r>
      <w:r w:rsidR="00CB3A7F">
        <w:t>parent</w:t>
      </w:r>
      <w:r>
        <w:t xml:space="preserve">) is required to perform a particular task in a year is captured by transactions. Departmental administrative data is the primary source of information on transactions. Assumptions have been made where appropriate administrative </w:t>
      </w:r>
      <w:r w:rsidR="003A0AFB">
        <w:t xml:space="preserve">or </w:t>
      </w:r>
      <w:r w:rsidR="006F26E6">
        <w:t xml:space="preserve">program management </w:t>
      </w:r>
      <w:r>
        <w:t>data is not available.</w:t>
      </w:r>
    </w:p>
    <w:p w14:paraId="29A25650" w14:textId="65CCAEDF" w:rsidR="00FE6225" w:rsidRDefault="00FE6225" w:rsidP="00FE6225">
      <w:r>
        <w:rPr>
          <w:b/>
          <w:bCs/>
        </w:rPr>
        <w:t>Time taken</w:t>
      </w:r>
      <w:r>
        <w:t>: This is the estimate of the average time it takes (in hours) to complete a particular task.</w:t>
      </w:r>
    </w:p>
    <w:p w14:paraId="53D615CD" w14:textId="785D9D77" w:rsidR="00FE6225" w:rsidRDefault="00FE6225" w:rsidP="00FE6225">
      <w:r>
        <w:rPr>
          <w:b/>
          <w:bCs/>
        </w:rPr>
        <w:t>Value of time</w:t>
      </w:r>
      <w:r>
        <w:t>: This is the dollar value assigned to time taken to do a particular task.</w:t>
      </w:r>
    </w:p>
    <w:p w14:paraId="570F3209" w14:textId="77777777" w:rsidR="00FE6225" w:rsidRDefault="00FE6225" w:rsidP="00FE6225">
      <w:r>
        <w:t>Regulatory burden is the product of transactions, time taken and value of time.</w:t>
      </w:r>
    </w:p>
    <w:p w14:paraId="7CFF77EE" w14:textId="77777777" w:rsidR="00FE6225" w:rsidRDefault="00FE6225" w:rsidP="00FE6225">
      <w:pPr>
        <w:pStyle w:val="Heading3"/>
      </w:pPr>
      <w:bookmarkStart w:id="110" w:name="_Toc70684349"/>
      <w:bookmarkStart w:id="111" w:name="_Toc70684534"/>
      <w:bookmarkStart w:id="112" w:name="_Toc70937645"/>
      <w:bookmarkStart w:id="113" w:name="_Toc71029086"/>
      <w:bookmarkStart w:id="114" w:name="_Toc71214229"/>
      <w:bookmarkStart w:id="115" w:name="_Toc151123138"/>
      <w:r>
        <w:t>Activities</w:t>
      </w:r>
      <w:bookmarkEnd w:id="110"/>
      <w:bookmarkEnd w:id="111"/>
      <w:bookmarkEnd w:id="112"/>
      <w:bookmarkEnd w:id="113"/>
      <w:bookmarkEnd w:id="114"/>
      <w:bookmarkEnd w:id="115"/>
    </w:p>
    <w:p w14:paraId="6FA8DE8B" w14:textId="77777777" w:rsidR="00FE6225" w:rsidRDefault="00FE6225" w:rsidP="00FE6225">
      <w:r>
        <w:t>A summary of the types of activities generating regulatory burden in each policy option is set out below.</w:t>
      </w:r>
    </w:p>
    <w:p w14:paraId="3C6E68B7" w14:textId="1E1CD72C" w:rsidR="00FE6225" w:rsidRPr="00F66811" w:rsidRDefault="00FE6225" w:rsidP="00FE6225">
      <w:r>
        <w:rPr>
          <w:b/>
          <w:bCs/>
        </w:rPr>
        <w:t xml:space="preserve">Option 1: </w:t>
      </w:r>
      <w:r w:rsidR="00E32A1A">
        <w:rPr>
          <w:b/>
          <w:bCs/>
        </w:rPr>
        <w:t>no</w:t>
      </w:r>
      <w:r w:rsidR="00D65366">
        <w:rPr>
          <w:b/>
          <w:bCs/>
        </w:rPr>
        <w:t xml:space="preserve"> pre-</w:t>
      </w:r>
      <w:r w:rsidR="000038DB">
        <w:rPr>
          <w:b/>
          <w:bCs/>
        </w:rPr>
        <w:t>employment</w:t>
      </w:r>
      <w:r w:rsidR="00D65366">
        <w:rPr>
          <w:b/>
          <w:bCs/>
        </w:rPr>
        <w:t xml:space="preserve"> </w:t>
      </w:r>
      <w:r w:rsidR="000038DB">
        <w:rPr>
          <w:b/>
          <w:bCs/>
        </w:rPr>
        <w:t>services</w:t>
      </w:r>
      <w:r w:rsidR="00D65366">
        <w:rPr>
          <w:b/>
          <w:bCs/>
        </w:rPr>
        <w:t xml:space="preserve"> for parents</w:t>
      </w:r>
      <w:r>
        <w:rPr>
          <w:b/>
          <w:bCs/>
        </w:rPr>
        <w:t>:</w:t>
      </w:r>
      <w:r w:rsidR="00FD298A">
        <w:rPr>
          <w:b/>
          <w:bCs/>
        </w:rPr>
        <w:t xml:space="preserve"> </w:t>
      </w:r>
      <w:r w:rsidR="0067045D" w:rsidRPr="00514D29">
        <w:t>Under</w:t>
      </w:r>
      <w:r w:rsidR="00A67355" w:rsidRPr="00514D29">
        <w:t xml:space="preserve"> this option, the </w:t>
      </w:r>
      <w:r w:rsidR="00F66811" w:rsidRPr="00F66811">
        <w:t>existing</w:t>
      </w:r>
      <w:r w:rsidR="00A67355" w:rsidRPr="00514D29">
        <w:t xml:space="preserve"> Parents</w:t>
      </w:r>
      <w:r w:rsidR="00F66811">
        <w:t>N</w:t>
      </w:r>
      <w:r w:rsidR="00A67355" w:rsidRPr="00514D29">
        <w:t>ext program</w:t>
      </w:r>
      <w:r w:rsidR="0067045D" w:rsidRPr="00514D29">
        <w:t xml:space="preserve"> will not be replaced when contracts conclude </w:t>
      </w:r>
      <w:r w:rsidR="00DE6046">
        <w:t xml:space="preserve">in </w:t>
      </w:r>
      <w:r w:rsidR="00F018A2">
        <w:t>June</w:t>
      </w:r>
      <w:r w:rsidR="00DE6046">
        <w:t xml:space="preserve"> 2024. The </w:t>
      </w:r>
      <w:r w:rsidR="00FD298A" w:rsidRPr="00F66811">
        <w:t>estimated regulatory burden for this option</w:t>
      </w:r>
      <w:r w:rsidR="00DE6046">
        <w:t xml:space="preserve"> is nil</w:t>
      </w:r>
      <w:r w:rsidR="00A2716A">
        <w:t>.</w:t>
      </w:r>
    </w:p>
    <w:p w14:paraId="105557B6" w14:textId="3A6ED31F" w:rsidR="00BA3E83" w:rsidRDefault="00FE6225" w:rsidP="00BA3E83">
      <w:r>
        <w:rPr>
          <w:b/>
          <w:bCs/>
        </w:rPr>
        <w:t xml:space="preserve">Option 2: </w:t>
      </w:r>
      <w:r w:rsidR="00B067E3">
        <w:rPr>
          <w:b/>
          <w:bCs/>
        </w:rPr>
        <w:t>new voluntary pre-</w:t>
      </w:r>
      <w:r w:rsidR="00B46519">
        <w:rPr>
          <w:b/>
          <w:bCs/>
        </w:rPr>
        <w:t>employment</w:t>
      </w:r>
      <w:r w:rsidR="00B067E3">
        <w:rPr>
          <w:b/>
          <w:bCs/>
        </w:rPr>
        <w:t xml:space="preserve"> </w:t>
      </w:r>
      <w:r w:rsidR="00B46519">
        <w:rPr>
          <w:b/>
          <w:bCs/>
        </w:rPr>
        <w:t>services</w:t>
      </w:r>
      <w:r w:rsidR="00B067E3">
        <w:rPr>
          <w:b/>
          <w:bCs/>
        </w:rPr>
        <w:t xml:space="preserve"> for vulnerable parents</w:t>
      </w:r>
      <w:r>
        <w:rPr>
          <w:b/>
          <w:bCs/>
        </w:rPr>
        <w:t xml:space="preserve">: </w:t>
      </w:r>
      <w:r w:rsidR="005E5EAF">
        <w:t xml:space="preserve">The estimated regulatory burden for this option reflects new policies and service delivery arrangements </w:t>
      </w:r>
      <w:r w:rsidR="001305BD">
        <w:t>including</w:t>
      </w:r>
      <w:r w:rsidR="00B46519">
        <w:t xml:space="preserve"> </w:t>
      </w:r>
      <w:r w:rsidR="00FB28FE">
        <w:t>eligibility,</w:t>
      </w:r>
      <w:r w:rsidR="00037F62">
        <w:t xml:space="preserve"> </w:t>
      </w:r>
      <w:r w:rsidR="00C22F86">
        <w:t>regular</w:t>
      </w:r>
      <w:r w:rsidR="00037F62">
        <w:t xml:space="preserve"> </w:t>
      </w:r>
      <w:r w:rsidR="00F97736">
        <w:t>assessment</w:t>
      </w:r>
      <w:r w:rsidR="00037F62">
        <w:t xml:space="preserve"> of parents</w:t>
      </w:r>
      <w:r w:rsidR="00C22F86">
        <w:t>’</w:t>
      </w:r>
      <w:r w:rsidR="00037F62">
        <w:t xml:space="preserve"> progress</w:t>
      </w:r>
      <w:r w:rsidR="00FF67AF">
        <w:t>,</w:t>
      </w:r>
      <w:r w:rsidR="00037F62">
        <w:t xml:space="preserve"> </w:t>
      </w:r>
      <w:r w:rsidR="002F629F">
        <w:t xml:space="preserve">individualised financial </w:t>
      </w:r>
      <w:r w:rsidR="007C07FB">
        <w:t xml:space="preserve">assistance </w:t>
      </w:r>
      <w:r w:rsidR="002F629F">
        <w:t>and outreach funding.</w:t>
      </w:r>
      <w:r w:rsidR="000E3B01">
        <w:t xml:space="preserve"> </w:t>
      </w:r>
      <w:r w:rsidR="00BA3E83">
        <w:t xml:space="preserve">The estimated regulatory burden also includes the costs associated with extending existing ParentsNext contracts by </w:t>
      </w:r>
      <w:r w:rsidR="002F0F76">
        <w:t xml:space="preserve">4 </w:t>
      </w:r>
      <w:r w:rsidR="00BA3E83">
        <w:t>months as the program would otherwise conclude in June 2024</w:t>
      </w:r>
      <w:r w:rsidR="00B7167D">
        <w:t>.</w:t>
      </w:r>
    </w:p>
    <w:p w14:paraId="23D46DEB" w14:textId="49BE23B0" w:rsidR="008646A8" w:rsidRDefault="00FE6225" w:rsidP="008646A8">
      <w:r>
        <w:rPr>
          <w:b/>
          <w:bCs/>
        </w:rPr>
        <w:t xml:space="preserve">Option 3: </w:t>
      </w:r>
      <w:r w:rsidR="001305BD">
        <w:rPr>
          <w:b/>
          <w:bCs/>
        </w:rPr>
        <w:t>new voluntary pre-employment services for Par</w:t>
      </w:r>
      <w:r w:rsidR="00D356D8">
        <w:rPr>
          <w:b/>
          <w:bCs/>
        </w:rPr>
        <w:t>enting Payment recipients</w:t>
      </w:r>
      <w:r>
        <w:rPr>
          <w:b/>
          <w:bCs/>
        </w:rPr>
        <w:t>:</w:t>
      </w:r>
      <w:r w:rsidRPr="00514D29">
        <w:rPr>
          <w:b/>
          <w:bCs/>
        </w:rPr>
        <w:t xml:space="preserve"> </w:t>
      </w:r>
      <w:r w:rsidR="00C22F86" w:rsidRPr="00D27F2B">
        <w:t>The estimated regulatory burden for this option reflects new policies and service delivery arrangements</w:t>
      </w:r>
      <w:r w:rsidR="00AF47C4">
        <w:t xml:space="preserve"> </w:t>
      </w:r>
      <w:r w:rsidR="00C22F86" w:rsidRPr="00D27F2B">
        <w:t>includin</w:t>
      </w:r>
      <w:r w:rsidR="00411DEA" w:rsidRPr="00D27F2B">
        <w:t>g</w:t>
      </w:r>
      <w:r w:rsidR="00C22F86" w:rsidRPr="00D27F2B">
        <w:t xml:space="preserve"> regular assessment of parents’ progress</w:t>
      </w:r>
      <w:r w:rsidR="00411DEA" w:rsidRPr="00D27F2B">
        <w:t xml:space="preserve">, </w:t>
      </w:r>
      <w:r w:rsidR="00507A02" w:rsidRPr="00D27F2B">
        <w:t xml:space="preserve">individualised </w:t>
      </w:r>
      <w:r w:rsidR="00C22F86" w:rsidRPr="00D27F2B">
        <w:t xml:space="preserve">financial </w:t>
      </w:r>
      <w:r w:rsidR="006C27D8">
        <w:t>assistance</w:t>
      </w:r>
      <w:r w:rsidR="00C22F86" w:rsidRPr="00D27F2B">
        <w:t xml:space="preserve"> and outreach funding.</w:t>
      </w:r>
      <w:r w:rsidR="00C22F86" w:rsidRPr="00D27F2B" w:rsidDel="00C22F86">
        <w:t xml:space="preserve"> </w:t>
      </w:r>
      <w:bookmarkStart w:id="116" w:name="_Toc70684350"/>
      <w:bookmarkStart w:id="117" w:name="_Toc70684535"/>
      <w:bookmarkStart w:id="118" w:name="_Toc70937646"/>
      <w:bookmarkStart w:id="119" w:name="_Toc71029087"/>
      <w:bookmarkStart w:id="120" w:name="_Toc71214230"/>
      <w:r w:rsidR="00BA3E83">
        <w:t xml:space="preserve">The estimated regulatory burden also includes the costs associated with extending existing ParentsNext contracts by </w:t>
      </w:r>
      <w:r w:rsidR="002F0F76">
        <w:t xml:space="preserve">4 </w:t>
      </w:r>
      <w:r w:rsidR="00BA3E83">
        <w:t xml:space="preserve">months as the </w:t>
      </w:r>
      <w:r w:rsidR="008646A8">
        <w:t>program would otherwise conclude in June 2024</w:t>
      </w:r>
      <w:r w:rsidR="00BA3E83">
        <w:t>.</w:t>
      </w:r>
    </w:p>
    <w:p w14:paraId="2E4CA739" w14:textId="7A670E58" w:rsidR="00FE6225" w:rsidRDefault="00FE6225" w:rsidP="00FE6225">
      <w:pPr>
        <w:pStyle w:val="Heading3"/>
      </w:pPr>
      <w:bookmarkStart w:id="121" w:name="_Toc151123139"/>
      <w:r>
        <w:t>Caseload and transactions</w:t>
      </w:r>
      <w:bookmarkEnd w:id="116"/>
      <w:bookmarkEnd w:id="117"/>
      <w:bookmarkEnd w:id="118"/>
      <w:bookmarkEnd w:id="119"/>
      <w:bookmarkEnd w:id="120"/>
      <w:bookmarkEnd w:id="121"/>
    </w:p>
    <w:p w14:paraId="482B95FA" w14:textId="2CD66F8F" w:rsidR="00303562" w:rsidRDefault="00FE6225" w:rsidP="00303562">
      <w:pPr>
        <w:rPr>
          <w:color w:val="000000"/>
        </w:rPr>
      </w:pPr>
      <w:r>
        <w:t xml:space="preserve">Caseload is a point in time measure of the number of individuals in </w:t>
      </w:r>
      <w:r w:rsidR="00220AC7">
        <w:t>pre-</w:t>
      </w:r>
      <w:r>
        <w:t xml:space="preserve">employment services. </w:t>
      </w:r>
      <w:r w:rsidR="00303562" w:rsidRPr="00083084">
        <w:rPr>
          <w:color w:val="000000"/>
        </w:rPr>
        <w:t>The caseload projections are taken from funding models used to determine the ParentsNext appropriation.</w:t>
      </w:r>
    </w:p>
    <w:p w14:paraId="4DB80954" w14:textId="398296BE" w:rsidR="00FE6225" w:rsidRDefault="00FE6225" w:rsidP="00FE6225">
      <w:r>
        <w:t xml:space="preserve">Regulatory burden is largely driven by the number of </w:t>
      </w:r>
      <w:r w:rsidR="00220AC7">
        <w:t>parents</w:t>
      </w:r>
      <w:r>
        <w:t xml:space="preserve"> on a provider’s caseload as the size of a provider’s caseload will influence the total number of transactions</w:t>
      </w:r>
      <w:r w:rsidR="00200AEA">
        <w:t>.</w:t>
      </w:r>
    </w:p>
    <w:p w14:paraId="6C59081E" w14:textId="2F9EC863" w:rsidR="00583585" w:rsidRPr="007A4A7D" w:rsidRDefault="00DF35B1" w:rsidP="00296719">
      <w:r w:rsidRPr="007A4A7D">
        <w:t xml:space="preserve">For the new service, </w:t>
      </w:r>
      <w:r w:rsidR="00CC6EC2" w:rsidRPr="007A4A7D">
        <w:t xml:space="preserve">projected caseload data </w:t>
      </w:r>
      <w:r w:rsidR="00C218E8" w:rsidRPr="007A4A7D">
        <w:t xml:space="preserve">over the </w:t>
      </w:r>
      <w:r w:rsidR="003305FB">
        <w:t>3 year contract period starting November 2024 has been used</w:t>
      </w:r>
      <w:r w:rsidR="00C218E8" w:rsidRPr="007A4A7D">
        <w:t xml:space="preserve">. Data </w:t>
      </w:r>
      <w:r w:rsidR="00296719" w:rsidRPr="007A4A7D">
        <w:t xml:space="preserve">on </w:t>
      </w:r>
      <w:r w:rsidR="00FE6225" w:rsidRPr="007A4A7D">
        <w:t xml:space="preserve">average annual transaction numbers was estimated based on projected caseload data. </w:t>
      </w:r>
    </w:p>
    <w:p w14:paraId="0372F32C" w14:textId="12ABD815" w:rsidR="000B2AAD" w:rsidRPr="007A4A7D" w:rsidRDefault="009B4872" w:rsidP="00296719">
      <w:r w:rsidRPr="007A4A7D">
        <w:t xml:space="preserve">Caution should be </w:t>
      </w:r>
      <w:r w:rsidR="000B2AAD" w:rsidRPr="007A4A7D">
        <w:t>used with</w:t>
      </w:r>
      <w:r w:rsidRPr="007A4A7D">
        <w:t xml:space="preserve"> the ca</w:t>
      </w:r>
      <w:r w:rsidR="000B2AAD" w:rsidRPr="007A4A7D">
        <w:t>se</w:t>
      </w:r>
      <w:r w:rsidRPr="007A4A7D">
        <w:t xml:space="preserve">load data as the </w:t>
      </w:r>
      <w:r w:rsidR="000B2AAD" w:rsidRPr="007A4A7D">
        <w:t>services</w:t>
      </w:r>
      <w:r w:rsidRPr="007A4A7D">
        <w:t xml:space="preserve"> are voluntary and </w:t>
      </w:r>
      <w:r w:rsidR="000B2AAD" w:rsidRPr="007A4A7D">
        <w:t xml:space="preserve">provider outreach and engagement </w:t>
      </w:r>
      <w:r w:rsidR="00A47A4A" w:rsidRPr="007A4A7D">
        <w:t xml:space="preserve">activities, as well as the features of the </w:t>
      </w:r>
      <w:r w:rsidR="00787748" w:rsidRPr="007A4A7D">
        <w:t>services themselves</w:t>
      </w:r>
      <w:r w:rsidR="00A47A4A" w:rsidRPr="007A4A7D">
        <w:t xml:space="preserve">, </w:t>
      </w:r>
      <w:r w:rsidR="000B2AAD" w:rsidRPr="007A4A7D">
        <w:t>may attract</w:t>
      </w:r>
      <w:r w:rsidR="00A47A4A" w:rsidRPr="007A4A7D">
        <w:t xml:space="preserve"> more </w:t>
      </w:r>
      <w:r w:rsidR="00787748" w:rsidRPr="007A4A7D">
        <w:t>participants</w:t>
      </w:r>
      <w:r w:rsidR="00F646FF" w:rsidRPr="007A4A7D">
        <w:t xml:space="preserve">. </w:t>
      </w:r>
      <w:r w:rsidR="00787748" w:rsidRPr="007A4A7D">
        <w:t>Indicative</w:t>
      </w:r>
      <w:r w:rsidR="00F646FF" w:rsidRPr="007A4A7D">
        <w:t xml:space="preserve"> </w:t>
      </w:r>
      <w:r w:rsidR="00787748" w:rsidRPr="007A4A7D">
        <w:t>caseload</w:t>
      </w:r>
      <w:r w:rsidR="00F646FF" w:rsidRPr="007A4A7D">
        <w:t xml:space="preserve"> estimat</w:t>
      </w:r>
      <w:r w:rsidR="00787748" w:rsidRPr="007A4A7D">
        <w:t>es</w:t>
      </w:r>
      <w:r w:rsidR="00F646FF" w:rsidRPr="007A4A7D">
        <w:t xml:space="preserve"> are:</w:t>
      </w:r>
    </w:p>
    <w:p w14:paraId="1EF7A09E" w14:textId="6D1BFA61" w:rsidR="00F646FF" w:rsidRPr="007A4A7D" w:rsidRDefault="00583585" w:rsidP="00A40BD4">
      <w:pPr>
        <w:pStyle w:val="ListParagraph"/>
        <w:numPr>
          <w:ilvl w:val="0"/>
          <w:numId w:val="15"/>
        </w:numPr>
      </w:pPr>
      <w:r w:rsidRPr="007A4A7D">
        <w:lastRenderedPageBreak/>
        <w:t xml:space="preserve">Under </w:t>
      </w:r>
      <w:r w:rsidR="00A2716A" w:rsidRPr="007A4A7D">
        <w:t>O</w:t>
      </w:r>
      <w:r w:rsidRPr="007A4A7D">
        <w:t xml:space="preserve">ption </w:t>
      </w:r>
      <w:r w:rsidR="00D312D7" w:rsidRPr="007A4A7D">
        <w:t>2</w:t>
      </w:r>
      <w:r w:rsidRPr="007A4A7D">
        <w:t>,</w:t>
      </w:r>
      <w:r w:rsidR="001E1C99">
        <w:t xml:space="preserve"> the regulatory burden calculations are based </w:t>
      </w:r>
      <w:r w:rsidR="00126722">
        <w:t xml:space="preserve">on an </w:t>
      </w:r>
      <w:r w:rsidR="002B34A6">
        <w:t xml:space="preserve">estimated </w:t>
      </w:r>
      <w:r w:rsidR="00126722">
        <w:t xml:space="preserve">average point in </w:t>
      </w:r>
      <w:r w:rsidR="002645D6">
        <w:t>time</w:t>
      </w:r>
      <w:r w:rsidR="00126722">
        <w:t xml:space="preserve"> </w:t>
      </w:r>
      <w:r w:rsidR="002645D6">
        <w:t>caseload</w:t>
      </w:r>
      <w:r w:rsidR="00126722">
        <w:t xml:space="preserve"> of </w:t>
      </w:r>
      <w:r w:rsidR="002645D6">
        <w:t>22,100 parents.</w:t>
      </w:r>
    </w:p>
    <w:p w14:paraId="5372C8DF" w14:textId="7E6BDE48" w:rsidR="00FE6225" w:rsidRPr="007A4A7D" w:rsidRDefault="00D312D7" w:rsidP="00A40BD4">
      <w:pPr>
        <w:pStyle w:val="ListParagraph"/>
        <w:numPr>
          <w:ilvl w:val="0"/>
          <w:numId w:val="15"/>
        </w:numPr>
      </w:pPr>
      <w:r w:rsidRPr="007A4A7D">
        <w:t xml:space="preserve">For </w:t>
      </w:r>
      <w:r w:rsidR="00A2716A" w:rsidRPr="007A4A7D">
        <w:t>O</w:t>
      </w:r>
      <w:r w:rsidRPr="007A4A7D">
        <w:t>ption 3, wit</w:t>
      </w:r>
      <w:r w:rsidR="009B4872" w:rsidRPr="007A4A7D">
        <w:t>h</w:t>
      </w:r>
      <w:r w:rsidRPr="007A4A7D">
        <w:t xml:space="preserve"> </w:t>
      </w:r>
      <w:r w:rsidR="009B4872" w:rsidRPr="007A4A7D">
        <w:t>eligibility</w:t>
      </w:r>
      <w:r w:rsidRPr="007A4A7D">
        <w:t xml:space="preserve"> restricted to</w:t>
      </w:r>
      <w:r w:rsidR="00583585" w:rsidRPr="007A4A7D">
        <w:t xml:space="preserve"> </w:t>
      </w:r>
      <w:r w:rsidRPr="007A4A7D">
        <w:t>P</w:t>
      </w:r>
      <w:r w:rsidR="00583585" w:rsidRPr="007A4A7D">
        <w:t xml:space="preserve">arenting </w:t>
      </w:r>
      <w:r w:rsidR="009B4872" w:rsidRPr="007A4A7D">
        <w:t>Payment</w:t>
      </w:r>
      <w:r w:rsidR="00583585" w:rsidRPr="007A4A7D">
        <w:t xml:space="preserve"> </w:t>
      </w:r>
      <w:r w:rsidRPr="007A4A7D">
        <w:t>recipients</w:t>
      </w:r>
      <w:r w:rsidR="00583585" w:rsidRPr="007A4A7D">
        <w:t xml:space="preserve">, </w:t>
      </w:r>
      <w:r w:rsidR="001E1C99">
        <w:t>the regulatory burden calculations are based on an</w:t>
      </w:r>
      <w:r w:rsidR="001E1C99" w:rsidRPr="007A4A7D">
        <w:t xml:space="preserve"> </w:t>
      </w:r>
      <w:r w:rsidR="00583585" w:rsidRPr="007A4A7D">
        <w:t>estimated</w:t>
      </w:r>
      <w:r w:rsidR="002B34A6">
        <w:t xml:space="preserve"> average </w:t>
      </w:r>
      <w:r w:rsidR="00465176" w:rsidRPr="007A4A7D">
        <w:t>point</w:t>
      </w:r>
      <w:r w:rsidR="0007644E" w:rsidRPr="007A4A7D">
        <w:t xml:space="preserve"> in time </w:t>
      </w:r>
      <w:r w:rsidR="00583585" w:rsidRPr="007A4A7D">
        <w:t>cas</w:t>
      </w:r>
      <w:r w:rsidRPr="007A4A7D">
        <w:t>e</w:t>
      </w:r>
      <w:r w:rsidR="00583585" w:rsidRPr="007A4A7D">
        <w:t>load</w:t>
      </w:r>
      <w:r w:rsidR="00126722">
        <w:t xml:space="preserve"> of 12,200 parents</w:t>
      </w:r>
      <w:r w:rsidR="00C9637A">
        <w:t>.</w:t>
      </w:r>
    </w:p>
    <w:p w14:paraId="337B5F83" w14:textId="45AD8F3C" w:rsidR="00071031" w:rsidRPr="003B3239" w:rsidRDefault="00071031" w:rsidP="00A40BD4">
      <w:pPr>
        <w:pStyle w:val="ListParagraph"/>
        <w:numPr>
          <w:ilvl w:val="0"/>
          <w:numId w:val="15"/>
        </w:numPr>
      </w:pPr>
      <w:r w:rsidRPr="00933A1A">
        <w:t xml:space="preserve">For the </w:t>
      </w:r>
      <w:r w:rsidR="006B7137" w:rsidRPr="00933A1A">
        <w:t>extension of ParentsNext, projected caseload data has been used</w:t>
      </w:r>
      <w:r w:rsidR="003862F0" w:rsidRPr="00933A1A">
        <w:t xml:space="preserve"> with an </w:t>
      </w:r>
      <w:r w:rsidR="002B34A6">
        <w:t xml:space="preserve">estimated </w:t>
      </w:r>
      <w:r w:rsidR="003862F0" w:rsidRPr="00933A1A">
        <w:t>average point</w:t>
      </w:r>
      <w:r w:rsidR="003862F0" w:rsidRPr="003B3239">
        <w:t xml:space="preserve"> in time </w:t>
      </w:r>
      <w:r w:rsidR="003862F0" w:rsidRPr="00126722">
        <w:t xml:space="preserve">caseload </w:t>
      </w:r>
      <w:r w:rsidR="00583585" w:rsidRPr="00126722">
        <w:t>of</w:t>
      </w:r>
      <w:r w:rsidR="00440189">
        <w:t xml:space="preserve"> 48,700</w:t>
      </w:r>
      <w:r w:rsidR="00D54362">
        <w:t xml:space="preserve"> during July 2024 to October 2024</w:t>
      </w:r>
      <w:r w:rsidR="00274673">
        <w:t>.</w:t>
      </w:r>
    </w:p>
    <w:p w14:paraId="7590E881" w14:textId="220A7FD0" w:rsidR="00FE6225" w:rsidRDefault="000F2D04" w:rsidP="00FE6225">
      <w:r>
        <w:t xml:space="preserve">Caseload </w:t>
      </w:r>
      <w:r w:rsidR="002B57C3">
        <w:t>d</w:t>
      </w:r>
      <w:r w:rsidR="00583585">
        <w:t>ata based on projected monthly commencement</w:t>
      </w:r>
      <w:r w:rsidR="005D4389">
        <w:t>s</w:t>
      </w:r>
      <w:r w:rsidR="00583585">
        <w:t xml:space="preserve"> has also been used to calculate activities such as initial registrations and assessments</w:t>
      </w:r>
      <w:r w:rsidR="0068719B">
        <w:t>.</w:t>
      </w:r>
      <w:r w:rsidR="00583585">
        <w:t xml:space="preserve"> </w:t>
      </w:r>
    </w:p>
    <w:p w14:paraId="79247F94" w14:textId="77777777" w:rsidR="00FE6225" w:rsidRDefault="00FE6225" w:rsidP="00FE6225">
      <w:pPr>
        <w:pStyle w:val="Heading3"/>
        <w:keepLines w:val="0"/>
        <w:widowControl w:val="0"/>
      </w:pPr>
      <w:bookmarkStart w:id="122" w:name="_Toc70684351"/>
      <w:bookmarkStart w:id="123" w:name="_Toc70684536"/>
      <w:bookmarkStart w:id="124" w:name="_Toc70937647"/>
      <w:bookmarkStart w:id="125" w:name="_Toc71029088"/>
      <w:bookmarkStart w:id="126" w:name="_Toc71214231"/>
      <w:bookmarkStart w:id="127" w:name="_Toc151123140"/>
      <w:r w:rsidRPr="003B3239">
        <w:t>Time taken and value of time</w:t>
      </w:r>
      <w:bookmarkEnd w:id="122"/>
      <w:bookmarkEnd w:id="123"/>
      <w:bookmarkEnd w:id="124"/>
      <w:bookmarkEnd w:id="125"/>
      <w:bookmarkEnd w:id="126"/>
      <w:bookmarkEnd w:id="127"/>
    </w:p>
    <w:p w14:paraId="7D2683F9" w14:textId="1C2949A0" w:rsidR="00252827" w:rsidRDefault="00B56869" w:rsidP="007E0119">
      <w:pPr>
        <w:spacing w:after="120"/>
      </w:pPr>
      <w:r>
        <w:t>The time taken per transaction has been reviewed in consultation with program teams within the department.</w:t>
      </w:r>
      <w:r w:rsidR="006E325F">
        <w:t xml:space="preserve"> </w:t>
      </w:r>
      <w:r w:rsidR="00252827">
        <w:t>Where activities are consistent across pre</w:t>
      </w:r>
      <w:r w:rsidR="00252827">
        <w:noBreakHyphen/>
        <w:t>employment and employment services due to I</w:t>
      </w:r>
      <w:r w:rsidR="009C7EF7">
        <w:t>C</w:t>
      </w:r>
      <w:r w:rsidR="00252827">
        <w:t>T system</w:t>
      </w:r>
      <w:r w:rsidR="006E325F">
        <w:t xml:space="preserve">, reporting </w:t>
      </w:r>
      <w:r w:rsidR="00252827">
        <w:t>and documentation requirements, time estimates are based on those used for the New Employment Services Model Regulation Impact Statement.</w:t>
      </w:r>
    </w:p>
    <w:p w14:paraId="280D2281" w14:textId="77777777" w:rsidR="007A3828" w:rsidRDefault="007A3828" w:rsidP="00FE6225">
      <w:pPr>
        <w:spacing w:after="120"/>
      </w:pPr>
      <w:r>
        <w:t>The value of:</w:t>
      </w:r>
    </w:p>
    <w:p w14:paraId="7CCAB19A" w14:textId="2561AF8A" w:rsidR="00FE6225" w:rsidRDefault="007A3828" w:rsidP="00A40BD4">
      <w:pPr>
        <w:pStyle w:val="ListBullet"/>
        <w:numPr>
          <w:ilvl w:val="0"/>
          <w:numId w:val="10"/>
        </w:numPr>
        <w:ind w:left="357" w:hanging="357"/>
      </w:pPr>
      <w:r>
        <w:t xml:space="preserve">parents’ </w:t>
      </w:r>
      <w:r w:rsidR="00FE6225">
        <w:t>time is set equal to that of individuals – $</w:t>
      </w:r>
      <w:r w:rsidR="004C20D5">
        <w:t>36</w:t>
      </w:r>
      <w:r w:rsidR="00685835">
        <w:t>.00</w:t>
      </w:r>
      <w:r w:rsidR="004C20D5">
        <w:t xml:space="preserve"> </w:t>
      </w:r>
      <w:r w:rsidR="00FE6225">
        <w:t xml:space="preserve">per hour. This is the default rate for individuals recommended by the Office of </w:t>
      </w:r>
      <w:r w:rsidR="00D56CDB">
        <w:t>Impact Analysis</w:t>
      </w:r>
      <w:r w:rsidR="0006628B">
        <w:t xml:space="preserve"> (OIA)</w:t>
      </w:r>
      <w:r w:rsidR="00FE6225">
        <w:t>.</w:t>
      </w:r>
    </w:p>
    <w:p w14:paraId="070C4F65" w14:textId="48A60D86" w:rsidR="00FE6225" w:rsidRDefault="007A3828" w:rsidP="00A40BD4">
      <w:pPr>
        <w:pStyle w:val="ListBullet"/>
        <w:numPr>
          <w:ilvl w:val="0"/>
          <w:numId w:val="10"/>
        </w:numPr>
        <w:ind w:left="357" w:hanging="357"/>
      </w:pPr>
      <w:r>
        <w:t xml:space="preserve">employers’ </w:t>
      </w:r>
      <w:r w:rsidR="00FE6225">
        <w:t xml:space="preserve">time has been </w:t>
      </w:r>
      <w:r w:rsidR="00D43F4B">
        <w:t xml:space="preserve">set </w:t>
      </w:r>
      <w:r w:rsidR="00FE6225">
        <w:t>at the default $</w:t>
      </w:r>
      <w:r w:rsidR="00A314B6">
        <w:t>79.63</w:t>
      </w:r>
      <w:r w:rsidR="00FE6225">
        <w:t xml:space="preserve"> per hour as recommended by the </w:t>
      </w:r>
      <w:r w:rsidR="0006628B">
        <w:t>OIA</w:t>
      </w:r>
      <w:r w:rsidR="008B7126">
        <w:t xml:space="preserve"> for work-related labour costs</w:t>
      </w:r>
      <w:r w:rsidR="00FE6225">
        <w:t>.</w:t>
      </w:r>
    </w:p>
    <w:p w14:paraId="5896E1CA" w14:textId="15A3E304" w:rsidR="0030214E" w:rsidRDefault="007A3828" w:rsidP="00A40BD4">
      <w:pPr>
        <w:pStyle w:val="ListBullet"/>
        <w:numPr>
          <w:ilvl w:val="0"/>
          <w:numId w:val="10"/>
        </w:numPr>
        <w:ind w:left="357" w:hanging="357"/>
      </w:pPr>
      <w:r>
        <w:t xml:space="preserve">providers’ </w:t>
      </w:r>
      <w:r w:rsidR="00FE6225">
        <w:t xml:space="preserve">time has been set at </w:t>
      </w:r>
      <w:r w:rsidR="00FE6225" w:rsidRPr="007E0119">
        <w:t>$</w:t>
      </w:r>
      <w:r w:rsidR="00D01D10" w:rsidRPr="00870540">
        <w:t>7</w:t>
      </w:r>
      <w:r w:rsidR="00822491">
        <w:t xml:space="preserve">9.63 </w:t>
      </w:r>
      <w:r w:rsidR="00FE6225">
        <w:t>per hour</w:t>
      </w:r>
      <w:r w:rsidR="00DE46BF">
        <w:t xml:space="preserve"> which</w:t>
      </w:r>
      <w:r w:rsidR="00C43A29">
        <w:t xml:space="preserve"> is the default rate for work-related labour costs </w:t>
      </w:r>
      <w:r w:rsidR="006D57D0">
        <w:t xml:space="preserve">recommended by the </w:t>
      </w:r>
      <w:r w:rsidR="0006628B">
        <w:t>OIA</w:t>
      </w:r>
      <w:r w:rsidR="006D57D0">
        <w:t>.</w:t>
      </w:r>
      <w:r w:rsidR="00277DF3">
        <w:t xml:space="preserve"> </w:t>
      </w:r>
      <w:r w:rsidR="00277DF3" w:rsidRPr="00884FD9">
        <w:t xml:space="preserve">The default rate has been used </w:t>
      </w:r>
      <w:r w:rsidR="00E37842" w:rsidRPr="00884FD9">
        <w:t xml:space="preserve">in the absence of </w:t>
      </w:r>
      <w:r w:rsidR="00A56C9E" w:rsidRPr="00884FD9">
        <w:t xml:space="preserve">recent </w:t>
      </w:r>
      <w:r w:rsidR="00600BEC" w:rsidRPr="007E0119">
        <w:t xml:space="preserve">equivalent </w:t>
      </w:r>
      <w:r w:rsidR="006E325F" w:rsidRPr="007E0119">
        <w:t>costings</w:t>
      </w:r>
      <w:r w:rsidR="00E37842" w:rsidRPr="00884FD9">
        <w:t xml:space="preserve"> </w:t>
      </w:r>
      <w:r w:rsidR="00600BEC" w:rsidRPr="007E0119">
        <w:t xml:space="preserve">for </w:t>
      </w:r>
      <w:r w:rsidR="00A56C9E" w:rsidRPr="00884FD9">
        <w:t>pre-employment services</w:t>
      </w:r>
      <w:r w:rsidR="002C63A6" w:rsidRPr="00884FD9">
        <w:t>.</w:t>
      </w:r>
    </w:p>
    <w:p w14:paraId="2475995E" w14:textId="77777777" w:rsidR="00FE6225" w:rsidRDefault="00FE6225" w:rsidP="00FE6225">
      <w:pPr>
        <w:pStyle w:val="Heading3"/>
      </w:pPr>
      <w:bookmarkStart w:id="128" w:name="_Toc70684352"/>
      <w:bookmarkStart w:id="129" w:name="_Toc70684537"/>
      <w:bookmarkStart w:id="130" w:name="_Toc70937648"/>
      <w:bookmarkStart w:id="131" w:name="_Toc71029089"/>
      <w:bookmarkStart w:id="132" w:name="_Toc71214232"/>
      <w:bookmarkStart w:id="133" w:name="_Toc151123141"/>
      <w:r>
        <w:t>Sector attribution</w:t>
      </w:r>
      <w:bookmarkEnd w:id="128"/>
      <w:bookmarkEnd w:id="129"/>
      <w:bookmarkEnd w:id="130"/>
      <w:bookmarkEnd w:id="131"/>
      <w:bookmarkEnd w:id="132"/>
      <w:bookmarkEnd w:id="133"/>
    </w:p>
    <w:p w14:paraId="4E896538" w14:textId="2F97FD27" w:rsidR="00FE6225" w:rsidRDefault="00FE6225" w:rsidP="00FE6225">
      <w:r>
        <w:t xml:space="preserve">The department estimates regulatory burden in terms of three main groups – providers, employers and </w:t>
      </w:r>
      <w:r w:rsidR="0088483E">
        <w:t>parents</w:t>
      </w:r>
      <w:r>
        <w:t>. The</w:t>
      </w:r>
      <w:r w:rsidR="0088483E">
        <w:t>se groups do not correspond directly with</w:t>
      </w:r>
      <w:r>
        <w:t xml:space="preserve"> the sectors used for </w:t>
      </w:r>
      <w:r w:rsidR="00884FD9">
        <w:t xml:space="preserve">the </w:t>
      </w:r>
      <w:r w:rsidR="00106B26">
        <w:t>Regulatory</w:t>
      </w:r>
      <w:r w:rsidR="00533EB2">
        <w:t xml:space="preserve"> Burden </w:t>
      </w:r>
      <w:r w:rsidR="00884FD9">
        <w:t>M</w:t>
      </w:r>
      <w:r>
        <w:t>easurement</w:t>
      </w:r>
      <w:r w:rsidR="00884FD9">
        <w:t xml:space="preserve"> framework</w:t>
      </w:r>
      <w:r>
        <w:t>—</w:t>
      </w:r>
      <w:r w:rsidR="0088483E">
        <w:t xml:space="preserve">individuals, </w:t>
      </w:r>
      <w:r>
        <w:t>business</w:t>
      </w:r>
      <w:r w:rsidR="0088483E">
        <w:t xml:space="preserve"> and</w:t>
      </w:r>
      <w:r>
        <w:t xml:space="preserve"> community organisations.</w:t>
      </w:r>
    </w:p>
    <w:p w14:paraId="6290236D" w14:textId="04B598B0" w:rsidR="006D3A5B" w:rsidRDefault="00FE6225" w:rsidP="008A3053">
      <w:pPr>
        <w:spacing w:after="120"/>
      </w:pPr>
      <w:r>
        <w:t xml:space="preserve">The regulatory costs in this </w:t>
      </w:r>
      <w:r w:rsidR="0088483E">
        <w:t>Impact Analysis</w:t>
      </w:r>
      <w:r>
        <w:t xml:space="preserve"> make the following assumptions when assign</w:t>
      </w:r>
      <w:r w:rsidR="006A2212">
        <w:t>ing</w:t>
      </w:r>
      <w:r>
        <w:t xml:space="preserve"> entities to a sector:</w:t>
      </w:r>
      <w:r w:rsidR="002D7FB8">
        <w:t xml:space="preserve"> </w:t>
      </w:r>
    </w:p>
    <w:p w14:paraId="0C205EE1" w14:textId="2881DB9C" w:rsidR="00FE6225" w:rsidRPr="002D7FB8" w:rsidRDefault="00FE6225" w:rsidP="00A40BD4">
      <w:pPr>
        <w:pStyle w:val="ListBullet"/>
        <w:numPr>
          <w:ilvl w:val="0"/>
          <w:numId w:val="10"/>
        </w:numPr>
        <w:ind w:left="357" w:hanging="357"/>
      </w:pPr>
      <w:r w:rsidRPr="006E435E">
        <w:t xml:space="preserve">Providers are assumed to be </w:t>
      </w:r>
      <w:r w:rsidR="0088483E" w:rsidRPr="006E435E">
        <w:t>80</w:t>
      </w:r>
      <w:r w:rsidR="00FD21F3">
        <w:t>%</w:t>
      </w:r>
      <w:r w:rsidRPr="006E435E">
        <w:t xml:space="preserve"> ‘community organisations’</w:t>
      </w:r>
      <w:r w:rsidRPr="00A72B6D">
        <w:t xml:space="preserve"> (</w:t>
      </w:r>
      <w:r w:rsidR="00100FBA">
        <w:t xml:space="preserve">based on </w:t>
      </w:r>
      <w:r w:rsidR="0088483E" w:rsidRPr="00A72B6D">
        <w:t>41</w:t>
      </w:r>
      <w:r w:rsidRPr="00A72B6D">
        <w:t xml:space="preserve"> of </w:t>
      </w:r>
      <w:r w:rsidR="0088483E" w:rsidRPr="00A72B6D">
        <w:t>53</w:t>
      </w:r>
      <w:r w:rsidRPr="00A72B6D">
        <w:t xml:space="preserve"> </w:t>
      </w:r>
      <w:r w:rsidR="002D4515">
        <w:t>current</w:t>
      </w:r>
      <w:r w:rsidR="00100FBA">
        <w:t xml:space="preserve"> </w:t>
      </w:r>
      <w:r w:rsidR="0088483E" w:rsidRPr="00A72B6D">
        <w:t xml:space="preserve">ParentsNext </w:t>
      </w:r>
      <w:r w:rsidRPr="00A72B6D">
        <w:t xml:space="preserve">organisations </w:t>
      </w:r>
      <w:r w:rsidR="00100FBA">
        <w:t xml:space="preserve">being </w:t>
      </w:r>
      <w:r w:rsidRPr="00A72B6D">
        <w:t>not-for-profit) and the remainder are ‘business’</w:t>
      </w:r>
      <w:r w:rsidRPr="002D7FB8">
        <w:t>.</w:t>
      </w:r>
    </w:p>
    <w:p w14:paraId="50E4A691" w14:textId="1DFA5A92" w:rsidR="00FE6225" w:rsidRPr="00A72B6D" w:rsidRDefault="00FE6225" w:rsidP="00A40BD4">
      <w:pPr>
        <w:pStyle w:val="ListBullet"/>
        <w:numPr>
          <w:ilvl w:val="0"/>
          <w:numId w:val="10"/>
        </w:numPr>
        <w:ind w:left="357" w:hanging="357"/>
      </w:pPr>
      <w:r w:rsidRPr="00A72B6D">
        <w:t xml:space="preserve">Employers are assumed to </w:t>
      </w:r>
      <w:r w:rsidRPr="002D7FB8">
        <w:t xml:space="preserve">be </w:t>
      </w:r>
      <w:r w:rsidR="002D7FB8">
        <w:t>50</w:t>
      </w:r>
      <w:r w:rsidR="00FD21F3">
        <w:t>%</w:t>
      </w:r>
      <w:r w:rsidRPr="00A72B6D">
        <w:t xml:space="preserve"> ‘business’ and 50</w:t>
      </w:r>
      <w:r w:rsidR="00FD21F3">
        <w:t>%</w:t>
      </w:r>
      <w:r w:rsidRPr="00A72B6D">
        <w:t xml:space="preserve"> ‘community organisations’.</w:t>
      </w:r>
      <w:r w:rsidR="002D4515">
        <w:t xml:space="preserve"> This is relevant for</w:t>
      </w:r>
      <w:r w:rsidR="00441E58">
        <w:t xml:space="preserve"> wage subsidies and activities</w:t>
      </w:r>
      <w:r w:rsidR="002D4515">
        <w:t xml:space="preserve"> where agreements </w:t>
      </w:r>
      <w:r w:rsidR="00441E58">
        <w:t>with employers are required</w:t>
      </w:r>
      <w:r w:rsidR="00787748">
        <w:t>.</w:t>
      </w:r>
    </w:p>
    <w:p w14:paraId="6ED6F7CB" w14:textId="6411309B" w:rsidR="00FE6225" w:rsidRDefault="00FE6225" w:rsidP="00A40BD4">
      <w:pPr>
        <w:pStyle w:val="ListBullet"/>
        <w:numPr>
          <w:ilvl w:val="0"/>
          <w:numId w:val="10"/>
        </w:numPr>
        <w:ind w:left="357" w:hanging="357"/>
      </w:pPr>
      <w:r>
        <w:t xml:space="preserve">All </w:t>
      </w:r>
      <w:r w:rsidR="0088483E">
        <w:t>parents</w:t>
      </w:r>
      <w:r>
        <w:t xml:space="preserve"> are classified as individuals.</w:t>
      </w:r>
    </w:p>
    <w:p w14:paraId="26F6DC73" w14:textId="77777777" w:rsidR="001D176B" w:rsidRDefault="001D176B" w:rsidP="001A09BF">
      <w:pPr>
        <w:pStyle w:val="Heading3"/>
        <w:spacing w:before="0"/>
      </w:pPr>
      <w:bookmarkStart w:id="134" w:name="_Toc151123142"/>
      <w:r>
        <w:lastRenderedPageBreak/>
        <w:t>Differences in regulatory burden between policy options</w:t>
      </w:r>
      <w:bookmarkEnd w:id="134"/>
    </w:p>
    <w:p w14:paraId="45CB177D" w14:textId="77777777" w:rsidR="00706332" w:rsidRPr="00524078" w:rsidRDefault="0049536E" w:rsidP="001A09BF">
      <w:pPr>
        <w:keepNext/>
        <w:spacing w:after="120"/>
      </w:pPr>
      <w:r w:rsidRPr="00524078">
        <w:t>Option 1 has no regulatory costs</w:t>
      </w:r>
      <w:r w:rsidR="00706332" w:rsidRPr="00524078">
        <w:t>.</w:t>
      </w:r>
    </w:p>
    <w:p w14:paraId="2D422CD3" w14:textId="37114985" w:rsidR="001D176B" w:rsidRDefault="00D95A3A" w:rsidP="009E0A90">
      <w:pPr>
        <w:spacing w:after="120"/>
      </w:pPr>
      <w:r w:rsidRPr="00524078">
        <w:t>Regulatory</w:t>
      </w:r>
      <w:r w:rsidR="003C3EEE" w:rsidRPr="00524078">
        <w:t xml:space="preserve"> </w:t>
      </w:r>
      <w:r w:rsidR="009175E6" w:rsidRPr="00524078">
        <w:t>cost</w:t>
      </w:r>
      <w:r w:rsidRPr="00524078">
        <w:t>s</w:t>
      </w:r>
      <w:r w:rsidR="003C3EEE" w:rsidRPr="00524078">
        <w:t xml:space="preserve"> for </w:t>
      </w:r>
      <w:r w:rsidR="001D176B" w:rsidRPr="00524078">
        <w:t xml:space="preserve">Options 2 and 3 </w:t>
      </w:r>
      <w:r w:rsidRPr="00524078">
        <w:t>are</w:t>
      </w:r>
      <w:r w:rsidR="009175E6" w:rsidRPr="00524078">
        <w:t xml:space="preserve"> </w:t>
      </w:r>
      <w:r w:rsidRPr="00524078">
        <w:t>compared</w:t>
      </w:r>
      <w:r w:rsidR="009175E6" w:rsidRPr="00524078">
        <w:t xml:space="preserve"> in the table</w:t>
      </w:r>
      <w:r w:rsidR="00B34E43">
        <w:t>s</w:t>
      </w:r>
      <w:r w:rsidR="009175E6" w:rsidRPr="00524078">
        <w:t xml:space="preserve"> below. </w:t>
      </w:r>
      <w:r w:rsidRPr="00524078">
        <w:t>I</w:t>
      </w:r>
      <w:r w:rsidR="001D176B" w:rsidRPr="00524078">
        <w:t>n this Impact Analysis</w:t>
      </w:r>
      <w:r w:rsidRPr="00524078">
        <w:t xml:space="preserve">, regulatory burden </w:t>
      </w:r>
      <w:r w:rsidR="005C71A3" w:rsidRPr="00524078">
        <w:t xml:space="preserve">in the new services </w:t>
      </w:r>
      <w:r w:rsidRPr="00524078">
        <w:t>arises primarily</w:t>
      </w:r>
      <w:r w:rsidR="0051756A" w:rsidRPr="00524078">
        <w:t xml:space="preserve"> </w:t>
      </w:r>
      <w:r w:rsidR="001D176B" w:rsidRPr="00524078">
        <w:t>from different participant numbers according to eligibilit</w:t>
      </w:r>
      <w:r w:rsidR="0051756A" w:rsidRPr="00524078">
        <w:t xml:space="preserve">y </w:t>
      </w:r>
      <w:r w:rsidRPr="00524078">
        <w:t>and</w:t>
      </w:r>
      <w:r w:rsidR="00E21665" w:rsidRPr="00524078">
        <w:t xml:space="preserve"> </w:t>
      </w:r>
      <w:r w:rsidR="005C71A3" w:rsidRPr="00524078">
        <w:t>more providers</w:t>
      </w:r>
      <w:r w:rsidR="00ED3BF8" w:rsidRPr="00524078">
        <w:t xml:space="preserve"> assumed </w:t>
      </w:r>
      <w:r w:rsidR="00C76EE3" w:rsidRPr="00524078">
        <w:t xml:space="preserve">under </w:t>
      </w:r>
      <w:r w:rsidR="000F1213" w:rsidRPr="00524078">
        <w:t xml:space="preserve">Option </w:t>
      </w:r>
      <w:r w:rsidR="00E21665" w:rsidRPr="00524078">
        <w:t xml:space="preserve">2 than </w:t>
      </w:r>
      <w:r w:rsidR="000F1213" w:rsidRPr="00524078">
        <w:t>under</w:t>
      </w:r>
      <w:r w:rsidRPr="00524078">
        <w:t xml:space="preserve"> </w:t>
      </w:r>
      <w:r w:rsidR="000F1213" w:rsidRPr="00524078">
        <w:t xml:space="preserve">Option </w:t>
      </w:r>
      <w:r w:rsidRPr="00524078">
        <w:t>3.</w:t>
      </w:r>
      <w:r w:rsidR="00C9434C" w:rsidRPr="00524078">
        <w:t xml:space="preserve"> </w:t>
      </w:r>
      <w:r w:rsidR="00E21665" w:rsidRPr="00524078">
        <w:t xml:space="preserve">There are </w:t>
      </w:r>
      <w:r w:rsidR="000716F8" w:rsidRPr="00524078">
        <w:t xml:space="preserve">also fewer providers in ParentsNext than </w:t>
      </w:r>
      <w:r w:rsidR="00EA4969" w:rsidRPr="00524078">
        <w:t>a</w:t>
      </w:r>
      <w:r w:rsidR="00ED3BF8" w:rsidRPr="00524078">
        <w:t>ssumed</w:t>
      </w:r>
      <w:r w:rsidR="0023418F" w:rsidRPr="00524078">
        <w:t xml:space="preserve"> </w:t>
      </w:r>
      <w:r w:rsidR="000F1213" w:rsidRPr="00524078">
        <w:t xml:space="preserve">under Option </w:t>
      </w:r>
      <w:r w:rsidR="000716F8" w:rsidRPr="00524078">
        <w:t>2</w:t>
      </w:r>
      <w:r w:rsidR="000F1213" w:rsidRPr="00524078">
        <w:t>.</w:t>
      </w:r>
    </w:p>
    <w:p w14:paraId="22F8C0F5" w14:textId="6B0ECF45" w:rsidR="00092C80" w:rsidRPr="0011375F" w:rsidRDefault="005B285F" w:rsidP="00092C80">
      <w:pPr>
        <w:pStyle w:val="Caption"/>
        <w:keepNext/>
        <w:keepLines/>
      </w:pPr>
      <w:r>
        <w:fldChar w:fldCharType="begin"/>
      </w:r>
      <w:r>
        <w:instrText>TOC \o "1-3" \h \z \u</w:instrText>
      </w:r>
      <w:r>
        <w:fldChar w:fldCharType="end"/>
      </w:r>
      <w:r w:rsidR="006E36D0" w:rsidRPr="00520A33">
        <w:t xml:space="preserve">Table </w:t>
      </w:r>
      <w:r w:rsidR="008A3053">
        <w:t>11</w:t>
      </w:r>
      <w:r w:rsidR="006E36D0" w:rsidRPr="00520A33">
        <w:t xml:space="preserve">: </w:t>
      </w:r>
      <w:r w:rsidR="0049536E">
        <w:t>Regulatory costs by category for Options 2 and 3</w:t>
      </w:r>
      <w:r w:rsidR="00092C80">
        <w:t xml:space="preserve"> – New Service</w:t>
      </w:r>
      <w:r w:rsidR="0011375F">
        <w:t xml:space="preserve"> (annual average)</w:t>
      </w:r>
      <w:r w:rsidR="00937683">
        <w:br/>
      </w:r>
      <w:r w:rsidR="00785AB3" w:rsidRPr="00BF5031">
        <w:rPr>
          <w:b w:val="0"/>
          <w:bCs/>
        </w:rPr>
        <w:t xml:space="preserve">(note these costs </w:t>
      </w:r>
      <w:r w:rsidR="00785AB3" w:rsidRPr="00937683">
        <w:rPr>
          <w:b w:val="0"/>
          <w:bCs/>
        </w:rPr>
        <w:t xml:space="preserve">relate </w:t>
      </w:r>
      <w:r w:rsidR="00D512DB" w:rsidRPr="00937683">
        <w:rPr>
          <w:b w:val="0"/>
          <w:bCs/>
        </w:rPr>
        <w:t xml:space="preserve">mainly </w:t>
      </w:r>
      <w:r w:rsidR="00785AB3" w:rsidRPr="00937683">
        <w:rPr>
          <w:b w:val="0"/>
          <w:bCs/>
        </w:rPr>
        <w:t xml:space="preserve">to costs incurred by organisations that </w:t>
      </w:r>
      <w:r w:rsidR="00AC2F8E" w:rsidRPr="00937683">
        <w:rPr>
          <w:b w:val="0"/>
          <w:bCs/>
        </w:rPr>
        <w:t xml:space="preserve">applied and have been </w:t>
      </w:r>
      <w:r w:rsidR="00785AB3" w:rsidRPr="00937683">
        <w:rPr>
          <w:b w:val="0"/>
          <w:bCs/>
        </w:rPr>
        <w:t xml:space="preserve">engaged by government to deliver services and does not </w:t>
      </w:r>
      <w:r w:rsidR="00524078" w:rsidRPr="00937683">
        <w:rPr>
          <w:b w:val="0"/>
          <w:bCs/>
        </w:rPr>
        <w:t>include</w:t>
      </w:r>
      <w:r w:rsidR="007C45AB" w:rsidRPr="00937683">
        <w:rPr>
          <w:b w:val="0"/>
          <w:bCs/>
        </w:rPr>
        <w:t xml:space="preserve"> </w:t>
      </w:r>
      <w:r w:rsidR="00785AB3" w:rsidRPr="00937683">
        <w:rPr>
          <w:b w:val="0"/>
          <w:bCs/>
        </w:rPr>
        <w:t>the much larger fee revenue these organisations receive in exchange for deliveri</w:t>
      </w:r>
      <w:r w:rsidR="00785AB3" w:rsidRPr="00524078">
        <w:rPr>
          <w:b w:val="0"/>
          <w:bCs/>
        </w:rPr>
        <w:t xml:space="preserve">ng </w:t>
      </w:r>
      <w:r w:rsidR="00785AB3" w:rsidRPr="00937683">
        <w:rPr>
          <w:b w:val="0"/>
          <w:bCs/>
          <w:color w:val="000000" w:themeColor="text1"/>
        </w:rPr>
        <w:t>services)</w:t>
      </w:r>
    </w:p>
    <w:tbl>
      <w:tblPr>
        <w:tblStyle w:val="DESE"/>
        <w:tblW w:w="0" w:type="auto"/>
        <w:tblLook w:val="04A0" w:firstRow="1" w:lastRow="0" w:firstColumn="1" w:lastColumn="0" w:noHBand="0" w:noVBand="1"/>
      </w:tblPr>
      <w:tblGrid>
        <w:gridCol w:w="4248"/>
        <w:gridCol w:w="2410"/>
        <w:gridCol w:w="2268"/>
      </w:tblGrid>
      <w:tr w:rsidR="009D6AED" w:rsidRPr="004E5F5A" w14:paraId="2C6A1F75" w14:textId="77777777" w:rsidTr="00BB29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48" w:type="dxa"/>
            <w:tcBorders>
              <w:top w:val="single" w:sz="4" w:space="0" w:color="002D3F" w:themeColor="text2"/>
            </w:tcBorders>
          </w:tcPr>
          <w:p w14:paraId="0B4EDCFE" w14:textId="13989BC6" w:rsidR="009D6AED" w:rsidRPr="004E5F5A" w:rsidRDefault="00A40BD4" w:rsidP="00620312">
            <w:pPr>
              <w:rPr>
                <w:b/>
                <w:bCs/>
              </w:rPr>
            </w:pPr>
            <w:r>
              <w:rPr>
                <w:rFonts w:cs="Calibri"/>
                <w:b/>
                <w:bCs/>
              </w:rPr>
              <w:t>Category</w:t>
            </w:r>
            <w:r w:rsidR="001C1710" w:rsidRPr="004E5F5A">
              <w:rPr>
                <w:rFonts w:cs="Calibri"/>
                <w:b/>
                <w:bCs/>
              </w:rPr>
              <w:t xml:space="preserve"> </w:t>
            </w:r>
          </w:p>
        </w:tc>
        <w:tc>
          <w:tcPr>
            <w:tcW w:w="2410" w:type="dxa"/>
          </w:tcPr>
          <w:p w14:paraId="09303DA6" w14:textId="378A9F95" w:rsidR="009D6AED" w:rsidRPr="004E5F5A" w:rsidRDefault="003B557E" w:rsidP="00620312">
            <w:pPr>
              <w:cnfStyle w:val="100000000000" w:firstRow="1" w:lastRow="0" w:firstColumn="0" w:lastColumn="0" w:oddVBand="0" w:evenVBand="0" w:oddHBand="0" w:evenHBand="0" w:firstRowFirstColumn="0" w:firstRowLastColumn="0" w:lastRowFirstColumn="0" w:lastRowLastColumn="0"/>
              <w:rPr>
                <w:b/>
                <w:bCs/>
              </w:rPr>
            </w:pPr>
            <w:r w:rsidRPr="004E5F5A">
              <w:rPr>
                <w:b/>
                <w:bCs/>
              </w:rPr>
              <w:t>Option 2 (</w:t>
            </w:r>
            <w:r w:rsidR="009D6AED" w:rsidRPr="004E5F5A">
              <w:rPr>
                <w:b/>
                <w:bCs/>
              </w:rPr>
              <w:t>$million</w:t>
            </w:r>
            <w:r w:rsidRPr="004E5F5A">
              <w:rPr>
                <w:b/>
                <w:bCs/>
              </w:rPr>
              <w:t>)</w:t>
            </w:r>
          </w:p>
        </w:tc>
        <w:tc>
          <w:tcPr>
            <w:tcW w:w="2268" w:type="dxa"/>
          </w:tcPr>
          <w:p w14:paraId="43F9FDE1" w14:textId="4A9771B4" w:rsidR="009D6AED" w:rsidRPr="004E5F5A" w:rsidRDefault="003B557E" w:rsidP="00BD2574">
            <w:pPr>
              <w:cnfStyle w:val="100000000000" w:firstRow="1" w:lastRow="0" w:firstColumn="0" w:lastColumn="0" w:oddVBand="0" w:evenVBand="0" w:oddHBand="0" w:evenHBand="0" w:firstRowFirstColumn="0" w:firstRowLastColumn="0" w:lastRowFirstColumn="0" w:lastRowLastColumn="0"/>
              <w:rPr>
                <w:b/>
                <w:bCs/>
              </w:rPr>
            </w:pPr>
            <w:r w:rsidRPr="004E5F5A">
              <w:rPr>
                <w:b/>
                <w:bCs/>
              </w:rPr>
              <w:t>Option 2 (</w:t>
            </w:r>
            <w:r w:rsidR="000F3151" w:rsidRPr="004E5F5A">
              <w:rPr>
                <w:b/>
                <w:bCs/>
              </w:rPr>
              <w:t>$million</w:t>
            </w:r>
            <w:r w:rsidRPr="004E5F5A">
              <w:rPr>
                <w:b/>
                <w:bCs/>
              </w:rPr>
              <w:t>)</w:t>
            </w:r>
          </w:p>
        </w:tc>
      </w:tr>
      <w:tr w:rsidR="009D6AED" w14:paraId="28103FFB"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3B11A09B" w14:textId="1ED25B1F" w:rsidR="009D6AED" w:rsidRPr="00AA4B65" w:rsidRDefault="009D6AED" w:rsidP="00BF4326">
            <w:r>
              <w:rPr>
                <w:rFonts w:ascii="Calibri" w:hAnsi="Calibri" w:cs="Calibri"/>
              </w:rPr>
              <w:t>Registration and assessment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541FF7" w14:textId="0EA81384" w:rsidR="009D6AED" w:rsidRPr="00073C87" w:rsidRDefault="009D6AED" w:rsidP="00BF4326">
            <w:pPr>
              <w:cnfStyle w:val="000000000000" w:firstRow="0" w:lastRow="0" w:firstColumn="0" w:lastColumn="0" w:oddVBand="0" w:evenVBand="0" w:oddHBand="0" w:evenHBand="0" w:firstRowFirstColumn="0" w:firstRowLastColumn="0" w:lastRowFirstColumn="0" w:lastRowLastColumn="0"/>
            </w:pPr>
            <w:r w:rsidRPr="00073C87">
              <w:rPr>
                <w:rFonts w:ascii="Calibri" w:hAnsi="Calibri" w:cs="Calibri"/>
                <w:color w:val="000000"/>
              </w:rPr>
              <w:t xml:space="preserve"> $                   </w:t>
            </w:r>
            <w:r w:rsidR="003C5AA0">
              <w:rPr>
                <w:rFonts w:ascii="Calibri" w:hAnsi="Calibri" w:cs="Calibri"/>
                <w:color w:val="000000"/>
              </w:rPr>
              <w:t>0.85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E64C78" w14:textId="1A15615B" w:rsidR="009D6AED" w:rsidRPr="005E406A" w:rsidRDefault="009D6AED" w:rsidP="00BF4326">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w:t>
            </w:r>
            <w:r w:rsidR="003C5AA0">
              <w:rPr>
                <w:rFonts w:ascii="Calibri" w:hAnsi="Calibri" w:cs="Calibri"/>
                <w:color w:val="000000"/>
              </w:rPr>
              <w:t>38</w:t>
            </w:r>
          </w:p>
        </w:tc>
      </w:tr>
      <w:tr w:rsidR="0020622A" w14:paraId="2A1953C9" w14:textId="77777777" w:rsidTr="0020622A">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1273565B" w14:textId="261C6C30" w:rsidR="0020622A" w:rsidRPr="00AA4B65" w:rsidRDefault="0020622A" w:rsidP="0020622A">
            <w:r>
              <w:rPr>
                <w:rFonts w:ascii="Calibri" w:hAnsi="Calibri" w:cs="Calibri"/>
              </w:rPr>
              <w:t>Goal plans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E8BC34" w14:textId="7904B759" w:rsidR="0020622A" w:rsidRPr="005E406A" w:rsidRDefault="0020622A" w:rsidP="0020622A">
            <w:pPr>
              <w:cnfStyle w:val="000000000000" w:firstRow="0" w:lastRow="0" w:firstColumn="0" w:lastColumn="0" w:oddVBand="0" w:evenVBand="0" w:oddHBand="0" w:evenHBand="0" w:firstRowFirstColumn="0" w:firstRowLastColumn="0" w:lastRowFirstColumn="0" w:lastRowLastColumn="0"/>
            </w:pPr>
            <w:r w:rsidRPr="00073C87">
              <w:rPr>
                <w:rFonts w:ascii="Calibri" w:hAnsi="Calibri" w:cs="Calibri"/>
                <w:color w:val="000000"/>
              </w:rPr>
              <w:t xml:space="preserve"> $                   </w:t>
            </w:r>
            <w:r>
              <w:rPr>
                <w:rFonts w:ascii="Calibri" w:hAnsi="Calibri" w:cs="Calibri"/>
                <w:color w:val="000000"/>
              </w:rPr>
              <w:t>0.43</w:t>
            </w:r>
          </w:p>
        </w:tc>
        <w:tc>
          <w:tcPr>
            <w:tcW w:w="2268" w:type="dxa"/>
            <w:tcBorders>
              <w:top w:val="nil"/>
              <w:left w:val="single" w:sz="4" w:space="0" w:color="auto"/>
              <w:bottom w:val="single" w:sz="4" w:space="0" w:color="auto"/>
              <w:right w:val="single" w:sz="4" w:space="0" w:color="auto"/>
            </w:tcBorders>
            <w:shd w:val="clear" w:color="auto" w:fill="auto"/>
          </w:tcPr>
          <w:p w14:paraId="28DC64F2" w14:textId="41448F1D" w:rsidR="0020622A" w:rsidRPr="005E406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0.23</w:t>
            </w:r>
          </w:p>
        </w:tc>
      </w:tr>
      <w:tr w:rsidR="0020622A" w14:paraId="4B153886"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4D1EF0B1" w14:textId="57307C87" w:rsidR="0020622A" w:rsidRPr="00861934" w:rsidRDefault="0020622A" w:rsidP="0020622A">
            <w:pPr>
              <w:rPr>
                <w:b/>
                <w:bCs/>
              </w:rPr>
            </w:pPr>
            <w:r>
              <w:rPr>
                <w:rFonts w:ascii="Calibri" w:hAnsi="Calibri" w:cs="Calibri"/>
              </w:rPr>
              <w:t>Appointments</w:t>
            </w:r>
          </w:p>
        </w:tc>
        <w:tc>
          <w:tcPr>
            <w:tcW w:w="2410" w:type="dxa"/>
            <w:tcBorders>
              <w:top w:val="nil"/>
              <w:left w:val="single" w:sz="4" w:space="0" w:color="auto"/>
              <w:bottom w:val="single" w:sz="4" w:space="0" w:color="auto"/>
              <w:right w:val="single" w:sz="4" w:space="0" w:color="auto"/>
            </w:tcBorders>
            <w:shd w:val="clear" w:color="auto" w:fill="auto"/>
          </w:tcPr>
          <w:p w14:paraId="48704057" w14:textId="3E2C5CD5"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2.44</w:t>
            </w:r>
          </w:p>
        </w:tc>
        <w:tc>
          <w:tcPr>
            <w:tcW w:w="2268" w:type="dxa"/>
            <w:tcBorders>
              <w:top w:val="nil"/>
              <w:left w:val="single" w:sz="4" w:space="0" w:color="auto"/>
              <w:bottom w:val="single" w:sz="4" w:space="0" w:color="auto"/>
              <w:right w:val="single" w:sz="4" w:space="0" w:color="auto"/>
            </w:tcBorders>
            <w:shd w:val="clear" w:color="auto" w:fill="auto"/>
          </w:tcPr>
          <w:p w14:paraId="156126AB" w14:textId="7E332811"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1.44</w:t>
            </w:r>
          </w:p>
        </w:tc>
      </w:tr>
      <w:tr w:rsidR="0020622A" w14:paraId="1A8220AF"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0DF33A1C" w14:textId="145A131E" w:rsidR="0020622A" w:rsidRPr="00861934" w:rsidRDefault="0020622A" w:rsidP="0020622A">
            <w:pPr>
              <w:rPr>
                <w:b/>
                <w:bCs/>
              </w:rPr>
            </w:pPr>
            <w:r>
              <w:rPr>
                <w:rFonts w:ascii="Calibri" w:hAnsi="Calibri" w:cs="Calibri"/>
              </w:rPr>
              <w:t>Services</w:t>
            </w:r>
          </w:p>
        </w:tc>
        <w:tc>
          <w:tcPr>
            <w:tcW w:w="2410" w:type="dxa"/>
            <w:tcBorders>
              <w:top w:val="nil"/>
              <w:left w:val="single" w:sz="4" w:space="0" w:color="auto"/>
              <w:bottom w:val="single" w:sz="4" w:space="0" w:color="auto"/>
              <w:right w:val="single" w:sz="4" w:space="0" w:color="auto"/>
            </w:tcBorders>
            <w:shd w:val="clear" w:color="auto" w:fill="auto"/>
          </w:tcPr>
          <w:p w14:paraId="40A96F1A" w14:textId="46F23171"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0.05</w:t>
            </w:r>
          </w:p>
        </w:tc>
        <w:tc>
          <w:tcPr>
            <w:tcW w:w="2268" w:type="dxa"/>
            <w:tcBorders>
              <w:top w:val="nil"/>
              <w:left w:val="single" w:sz="4" w:space="0" w:color="auto"/>
              <w:bottom w:val="single" w:sz="4" w:space="0" w:color="auto"/>
              <w:right w:val="single" w:sz="4" w:space="0" w:color="auto"/>
            </w:tcBorders>
            <w:shd w:val="clear" w:color="auto" w:fill="auto"/>
          </w:tcPr>
          <w:p w14:paraId="3F1818F4" w14:textId="0B9520E5"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0.02</w:t>
            </w:r>
          </w:p>
        </w:tc>
      </w:tr>
      <w:tr w:rsidR="0020622A" w14:paraId="1DD3DC5C"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44978A3D" w14:textId="1EC81032" w:rsidR="0020622A" w:rsidRPr="00861934" w:rsidRDefault="0020622A" w:rsidP="0020622A">
            <w:pPr>
              <w:rPr>
                <w:b/>
                <w:bCs/>
              </w:rPr>
            </w:pPr>
            <w:r>
              <w:rPr>
                <w:rFonts w:ascii="Calibri" w:hAnsi="Calibri" w:cs="Calibri"/>
              </w:rPr>
              <w:t>Activities</w:t>
            </w:r>
          </w:p>
        </w:tc>
        <w:tc>
          <w:tcPr>
            <w:tcW w:w="2410" w:type="dxa"/>
            <w:tcBorders>
              <w:top w:val="nil"/>
              <w:left w:val="single" w:sz="4" w:space="0" w:color="auto"/>
              <w:bottom w:val="single" w:sz="4" w:space="0" w:color="auto"/>
              <w:right w:val="single" w:sz="4" w:space="0" w:color="auto"/>
            </w:tcBorders>
            <w:shd w:val="clear" w:color="auto" w:fill="auto"/>
          </w:tcPr>
          <w:p w14:paraId="64FDAFCE" w14:textId="545FA2A0"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0.69</w:t>
            </w:r>
          </w:p>
        </w:tc>
        <w:tc>
          <w:tcPr>
            <w:tcW w:w="2268" w:type="dxa"/>
            <w:tcBorders>
              <w:top w:val="nil"/>
              <w:left w:val="single" w:sz="4" w:space="0" w:color="auto"/>
              <w:bottom w:val="single" w:sz="4" w:space="0" w:color="auto"/>
              <w:right w:val="single" w:sz="4" w:space="0" w:color="auto"/>
            </w:tcBorders>
            <w:shd w:val="clear" w:color="auto" w:fill="auto"/>
          </w:tcPr>
          <w:p w14:paraId="734E4C59" w14:textId="5A8A15C3"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0.37</w:t>
            </w:r>
          </w:p>
        </w:tc>
      </w:tr>
      <w:tr w:rsidR="0020622A" w14:paraId="309DD4FF"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151DC6E5" w14:textId="076C6138" w:rsidR="0020622A" w:rsidRPr="00861934" w:rsidRDefault="0020622A" w:rsidP="0020622A">
            <w:pPr>
              <w:rPr>
                <w:b/>
                <w:bCs/>
              </w:rPr>
            </w:pPr>
            <w:r>
              <w:rPr>
                <w:rFonts w:ascii="Calibri" w:hAnsi="Calibri" w:cs="Calibri"/>
              </w:rPr>
              <w:t>Parents Funding Pool including wage subsidies and relocation assistance</w:t>
            </w:r>
          </w:p>
        </w:tc>
        <w:tc>
          <w:tcPr>
            <w:tcW w:w="2410" w:type="dxa"/>
            <w:tcBorders>
              <w:top w:val="nil"/>
              <w:left w:val="single" w:sz="4" w:space="0" w:color="auto"/>
              <w:bottom w:val="single" w:sz="4" w:space="0" w:color="auto"/>
              <w:right w:val="single" w:sz="4" w:space="0" w:color="auto"/>
            </w:tcBorders>
            <w:shd w:val="clear" w:color="auto" w:fill="auto"/>
          </w:tcPr>
          <w:p w14:paraId="3F9AD935" w14:textId="73EEC783"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0.47</w:t>
            </w:r>
          </w:p>
        </w:tc>
        <w:tc>
          <w:tcPr>
            <w:tcW w:w="2268" w:type="dxa"/>
            <w:tcBorders>
              <w:top w:val="nil"/>
              <w:left w:val="single" w:sz="4" w:space="0" w:color="auto"/>
              <w:bottom w:val="single" w:sz="4" w:space="0" w:color="auto"/>
              <w:right w:val="single" w:sz="4" w:space="0" w:color="auto"/>
            </w:tcBorders>
            <w:shd w:val="clear" w:color="auto" w:fill="auto"/>
          </w:tcPr>
          <w:p w14:paraId="328B99F3" w14:textId="731BA976"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0.25</w:t>
            </w:r>
          </w:p>
        </w:tc>
      </w:tr>
      <w:tr w:rsidR="0020622A" w14:paraId="6234635B"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69686D58" w14:textId="039E77C9" w:rsidR="0020622A" w:rsidRPr="00861934" w:rsidRDefault="0020622A" w:rsidP="0020622A">
            <w:pPr>
              <w:rPr>
                <w:b/>
                <w:bCs/>
              </w:rPr>
            </w:pPr>
            <w:r>
              <w:rPr>
                <w:rFonts w:ascii="Calibri" w:hAnsi="Calibri" w:cs="Calibri"/>
              </w:rPr>
              <w:t>Individual Fund</w:t>
            </w:r>
          </w:p>
        </w:tc>
        <w:tc>
          <w:tcPr>
            <w:tcW w:w="2410" w:type="dxa"/>
            <w:tcBorders>
              <w:top w:val="nil"/>
              <w:left w:val="single" w:sz="4" w:space="0" w:color="auto"/>
              <w:bottom w:val="single" w:sz="4" w:space="0" w:color="auto"/>
              <w:right w:val="single" w:sz="4" w:space="0" w:color="auto"/>
            </w:tcBorders>
            <w:shd w:val="clear" w:color="auto" w:fill="auto"/>
          </w:tcPr>
          <w:p w14:paraId="03F41CC2" w14:textId="2A68E24E"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1.17</w:t>
            </w:r>
          </w:p>
        </w:tc>
        <w:tc>
          <w:tcPr>
            <w:tcW w:w="2268" w:type="dxa"/>
            <w:tcBorders>
              <w:top w:val="nil"/>
              <w:left w:val="single" w:sz="4" w:space="0" w:color="auto"/>
              <w:bottom w:val="single" w:sz="4" w:space="0" w:color="auto"/>
              <w:right w:val="single" w:sz="4" w:space="0" w:color="auto"/>
            </w:tcBorders>
            <w:shd w:val="clear" w:color="auto" w:fill="auto"/>
          </w:tcPr>
          <w:p w14:paraId="46FFE657" w14:textId="0740FD85"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0.62</w:t>
            </w:r>
          </w:p>
        </w:tc>
      </w:tr>
      <w:tr w:rsidR="0020622A" w14:paraId="5210F1FE"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019907D6" w14:textId="27D1A260" w:rsidR="0020622A" w:rsidRPr="00861934" w:rsidRDefault="0020622A" w:rsidP="0020622A">
            <w:pPr>
              <w:rPr>
                <w:b/>
                <w:bCs/>
              </w:rPr>
            </w:pPr>
            <w:r>
              <w:rPr>
                <w:rFonts w:ascii="Calibri" w:hAnsi="Calibri" w:cs="Calibri"/>
              </w:rPr>
              <w:t>Outreach and engagement funding</w:t>
            </w:r>
          </w:p>
        </w:tc>
        <w:tc>
          <w:tcPr>
            <w:tcW w:w="2410" w:type="dxa"/>
            <w:tcBorders>
              <w:top w:val="nil"/>
              <w:left w:val="single" w:sz="4" w:space="0" w:color="auto"/>
              <w:bottom w:val="single" w:sz="4" w:space="0" w:color="auto"/>
              <w:right w:val="single" w:sz="4" w:space="0" w:color="auto"/>
            </w:tcBorders>
            <w:shd w:val="clear" w:color="auto" w:fill="auto"/>
          </w:tcPr>
          <w:p w14:paraId="12A374A2" w14:textId="14BE8B9A"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0.04</w:t>
            </w:r>
          </w:p>
        </w:tc>
        <w:tc>
          <w:tcPr>
            <w:tcW w:w="2268" w:type="dxa"/>
            <w:tcBorders>
              <w:top w:val="nil"/>
              <w:left w:val="single" w:sz="4" w:space="0" w:color="auto"/>
              <w:bottom w:val="single" w:sz="4" w:space="0" w:color="auto"/>
              <w:right w:val="single" w:sz="4" w:space="0" w:color="auto"/>
            </w:tcBorders>
            <w:shd w:val="clear" w:color="auto" w:fill="auto"/>
          </w:tcPr>
          <w:p w14:paraId="23BE2EAA" w14:textId="634A8F49"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0.01</w:t>
            </w:r>
          </w:p>
        </w:tc>
      </w:tr>
      <w:tr w:rsidR="0020622A" w14:paraId="6CF4C0F5"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0536C88F" w14:textId="23A71009" w:rsidR="0020622A" w:rsidRPr="004365C7" w:rsidRDefault="0020622A" w:rsidP="0020622A">
            <w:pPr>
              <w:rPr>
                <w:b/>
                <w:bCs/>
              </w:rPr>
            </w:pPr>
            <w:r w:rsidRPr="004365C7">
              <w:rPr>
                <w:rFonts w:ascii="Calibri" w:hAnsi="Calibri" w:cs="Calibri"/>
              </w:rPr>
              <w:t>Contract management</w:t>
            </w:r>
          </w:p>
        </w:tc>
        <w:tc>
          <w:tcPr>
            <w:tcW w:w="2410" w:type="dxa"/>
            <w:tcBorders>
              <w:top w:val="nil"/>
              <w:left w:val="single" w:sz="4" w:space="0" w:color="auto"/>
              <w:bottom w:val="single" w:sz="4" w:space="0" w:color="auto"/>
              <w:right w:val="single" w:sz="4" w:space="0" w:color="auto"/>
            </w:tcBorders>
            <w:shd w:val="clear" w:color="auto" w:fill="auto"/>
          </w:tcPr>
          <w:p w14:paraId="4BA38EC8" w14:textId="6CFE4E70" w:rsidR="0020622A" w:rsidRPr="004365C7" w:rsidRDefault="0020622A" w:rsidP="0020622A">
            <w:pPr>
              <w:cnfStyle w:val="000000000000" w:firstRow="0" w:lastRow="0" w:firstColumn="0" w:lastColumn="0" w:oddVBand="0" w:evenVBand="0" w:oddHBand="0" w:evenHBand="0" w:firstRowFirstColumn="0" w:firstRowLastColumn="0" w:lastRowFirstColumn="0" w:lastRowLastColumn="0"/>
            </w:pPr>
            <w:r w:rsidRPr="004365C7">
              <w:rPr>
                <w:rFonts w:ascii="Calibri" w:hAnsi="Calibri" w:cs="Calibri"/>
                <w:color w:val="000000"/>
              </w:rPr>
              <w:t xml:space="preserve"> $                   </w:t>
            </w:r>
            <w:r>
              <w:rPr>
                <w:rFonts w:ascii="Calibri" w:hAnsi="Calibri" w:cs="Calibri"/>
                <w:color w:val="000000"/>
              </w:rPr>
              <w:t>1.86</w:t>
            </w:r>
          </w:p>
        </w:tc>
        <w:tc>
          <w:tcPr>
            <w:tcW w:w="2268" w:type="dxa"/>
            <w:tcBorders>
              <w:top w:val="nil"/>
              <w:left w:val="single" w:sz="4" w:space="0" w:color="auto"/>
              <w:bottom w:val="single" w:sz="4" w:space="0" w:color="auto"/>
              <w:right w:val="single" w:sz="4" w:space="0" w:color="auto"/>
            </w:tcBorders>
            <w:shd w:val="clear" w:color="auto" w:fill="auto"/>
          </w:tcPr>
          <w:p w14:paraId="5CA97B87" w14:textId="3E67D7A9" w:rsidR="0020622A" w:rsidRDefault="0020622A" w:rsidP="0020622A">
            <w:pPr>
              <w:cnfStyle w:val="000000000000" w:firstRow="0" w:lastRow="0" w:firstColumn="0" w:lastColumn="0" w:oddVBand="0" w:evenVBand="0" w:oddHBand="0" w:evenHBand="0" w:firstRowFirstColumn="0" w:firstRowLastColumn="0" w:lastRowFirstColumn="0" w:lastRowLastColumn="0"/>
            </w:pPr>
            <w:r w:rsidRPr="004365C7">
              <w:rPr>
                <w:rFonts w:ascii="Calibri" w:hAnsi="Calibri" w:cs="Calibri"/>
                <w:color w:val="000000"/>
              </w:rPr>
              <w:t xml:space="preserve"> $               0.4</w:t>
            </w:r>
            <w:r>
              <w:rPr>
                <w:rFonts w:ascii="Calibri" w:hAnsi="Calibri" w:cs="Calibri"/>
                <w:color w:val="000000"/>
              </w:rPr>
              <w:t>7</w:t>
            </w:r>
          </w:p>
        </w:tc>
      </w:tr>
      <w:tr w:rsidR="0020622A" w14:paraId="0619357B"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64C86F18" w14:textId="6BBE588B" w:rsidR="0020622A" w:rsidRPr="00861934" w:rsidRDefault="0020622A" w:rsidP="0020622A">
            <w:pPr>
              <w:rPr>
                <w:b/>
                <w:bCs/>
              </w:rPr>
            </w:pPr>
            <w:r>
              <w:rPr>
                <w:rFonts w:ascii="Calibri" w:hAnsi="Calibri" w:cs="Calibri"/>
              </w:rPr>
              <w:t>Updates and provider training</w:t>
            </w:r>
          </w:p>
        </w:tc>
        <w:tc>
          <w:tcPr>
            <w:tcW w:w="2410" w:type="dxa"/>
            <w:tcBorders>
              <w:top w:val="nil"/>
              <w:left w:val="single" w:sz="4" w:space="0" w:color="auto"/>
              <w:bottom w:val="single" w:sz="4" w:space="0" w:color="auto"/>
              <w:right w:val="single" w:sz="4" w:space="0" w:color="auto"/>
            </w:tcBorders>
            <w:shd w:val="clear" w:color="auto" w:fill="auto"/>
          </w:tcPr>
          <w:p w14:paraId="4DB00CBE" w14:textId="73140111"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0.78</w:t>
            </w:r>
          </w:p>
        </w:tc>
        <w:tc>
          <w:tcPr>
            <w:tcW w:w="2268" w:type="dxa"/>
            <w:tcBorders>
              <w:top w:val="nil"/>
              <w:left w:val="single" w:sz="4" w:space="0" w:color="auto"/>
              <w:bottom w:val="single" w:sz="4" w:space="0" w:color="auto"/>
              <w:right w:val="single" w:sz="4" w:space="0" w:color="auto"/>
            </w:tcBorders>
            <w:shd w:val="clear" w:color="auto" w:fill="auto"/>
          </w:tcPr>
          <w:p w14:paraId="75E5A5DE" w14:textId="30C936B4" w:rsidR="0020622A" w:rsidRDefault="0020622A" w:rsidP="002062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0.32</w:t>
            </w:r>
          </w:p>
        </w:tc>
      </w:tr>
      <w:tr w:rsidR="0020622A" w:rsidRPr="00BF4326" w14:paraId="706C5556"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40C9B4B6" w14:textId="6C5D3932" w:rsidR="0020622A" w:rsidRPr="00BF4326" w:rsidRDefault="0020622A" w:rsidP="0020622A">
            <w:pPr>
              <w:rPr>
                <w:b/>
                <w:bCs/>
              </w:rPr>
            </w:pPr>
            <w:r w:rsidRPr="00BF4326">
              <w:rPr>
                <w:rFonts w:ascii="Calibri" w:hAnsi="Calibri" w:cs="Calibri"/>
                <w:b/>
                <w:bCs/>
              </w:rPr>
              <w:t>Total</w:t>
            </w:r>
          </w:p>
        </w:tc>
        <w:tc>
          <w:tcPr>
            <w:tcW w:w="2410" w:type="dxa"/>
            <w:tcBorders>
              <w:top w:val="nil"/>
              <w:left w:val="single" w:sz="4" w:space="0" w:color="auto"/>
              <w:bottom w:val="single" w:sz="4" w:space="0" w:color="auto"/>
              <w:right w:val="single" w:sz="4" w:space="0" w:color="auto"/>
            </w:tcBorders>
            <w:shd w:val="clear" w:color="auto" w:fill="auto"/>
          </w:tcPr>
          <w:p w14:paraId="00A14B31" w14:textId="6179D60B" w:rsidR="0020622A" w:rsidRPr="00BF4326" w:rsidRDefault="0020622A" w:rsidP="0020622A">
            <w:pPr>
              <w:cnfStyle w:val="000000000000" w:firstRow="0" w:lastRow="0" w:firstColumn="0" w:lastColumn="0" w:oddVBand="0" w:evenVBand="0" w:oddHBand="0" w:evenHBand="0" w:firstRowFirstColumn="0" w:firstRowLastColumn="0" w:lastRowFirstColumn="0" w:lastRowLastColumn="0"/>
              <w:rPr>
                <w:b/>
                <w:bCs/>
              </w:rPr>
            </w:pPr>
            <w:r w:rsidRPr="00BF4326">
              <w:rPr>
                <w:rFonts w:ascii="Calibri" w:hAnsi="Calibri" w:cs="Calibri"/>
                <w:b/>
                <w:bCs/>
                <w:color w:val="000000"/>
              </w:rPr>
              <w:t xml:space="preserve"> </w:t>
            </w:r>
            <w:r w:rsidRPr="00073C87">
              <w:rPr>
                <w:rFonts w:ascii="Calibri" w:hAnsi="Calibri" w:cs="Calibri"/>
                <w:b/>
                <w:bCs/>
                <w:color w:val="000000"/>
              </w:rPr>
              <w:t xml:space="preserve">$                   </w:t>
            </w:r>
            <w:r>
              <w:rPr>
                <w:rFonts w:ascii="Calibri" w:hAnsi="Calibri" w:cs="Calibri"/>
                <w:b/>
                <w:bCs/>
                <w:color w:val="000000"/>
              </w:rPr>
              <w:t>8.78</w:t>
            </w:r>
          </w:p>
        </w:tc>
        <w:tc>
          <w:tcPr>
            <w:tcW w:w="2268" w:type="dxa"/>
            <w:tcBorders>
              <w:top w:val="nil"/>
              <w:left w:val="single" w:sz="4" w:space="0" w:color="auto"/>
              <w:bottom w:val="single" w:sz="4" w:space="0" w:color="auto"/>
              <w:right w:val="single" w:sz="4" w:space="0" w:color="auto"/>
            </w:tcBorders>
            <w:shd w:val="clear" w:color="auto" w:fill="auto"/>
          </w:tcPr>
          <w:p w14:paraId="46CE38F8" w14:textId="5A4D8F18" w:rsidR="0020622A" w:rsidRPr="00BF4326" w:rsidRDefault="0020622A" w:rsidP="0020622A">
            <w:pPr>
              <w:cnfStyle w:val="000000000000" w:firstRow="0" w:lastRow="0" w:firstColumn="0" w:lastColumn="0" w:oddVBand="0" w:evenVBand="0" w:oddHBand="0" w:evenHBand="0" w:firstRowFirstColumn="0" w:firstRowLastColumn="0" w:lastRowFirstColumn="0" w:lastRowLastColumn="0"/>
              <w:rPr>
                <w:b/>
                <w:bCs/>
              </w:rPr>
            </w:pPr>
            <w:r w:rsidRPr="00BF4326">
              <w:rPr>
                <w:rFonts w:ascii="Calibri" w:hAnsi="Calibri" w:cs="Calibri"/>
                <w:b/>
                <w:bCs/>
                <w:color w:val="000000"/>
              </w:rPr>
              <w:t xml:space="preserve"> $               </w:t>
            </w:r>
            <w:r>
              <w:rPr>
                <w:rFonts w:ascii="Calibri" w:hAnsi="Calibri" w:cs="Calibri"/>
                <w:b/>
                <w:bCs/>
                <w:color w:val="000000"/>
              </w:rPr>
              <w:t>4.12</w:t>
            </w:r>
          </w:p>
        </w:tc>
      </w:tr>
    </w:tbl>
    <w:p w14:paraId="6FD7443C" w14:textId="6EA4F691" w:rsidR="00737C3C" w:rsidRPr="00295800" w:rsidRDefault="005B285F" w:rsidP="00737C3C">
      <w:pPr>
        <w:pStyle w:val="Caption"/>
        <w:keepNext/>
        <w:keepLines/>
      </w:pPr>
      <w:r>
        <w:fldChar w:fldCharType="begin"/>
      </w:r>
      <w:r>
        <w:instrText>TOC \o "1-3" \h \z \u</w:instrText>
      </w:r>
      <w:r>
        <w:fldChar w:fldCharType="end"/>
      </w:r>
      <w:r w:rsidR="00737C3C" w:rsidRPr="00520A33">
        <w:t xml:space="preserve">Table </w:t>
      </w:r>
      <w:r w:rsidR="00737C3C">
        <w:t>12</w:t>
      </w:r>
      <w:r w:rsidR="00737C3C" w:rsidRPr="00520A33">
        <w:t xml:space="preserve">: </w:t>
      </w:r>
      <w:r w:rsidR="00737C3C">
        <w:t xml:space="preserve">Regulatory costs by category for Options 2 and 3 – ParentsNext </w:t>
      </w:r>
      <w:r w:rsidR="00F72D30">
        <w:t>e</w:t>
      </w:r>
      <w:r w:rsidR="00737C3C">
        <w:t>xtension</w:t>
      </w:r>
      <w:r w:rsidR="00737C3C">
        <w:br/>
      </w:r>
      <w:r w:rsidR="00737C3C" w:rsidRPr="00BF5031">
        <w:rPr>
          <w:b w:val="0"/>
          <w:bCs/>
        </w:rPr>
        <w:t xml:space="preserve">(note these costs </w:t>
      </w:r>
      <w:r w:rsidR="00737C3C" w:rsidRPr="00937683">
        <w:rPr>
          <w:b w:val="0"/>
          <w:bCs/>
        </w:rPr>
        <w:t>relate mainly to costs incurred by organisations that applied and have been engaged by government to deliver services and does not include the much larger fee revenue these organisations receive in exchange for deliveri</w:t>
      </w:r>
      <w:r w:rsidR="00737C3C" w:rsidRPr="00524078">
        <w:rPr>
          <w:b w:val="0"/>
          <w:bCs/>
        </w:rPr>
        <w:t xml:space="preserve">ng </w:t>
      </w:r>
      <w:r w:rsidR="00737C3C" w:rsidRPr="00937683">
        <w:rPr>
          <w:b w:val="0"/>
          <w:bCs/>
          <w:color w:val="000000" w:themeColor="text1"/>
        </w:rPr>
        <w:t>services)</w:t>
      </w:r>
    </w:p>
    <w:tbl>
      <w:tblPr>
        <w:tblStyle w:val="DESE"/>
        <w:tblW w:w="0" w:type="auto"/>
        <w:tblLook w:val="04A0" w:firstRow="1" w:lastRow="0" w:firstColumn="1" w:lastColumn="0" w:noHBand="0" w:noVBand="1"/>
      </w:tblPr>
      <w:tblGrid>
        <w:gridCol w:w="4248"/>
        <w:gridCol w:w="2410"/>
        <w:gridCol w:w="2268"/>
      </w:tblGrid>
      <w:tr w:rsidR="001D6939" w:rsidRPr="004E5F5A" w14:paraId="49BC1DBF" w14:textId="77777777" w:rsidTr="006203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48" w:type="dxa"/>
            <w:tcBorders>
              <w:top w:val="single" w:sz="4" w:space="0" w:color="002D3F" w:themeColor="text2"/>
            </w:tcBorders>
          </w:tcPr>
          <w:p w14:paraId="6FDB7984" w14:textId="0A2FE603" w:rsidR="001D6939" w:rsidRPr="004E5F5A" w:rsidRDefault="001D6939" w:rsidP="00620312">
            <w:pPr>
              <w:rPr>
                <w:b/>
                <w:bCs/>
              </w:rPr>
            </w:pPr>
            <w:r w:rsidRPr="004E5F5A">
              <w:rPr>
                <w:b/>
                <w:bCs/>
              </w:rPr>
              <w:t>Category</w:t>
            </w:r>
          </w:p>
        </w:tc>
        <w:tc>
          <w:tcPr>
            <w:tcW w:w="2410" w:type="dxa"/>
          </w:tcPr>
          <w:p w14:paraId="51D1A81A" w14:textId="77777777" w:rsidR="001D6939" w:rsidRPr="004E5F5A" w:rsidRDefault="001D6939" w:rsidP="00620312">
            <w:pPr>
              <w:cnfStyle w:val="100000000000" w:firstRow="1" w:lastRow="0" w:firstColumn="0" w:lastColumn="0" w:oddVBand="0" w:evenVBand="0" w:oddHBand="0" w:evenHBand="0" w:firstRowFirstColumn="0" w:firstRowLastColumn="0" w:lastRowFirstColumn="0" w:lastRowLastColumn="0"/>
              <w:rPr>
                <w:b/>
                <w:bCs/>
              </w:rPr>
            </w:pPr>
            <w:r w:rsidRPr="004E5F5A">
              <w:rPr>
                <w:b/>
                <w:bCs/>
              </w:rPr>
              <w:t>Option 2 ($million)</w:t>
            </w:r>
          </w:p>
        </w:tc>
        <w:tc>
          <w:tcPr>
            <w:tcW w:w="2268" w:type="dxa"/>
          </w:tcPr>
          <w:p w14:paraId="732ABDB1" w14:textId="77777777" w:rsidR="001D6939" w:rsidRPr="004E5F5A" w:rsidRDefault="001D6939" w:rsidP="00620312">
            <w:pPr>
              <w:cnfStyle w:val="100000000000" w:firstRow="1" w:lastRow="0" w:firstColumn="0" w:lastColumn="0" w:oddVBand="0" w:evenVBand="0" w:oddHBand="0" w:evenHBand="0" w:firstRowFirstColumn="0" w:firstRowLastColumn="0" w:lastRowFirstColumn="0" w:lastRowLastColumn="0"/>
              <w:rPr>
                <w:b/>
                <w:bCs/>
              </w:rPr>
            </w:pPr>
            <w:r w:rsidRPr="004E5F5A">
              <w:rPr>
                <w:b/>
                <w:bCs/>
              </w:rPr>
              <w:t>Option 2 ($million)</w:t>
            </w:r>
          </w:p>
        </w:tc>
      </w:tr>
      <w:tr w:rsidR="00524078" w14:paraId="70ED341F"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shd w:val="clear" w:color="000000" w:fill="FFFFFF"/>
          </w:tcPr>
          <w:p w14:paraId="4F267421" w14:textId="71422F0A" w:rsidR="00524078" w:rsidRPr="00861934" w:rsidRDefault="00524078" w:rsidP="00524078">
            <w:pPr>
              <w:keepNext/>
              <w:rPr>
                <w:b/>
                <w:bCs/>
              </w:rPr>
            </w:pPr>
            <w:r>
              <w:rPr>
                <w:rFonts w:ascii="Calibri" w:hAnsi="Calibri" w:cs="Calibri"/>
              </w:rPr>
              <w:t>Registration and assessment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C7E517" w14:textId="324455BB" w:rsidR="00524078" w:rsidRDefault="00524078" w:rsidP="00524078">
            <w:pPr>
              <w:keepN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w:t>
            </w:r>
            <w:r w:rsidR="00A02697">
              <w:rPr>
                <w:rFonts w:ascii="Calibri" w:hAnsi="Calibri" w:cs="Calibri"/>
                <w:color w:val="000000"/>
              </w:rPr>
              <w:t>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AC6D63" w14:textId="4E0391AF" w:rsidR="00524078" w:rsidRDefault="00524078" w:rsidP="00524078">
            <w:pPr>
              <w:keepN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E176B9">
              <w:rPr>
                <w:rFonts w:ascii="Calibri" w:hAnsi="Calibri" w:cs="Calibri"/>
                <w:color w:val="000000"/>
              </w:rPr>
              <w:t>0.48</w:t>
            </w:r>
          </w:p>
        </w:tc>
      </w:tr>
      <w:tr w:rsidR="00524078" w14:paraId="6D139EA0"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58432DAA" w14:textId="588B9D5A" w:rsidR="00524078" w:rsidRPr="00861934" w:rsidRDefault="00524078" w:rsidP="00524078">
            <w:pPr>
              <w:keepNext/>
              <w:rPr>
                <w:b/>
                <w:bCs/>
              </w:rPr>
            </w:pPr>
            <w:r>
              <w:rPr>
                <w:rFonts w:ascii="Calibri" w:hAnsi="Calibri" w:cs="Calibri"/>
              </w:rPr>
              <w:t>Participation plans</w:t>
            </w:r>
          </w:p>
        </w:tc>
        <w:tc>
          <w:tcPr>
            <w:tcW w:w="2410" w:type="dxa"/>
            <w:tcBorders>
              <w:top w:val="nil"/>
              <w:left w:val="single" w:sz="4" w:space="0" w:color="auto"/>
              <w:bottom w:val="single" w:sz="4" w:space="0" w:color="auto"/>
              <w:right w:val="single" w:sz="4" w:space="0" w:color="auto"/>
            </w:tcBorders>
            <w:shd w:val="clear" w:color="auto" w:fill="auto"/>
          </w:tcPr>
          <w:p w14:paraId="248F2AC2" w14:textId="09F8B7CE" w:rsidR="00524078" w:rsidRDefault="00524078" w:rsidP="00524078">
            <w:pPr>
              <w:keepN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w:t>
            </w:r>
            <w:r w:rsidR="006D4ACC">
              <w:rPr>
                <w:rFonts w:ascii="Calibri" w:hAnsi="Calibri" w:cs="Calibri"/>
                <w:color w:val="000000"/>
              </w:rPr>
              <w:t>37</w:t>
            </w:r>
          </w:p>
        </w:tc>
        <w:tc>
          <w:tcPr>
            <w:tcW w:w="2268" w:type="dxa"/>
            <w:tcBorders>
              <w:top w:val="nil"/>
              <w:left w:val="single" w:sz="4" w:space="0" w:color="auto"/>
              <w:bottom w:val="single" w:sz="4" w:space="0" w:color="auto"/>
              <w:right w:val="single" w:sz="4" w:space="0" w:color="auto"/>
            </w:tcBorders>
            <w:shd w:val="clear" w:color="auto" w:fill="auto"/>
          </w:tcPr>
          <w:p w14:paraId="23682301" w14:textId="4092779D" w:rsidR="00524078" w:rsidRDefault="00524078" w:rsidP="00524078">
            <w:pPr>
              <w:keepN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E176B9">
              <w:rPr>
                <w:rFonts w:ascii="Calibri" w:hAnsi="Calibri" w:cs="Calibri"/>
                <w:color w:val="000000"/>
              </w:rPr>
              <w:t>0.37</w:t>
            </w:r>
          </w:p>
        </w:tc>
      </w:tr>
      <w:tr w:rsidR="00524078" w14:paraId="390AB03B"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7D07CDD8" w14:textId="1E5A05D5" w:rsidR="00524078" w:rsidRPr="00861934" w:rsidRDefault="00524078" w:rsidP="00524078">
            <w:pPr>
              <w:keepNext/>
              <w:rPr>
                <w:b/>
                <w:bCs/>
              </w:rPr>
            </w:pPr>
            <w:r>
              <w:rPr>
                <w:rFonts w:ascii="Calibri" w:hAnsi="Calibri" w:cs="Calibri"/>
              </w:rPr>
              <w:t>Appointments</w:t>
            </w:r>
          </w:p>
        </w:tc>
        <w:tc>
          <w:tcPr>
            <w:tcW w:w="2410" w:type="dxa"/>
            <w:tcBorders>
              <w:top w:val="nil"/>
              <w:left w:val="single" w:sz="4" w:space="0" w:color="auto"/>
              <w:bottom w:val="single" w:sz="4" w:space="0" w:color="auto"/>
              <w:right w:val="single" w:sz="4" w:space="0" w:color="auto"/>
            </w:tcBorders>
            <w:shd w:val="clear" w:color="auto" w:fill="auto"/>
          </w:tcPr>
          <w:p w14:paraId="14FAEB3C" w14:textId="70F82555" w:rsidR="00524078" w:rsidRDefault="00524078" w:rsidP="00524078">
            <w:pPr>
              <w:keepN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6D4ACC">
              <w:rPr>
                <w:rFonts w:ascii="Calibri" w:hAnsi="Calibri" w:cs="Calibri"/>
                <w:color w:val="000000"/>
              </w:rPr>
              <w:t>0.9</w:t>
            </w:r>
            <w:r w:rsidR="008D1857">
              <w:rPr>
                <w:rFonts w:ascii="Calibri" w:hAnsi="Calibri" w:cs="Calibri"/>
                <w:color w:val="000000"/>
              </w:rPr>
              <w:t>3</w:t>
            </w:r>
          </w:p>
        </w:tc>
        <w:tc>
          <w:tcPr>
            <w:tcW w:w="2268" w:type="dxa"/>
            <w:tcBorders>
              <w:top w:val="nil"/>
              <w:left w:val="single" w:sz="4" w:space="0" w:color="auto"/>
              <w:bottom w:val="single" w:sz="4" w:space="0" w:color="auto"/>
              <w:right w:val="single" w:sz="4" w:space="0" w:color="auto"/>
            </w:tcBorders>
            <w:shd w:val="clear" w:color="auto" w:fill="auto"/>
          </w:tcPr>
          <w:p w14:paraId="791F18E3" w14:textId="69AD8349" w:rsidR="00524078" w:rsidRDefault="00524078" w:rsidP="00524078">
            <w:pPr>
              <w:keepN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E176B9">
              <w:rPr>
                <w:rFonts w:ascii="Calibri" w:hAnsi="Calibri" w:cs="Calibri"/>
                <w:color w:val="000000"/>
              </w:rPr>
              <w:t>0.9</w:t>
            </w:r>
            <w:r w:rsidR="008D1857">
              <w:rPr>
                <w:rFonts w:ascii="Calibri" w:hAnsi="Calibri" w:cs="Calibri"/>
                <w:color w:val="000000"/>
              </w:rPr>
              <w:t>3</w:t>
            </w:r>
          </w:p>
        </w:tc>
      </w:tr>
      <w:tr w:rsidR="00524078" w14:paraId="4C20AC58"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5ECB81C7" w14:textId="4DB74812" w:rsidR="00524078" w:rsidRPr="00861934" w:rsidRDefault="00524078" w:rsidP="00524078">
            <w:pPr>
              <w:rPr>
                <w:b/>
                <w:bCs/>
              </w:rPr>
            </w:pPr>
            <w:r>
              <w:rPr>
                <w:rFonts w:ascii="Calibri" w:hAnsi="Calibri" w:cs="Calibri"/>
              </w:rPr>
              <w:t>Services</w:t>
            </w:r>
          </w:p>
        </w:tc>
        <w:tc>
          <w:tcPr>
            <w:tcW w:w="2410" w:type="dxa"/>
            <w:tcBorders>
              <w:top w:val="nil"/>
              <w:left w:val="single" w:sz="4" w:space="0" w:color="auto"/>
              <w:bottom w:val="single" w:sz="4" w:space="0" w:color="auto"/>
              <w:right w:val="single" w:sz="4" w:space="0" w:color="auto"/>
            </w:tcBorders>
            <w:shd w:val="clear" w:color="auto" w:fill="auto"/>
          </w:tcPr>
          <w:p w14:paraId="3C10F8A7" w14:textId="0299C592"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6D4ACC">
              <w:rPr>
                <w:rFonts w:ascii="Calibri" w:hAnsi="Calibri" w:cs="Calibri"/>
                <w:color w:val="000000"/>
              </w:rPr>
              <w:t>0.30</w:t>
            </w:r>
          </w:p>
        </w:tc>
        <w:tc>
          <w:tcPr>
            <w:tcW w:w="2268" w:type="dxa"/>
            <w:tcBorders>
              <w:top w:val="nil"/>
              <w:left w:val="single" w:sz="4" w:space="0" w:color="auto"/>
              <w:bottom w:val="single" w:sz="4" w:space="0" w:color="auto"/>
              <w:right w:val="single" w:sz="4" w:space="0" w:color="auto"/>
            </w:tcBorders>
            <w:shd w:val="clear" w:color="auto" w:fill="auto"/>
          </w:tcPr>
          <w:p w14:paraId="721FE1A7" w14:textId="19BFAF1C"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E176B9">
              <w:rPr>
                <w:rFonts w:ascii="Calibri" w:hAnsi="Calibri" w:cs="Calibri"/>
                <w:color w:val="000000"/>
              </w:rPr>
              <w:t>0.30</w:t>
            </w:r>
          </w:p>
        </w:tc>
      </w:tr>
      <w:tr w:rsidR="00524078" w14:paraId="2A6C574F"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3E0AC899" w14:textId="3030494A" w:rsidR="00524078" w:rsidRPr="00861934" w:rsidRDefault="00524078" w:rsidP="00524078">
            <w:pPr>
              <w:rPr>
                <w:b/>
                <w:bCs/>
              </w:rPr>
            </w:pPr>
            <w:r>
              <w:rPr>
                <w:rFonts w:ascii="Calibri" w:hAnsi="Calibri" w:cs="Calibri"/>
              </w:rPr>
              <w:t>Activities</w:t>
            </w:r>
          </w:p>
        </w:tc>
        <w:tc>
          <w:tcPr>
            <w:tcW w:w="2410" w:type="dxa"/>
            <w:tcBorders>
              <w:top w:val="nil"/>
              <w:left w:val="single" w:sz="4" w:space="0" w:color="auto"/>
              <w:bottom w:val="single" w:sz="4" w:space="0" w:color="auto"/>
              <w:right w:val="single" w:sz="4" w:space="0" w:color="auto"/>
            </w:tcBorders>
            <w:shd w:val="clear" w:color="auto" w:fill="auto"/>
          </w:tcPr>
          <w:p w14:paraId="2B944A99" w14:textId="1009D6F2"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w:t>
            </w:r>
            <w:r w:rsidR="006D4ACC">
              <w:rPr>
                <w:rFonts w:ascii="Calibri" w:hAnsi="Calibri" w:cs="Calibri"/>
                <w:color w:val="000000"/>
              </w:rPr>
              <w:t>28</w:t>
            </w:r>
          </w:p>
        </w:tc>
        <w:tc>
          <w:tcPr>
            <w:tcW w:w="2268" w:type="dxa"/>
            <w:tcBorders>
              <w:top w:val="nil"/>
              <w:left w:val="single" w:sz="4" w:space="0" w:color="auto"/>
              <w:bottom w:val="single" w:sz="4" w:space="0" w:color="auto"/>
              <w:right w:val="single" w:sz="4" w:space="0" w:color="auto"/>
            </w:tcBorders>
            <w:shd w:val="clear" w:color="auto" w:fill="auto"/>
          </w:tcPr>
          <w:p w14:paraId="72FE8CCC" w14:textId="1A250864"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E176B9">
              <w:rPr>
                <w:rFonts w:ascii="Calibri" w:hAnsi="Calibri" w:cs="Calibri"/>
                <w:color w:val="000000"/>
              </w:rPr>
              <w:t>0.28</w:t>
            </w:r>
          </w:p>
        </w:tc>
      </w:tr>
      <w:tr w:rsidR="00524078" w14:paraId="7E1A22F0"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6CF07779" w14:textId="6770487A" w:rsidR="00524078" w:rsidRPr="00861934" w:rsidRDefault="00524078" w:rsidP="00524078">
            <w:pPr>
              <w:rPr>
                <w:b/>
                <w:bCs/>
              </w:rPr>
            </w:pPr>
            <w:r>
              <w:rPr>
                <w:rFonts w:ascii="Calibri" w:hAnsi="Calibri" w:cs="Calibri"/>
              </w:rPr>
              <w:t>Outcome payments</w:t>
            </w:r>
          </w:p>
        </w:tc>
        <w:tc>
          <w:tcPr>
            <w:tcW w:w="2410" w:type="dxa"/>
            <w:tcBorders>
              <w:top w:val="nil"/>
              <w:left w:val="single" w:sz="4" w:space="0" w:color="auto"/>
              <w:bottom w:val="single" w:sz="4" w:space="0" w:color="auto"/>
              <w:right w:val="single" w:sz="4" w:space="0" w:color="auto"/>
            </w:tcBorders>
            <w:shd w:val="clear" w:color="auto" w:fill="auto"/>
          </w:tcPr>
          <w:p w14:paraId="6E4A7D50" w14:textId="79E95803"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B71375">
              <w:rPr>
                <w:rFonts w:ascii="Calibri" w:hAnsi="Calibri" w:cs="Calibri"/>
                <w:color w:val="000000"/>
              </w:rPr>
              <w:t>0.</w:t>
            </w:r>
            <w:r w:rsidR="00E176B9">
              <w:rPr>
                <w:rFonts w:ascii="Calibri" w:hAnsi="Calibri" w:cs="Calibri"/>
                <w:color w:val="000000"/>
              </w:rPr>
              <w:t>03</w:t>
            </w:r>
          </w:p>
        </w:tc>
        <w:tc>
          <w:tcPr>
            <w:tcW w:w="2268" w:type="dxa"/>
            <w:tcBorders>
              <w:top w:val="nil"/>
              <w:left w:val="single" w:sz="4" w:space="0" w:color="auto"/>
              <w:bottom w:val="single" w:sz="4" w:space="0" w:color="auto"/>
              <w:right w:val="single" w:sz="4" w:space="0" w:color="auto"/>
            </w:tcBorders>
            <w:shd w:val="clear" w:color="auto" w:fill="auto"/>
          </w:tcPr>
          <w:p w14:paraId="3AB648F8" w14:textId="54E2C178"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B31ABB">
              <w:rPr>
                <w:rFonts w:ascii="Calibri" w:hAnsi="Calibri" w:cs="Calibri"/>
                <w:color w:val="000000"/>
              </w:rPr>
              <w:t>0.03</w:t>
            </w:r>
          </w:p>
        </w:tc>
      </w:tr>
      <w:tr w:rsidR="00524078" w14:paraId="587AA0A7"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34842C1A" w14:textId="6A5980FF" w:rsidR="00524078" w:rsidRPr="00861934" w:rsidRDefault="00524078" w:rsidP="00524078">
            <w:pPr>
              <w:rPr>
                <w:b/>
                <w:bCs/>
              </w:rPr>
            </w:pPr>
            <w:r>
              <w:rPr>
                <w:rFonts w:ascii="Calibri" w:hAnsi="Calibri" w:cs="Calibri"/>
              </w:rPr>
              <w:lastRenderedPageBreak/>
              <w:t>Participation Fund, wage subsidies and relocation assistance</w:t>
            </w:r>
          </w:p>
        </w:tc>
        <w:tc>
          <w:tcPr>
            <w:tcW w:w="2410" w:type="dxa"/>
            <w:tcBorders>
              <w:top w:val="nil"/>
              <w:left w:val="single" w:sz="4" w:space="0" w:color="auto"/>
              <w:bottom w:val="single" w:sz="4" w:space="0" w:color="auto"/>
              <w:right w:val="single" w:sz="4" w:space="0" w:color="auto"/>
            </w:tcBorders>
            <w:shd w:val="clear" w:color="auto" w:fill="auto"/>
          </w:tcPr>
          <w:p w14:paraId="0F45A2A7" w14:textId="603D3553"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w:t>
            </w:r>
            <w:r w:rsidR="00E176B9">
              <w:rPr>
                <w:rFonts w:ascii="Calibri" w:hAnsi="Calibri" w:cs="Calibri"/>
                <w:color w:val="000000"/>
              </w:rPr>
              <w:t>77</w:t>
            </w:r>
          </w:p>
        </w:tc>
        <w:tc>
          <w:tcPr>
            <w:tcW w:w="2268" w:type="dxa"/>
            <w:tcBorders>
              <w:top w:val="nil"/>
              <w:left w:val="single" w:sz="4" w:space="0" w:color="auto"/>
              <w:bottom w:val="single" w:sz="4" w:space="0" w:color="auto"/>
              <w:right w:val="single" w:sz="4" w:space="0" w:color="auto"/>
            </w:tcBorders>
            <w:shd w:val="clear" w:color="auto" w:fill="auto"/>
          </w:tcPr>
          <w:p w14:paraId="7D7DA6F3" w14:textId="020A015B"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B31ABB">
              <w:rPr>
                <w:rFonts w:ascii="Calibri" w:hAnsi="Calibri" w:cs="Calibri"/>
                <w:color w:val="000000"/>
              </w:rPr>
              <w:t>0.77</w:t>
            </w:r>
          </w:p>
        </w:tc>
      </w:tr>
      <w:tr w:rsidR="00524078" w14:paraId="46FA4EB6"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32B396B2" w14:textId="5D8FCFBF" w:rsidR="00524078" w:rsidRPr="00861934" w:rsidRDefault="00524078" w:rsidP="00524078">
            <w:pPr>
              <w:rPr>
                <w:b/>
                <w:bCs/>
              </w:rPr>
            </w:pPr>
            <w:r>
              <w:rPr>
                <w:rFonts w:ascii="Calibri" w:hAnsi="Calibri" w:cs="Calibri"/>
              </w:rPr>
              <w:t>Contract Management</w:t>
            </w:r>
          </w:p>
        </w:tc>
        <w:tc>
          <w:tcPr>
            <w:tcW w:w="2410" w:type="dxa"/>
            <w:tcBorders>
              <w:top w:val="nil"/>
              <w:left w:val="single" w:sz="4" w:space="0" w:color="auto"/>
              <w:bottom w:val="single" w:sz="4" w:space="0" w:color="auto"/>
              <w:right w:val="single" w:sz="4" w:space="0" w:color="auto"/>
            </w:tcBorders>
            <w:shd w:val="clear" w:color="auto" w:fill="auto"/>
          </w:tcPr>
          <w:p w14:paraId="21D4606E" w14:textId="27338F57"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w:t>
            </w:r>
            <w:r w:rsidR="00E176B9">
              <w:rPr>
                <w:rFonts w:ascii="Calibri" w:hAnsi="Calibri" w:cs="Calibri"/>
                <w:color w:val="000000"/>
              </w:rPr>
              <w:t>37</w:t>
            </w:r>
          </w:p>
        </w:tc>
        <w:tc>
          <w:tcPr>
            <w:tcW w:w="2268" w:type="dxa"/>
            <w:tcBorders>
              <w:top w:val="nil"/>
              <w:left w:val="single" w:sz="4" w:space="0" w:color="auto"/>
              <w:bottom w:val="single" w:sz="4" w:space="0" w:color="auto"/>
              <w:right w:val="single" w:sz="4" w:space="0" w:color="auto"/>
            </w:tcBorders>
            <w:shd w:val="clear" w:color="auto" w:fill="auto"/>
          </w:tcPr>
          <w:p w14:paraId="6B842131" w14:textId="53DA8AC1"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w:t>
            </w:r>
            <w:r w:rsidR="00B31ABB">
              <w:rPr>
                <w:rFonts w:ascii="Calibri" w:hAnsi="Calibri" w:cs="Calibri"/>
                <w:color w:val="000000"/>
              </w:rPr>
              <w:t>0.37</w:t>
            </w:r>
          </w:p>
        </w:tc>
      </w:tr>
      <w:tr w:rsidR="00524078" w14:paraId="13AA021D"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shd w:val="clear" w:color="000000" w:fill="FFFFFF"/>
          </w:tcPr>
          <w:p w14:paraId="690415EB" w14:textId="6DA0238F" w:rsidR="00524078" w:rsidRPr="00861934" w:rsidRDefault="00524078" w:rsidP="00524078">
            <w:pPr>
              <w:rPr>
                <w:b/>
                <w:bCs/>
              </w:rPr>
            </w:pPr>
            <w:r>
              <w:rPr>
                <w:rFonts w:ascii="Calibri" w:hAnsi="Calibri" w:cs="Calibri"/>
              </w:rPr>
              <w:t>Updates and provider training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DA5B5D" w14:textId="000ED374"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w:t>
            </w:r>
            <w:r w:rsidR="00E176B9">
              <w:rPr>
                <w:rFonts w:ascii="Calibri" w:hAnsi="Calibri" w:cs="Calibri"/>
                <w:color w:val="000000"/>
              </w:rPr>
              <w:t>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EFDD0B" w14:textId="53D2AA42" w:rsidR="00524078" w:rsidRDefault="00524078" w:rsidP="00524078">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                   0</w:t>
            </w:r>
            <w:r w:rsidR="001A09BF">
              <w:rPr>
                <w:rFonts w:ascii="Calibri" w:hAnsi="Calibri" w:cs="Calibri"/>
                <w:color w:val="000000"/>
              </w:rPr>
              <w:t>.</w:t>
            </w:r>
            <w:r w:rsidR="00B31ABB">
              <w:rPr>
                <w:rFonts w:ascii="Calibri" w:hAnsi="Calibri" w:cs="Calibri"/>
                <w:color w:val="000000"/>
              </w:rPr>
              <w:t>41</w:t>
            </w:r>
          </w:p>
        </w:tc>
      </w:tr>
      <w:tr w:rsidR="00524078" w:rsidRPr="00F6736E" w14:paraId="25C1027E" w14:textId="77777777" w:rsidTr="00BB29A8">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shd w:val="clear" w:color="000000" w:fill="FFFFFF"/>
          </w:tcPr>
          <w:p w14:paraId="17DA0EB7" w14:textId="14E632E1" w:rsidR="00524078" w:rsidRPr="00F6736E" w:rsidRDefault="00524078" w:rsidP="00524078">
            <w:pPr>
              <w:rPr>
                <w:rFonts w:ascii="Calibri" w:hAnsi="Calibri" w:cs="Calibri"/>
                <w:b/>
                <w:bCs/>
              </w:rPr>
            </w:pPr>
            <w:r w:rsidRPr="00F6736E">
              <w:rPr>
                <w:rFonts w:ascii="Calibri" w:hAnsi="Calibri" w:cs="Calibri"/>
                <w:b/>
                <w:bCs/>
              </w:rPr>
              <w:t>Total</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6795F3" w14:textId="37D52883" w:rsidR="00524078" w:rsidRPr="00F6736E" w:rsidRDefault="00524078" w:rsidP="00524078">
            <w:pPr>
              <w:cnfStyle w:val="000000000000" w:firstRow="0" w:lastRow="0" w:firstColumn="0" w:lastColumn="0" w:oddVBand="0" w:evenVBand="0" w:oddHBand="0" w:evenHBand="0" w:firstRowFirstColumn="0" w:firstRowLastColumn="0" w:lastRowFirstColumn="0" w:lastRowLastColumn="0"/>
              <w:rPr>
                <w:b/>
                <w:bCs/>
              </w:rPr>
            </w:pPr>
            <w:r w:rsidRPr="00F6736E">
              <w:rPr>
                <w:rFonts w:ascii="Calibri" w:hAnsi="Calibri" w:cs="Calibri"/>
                <w:b/>
                <w:bCs/>
                <w:color w:val="000000"/>
              </w:rPr>
              <w:t xml:space="preserve"> $                   </w:t>
            </w:r>
            <w:r w:rsidR="00E176B9">
              <w:rPr>
                <w:rFonts w:ascii="Calibri" w:hAnsi="Calibri" w:cs="Calibri"/>
                <w:b/>
                <w:bCs/>
                <w:color w:val="000000"/>
              </w:rPr>
              <w:t>3.9</w:t>
            </w:r>
            <w:r w:rsidR="0090310A">
              <w:rPr>
                <w:rFonts w:ascii="Calibri" w:hAnsi="Calibri" w:cs="Calibri"/>
                <w:b/>
                <w:bCs/>
                <w:color w:val="000000"/>
              </w:rPr>
              <w:t>4</w:t>
            </w:r>
            <w:r w:rsidRPr="00F6736E">
              <w:rPr>
                <w:rFonts w:ascii="Calibri" w:hAnsi="Calibri" w:cs="Calibri"/>
                <w:b/>
                <w:bCs/>
                <w:color w:val="00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F03F81" w14:textId="077FFC51" w:rsidR="00524078" w:rsidRPr="00F6736E" w:rsidRDefault="00524078" w:rsidP="00524078">
            <w:pPr>
              <w:cnfStyle w:val="000000000000" w:firstRow="0" w:lastRow="0" w:firstColumn="0" w:lastColumn="0" w:oddVBand="0" w:evenVBand="0" w:oddHBand="0" w:evenHBand="0" w:firstRowFirstColumn="0" w:firstRowLastColumn="0" w:lastRowFirstColumn="0" w:lastRowLastColumn="0"/>
              <w:rPr>
                <w:b/>
                <w:bCs/>
              </w:rPr>
            </w:pPr>
            <w:r w:rsidRPr="00F6736E">
              <w:rPr>
                <w:rFonts w:ascii="Calibri" w:hAnsi="Calibri" w:cs="Calibri"/>
                <w:b/>
                <w:bCs/>
                <w:color w:val="000000"/>
              </w:rPr>
              <w:t xml:space="preserve"> $                   </w:t>
            </w:r>
            <w:r w:rsidR="00B31ABB">
              <w:rPr>
                <w:rFonts w:ascii="Calibri" w:hAnsi="Calibri" w:cs="Calibri"/>
                <w:b/>
                <w:bCs/>
                <w:color w:val="000000"/>
              </w:rPr>
              <w:t>3.9</w:t>
            </w:r>
            <w:r w:rsidR="0090310A">
              <w:rPr>
                <w:rFonts w:ascii="Calibri" w:hAnsi="Calibri" w:cs="Calibri"/>
                <w:b/>
                <w:bCs/>
                <w:color w:val="000000"/>
              </w:rPr>
              <w:t>4</w:t>
            </w:r>
            <w:r w:rsidRPr="00F6736E">
              <w:rPr>
                <w:rFonts w:ascii="Calibri" w:hAnsi="Calibri" w:cs="Calibri"/>
                <w:b/>
                <w:bCs/>
                <w:color w:val="000000"/>
              </w:rPr>
              <w:t xml:space="preserve"> </w:t>
            </w:r>
          </w:p>
        </w:tc>
      </w:tr>
    </w:tbl>
    <w:p w14:paraId="20054EC3" w14:textId="77777777" w:rsidR="00892B3D" w:rsidRPr="00887822" w:rsidRDefault="00892B3D" w:rsidP="004365C7"/>
    <w:sectPr w:rsidR="00892B3D" w:rsidRPr="00887822" w:rsidSect="007966F3">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C35EC" w14:textId="77777777" w:rsidR="004C63E5" w:rsidRDefault="004C63E5" w:rsidP="0051352E">
      <w:pPr>
        <w:spacing w:after="0" w:line="240" w:lineRule="auto"/>
      </w:pPr>
      <w:r>
        <w:separator/>
      </w:r>
    </w:p>
  </w:endnote>
  <w:endnote w:type="continuationSeparator" w:id="0">
    <w:p w14:paraId="28A60658" w14:textId="77777777" w:rsidR="004C63E5" w:rsidRDefault="004C63E5" w:rsidP="0051352E">
      <w:pPr>
        <w:spacing w:after="0" w:line="240" w:lineRule="auto"/>
      </w:pPr>
      <w:r>
        <w:continuationSeparator/>
      </w:r>
    </w:p>
  </w:endnote>
  <w:endnote w:type="continuationNotice" w:id="1">
    <w:p w14:paraId="426A6F4D" w14:textId="77777777" w:rsidR="004C63E5" w:rsidRDefault="004C6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59C9F" w14:textId="77777777" w:rsidR="0087233A" w:rsidRDefault="0087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D675" w14:textId="59A50C83" w:rsidR="00DB3D65" w:rsidRPr="008C2DEF" w:rsidRDefault="008C2DEF" w:rsidP="008C2DEF">
    <w:pPr>
      <w:pStyle w:val="Footer"/>
      <w:jc w:val="right"/>
    </w:pPr>
    <w:r>
      <w:t xml:space="preserve">New voluntary pre-employment service for parents of young children – Impact Analysis | </w:t>
    </w:r>
    <w:sdt>
      <w:sdtPr>
        <w:id w:val="681244784"/>
        <w:docPartObj>
          <w:docPartGallery w:val="Page Numbers (Bottom of Page)"/>
          <w:docPartUnique/>
        </w:docPartObj>
      </w:sdtPr>
      <w:sdtEndPr/>
      <w:sdtContent>
        <w:r>
          <w:fldChar w:fldCharType="begin"/>
        </w:r>
        <w:r>
          <w:instrText xml:space="preserve"> PAGE   \* MERGEFORMAT </w:instrText>
        </w:r>
        <w:r>
          <w:fldChar w:fldCharType="separate"/>
        </w:r>
        <w:r w:rsidR="0080166B">
          <w:rPr>
            <w:noProof/>
          </w:rPr>
          <w:t>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ECEA" w14:textId="77777777" w:rsidR="0087233A" w:rsidRDefault="008723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62E" w14:textId="40D27F86" w:rsidR="00FA574B" w:rsidRDefault="00813DC3">
    <w:pPr>
      <w:pStyle w:val="Footer"/>
    </w:pPr>
    <w:r>
      <w:rPr>
        <w:noProof/>
        <w:lang w:eastAsia="en-AU"/>
      </w:rPr>
      <mc:AlternateContent>
        <mc:Choice Requires="wps">
          <w:drawing>
            <wp:anchor distT="0" distB="0" distL="0" distR="0" simplePos="0" relativeHeight="251658247" behindDoc="0" locked="0" layoutInCell="1" allowOverlap="1" wp14:anchorId="66732154" wp14:editId="19A1B322">
              <wp:simplePos x="635" y="635"/>
              <wp:positionH relativeFrom="page">
                <wp:align>center</wp:align>
              </wp:positionH>
              <wp:positionV relativeFrom="page">
                <wp:align>bottom</wp:align>
              </wp:positionV>
              <wp:extent cx="443865" cy="443865"/>
              <wp:effectExtent l="0" t="0" r="10160" b="0"/>
              <wp:wrapNone/>
              <wp:docPr id="1373897625" name="Text Box 1373897625" descr="PROTECTED//CABINET">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0C63B" w14:textId="20A195FC" w:rsidR="00813DC3" w:rsidRPr="00813DC3" w:rsidRDefault="00813DC3" w:rsidP="00813DC3">
                          <w:pPr>
                            <w:spacing w:after="0"/>
                            <w:rPr>
                              <w:rFonts w:ascii="Arial" w:eastAsia="Arial" w:hAnsi="Arial" w:cs="Arial"/>
                              <w:noProof/>
                              <w:color w:val="FF0000"/>
                              <w:sz w:val="24"/>
                              <w:szCs w:val="24"/>
                            </w:rPr>
                          </w:pPr>
                          <w:r w:rsidRPr="00813DC3">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3962426C">
            <v:shapetype id="_x0000_t202" coordsize="21600,21600" o:spt="202" path="m,l,21600r21600,l21600,xe" w14:anchorId="66732154">
              <v:stroke joinstyle="miter"/>
              <v:path gradientshapeok="t" o:connecttype="rect"/>
            </v:shapetype>
            <v:shape id="Text Box 1373897625"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alt="PROTECTED//CABINE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813DC3" w:rsidR="00813DC3" w:rsidP="00813DC3" w:rsidRDefault="00813DC3" w14:paraId="18FCED85" w14:textId="20A195FC">
                    <w:pPr>
                      <w:spacing w:after="0"/>
                      <w:rPr>
                        <w:rFonts w:ascii="Arial" w:hAnsi="Arial" w:eastAsia="Arial" w:cs="Arial"/>
                        <w:noProof/>
                        <w:color w:val="FF0000"/>
                        <w:sz w:val="24"/>
                        <w:szCs w:val="24"/>
                      </w:rPr>
                    </w:pPr>
                    <w:r w:rsidRPr="00813DC3">
                      <w:rPr>
                        <w:rFonts w:ascii="Arial" w:hAnsi="Arial" w:eastAsia="Arial" w:cs="Arial"/>
                        <w:noProof/>
                        <w:color w:val="FF0000"/>
                        <w:sz w:val="24"/>
                        <w:szCs w:val="24"/>
                      </w:rPr>
                      <w:t>PROTECTED//CABINET</w:t>
                    </w:r>
                  </w:p>
                </w:txbxContent>
              </v:textbox>
              <w10:wrap anchorx="page" anchory="page"/>
            </v:shape>
          </w:pict>
        </mc:Fallback>
      </mc:AlternateContent>
    </w:r>
    <w:r w:rsidR="004A1685">
      <w:rPr>
        <w:noProof/>
        <w:lang w:eastAsia="en-AU"/>
      </w:rPr>
      <mc:AlternateContent>
        <mc:Choice Requires="wps">
          <w:drawing>
            <wp:anchor distT="0" distB="0" distL="0" distR="0" simplePos="0" relativeHeight="251658243" behindDoc="0" locked="0" layoutInCell="1" allowOverlap="1" wp14:anchorId="138FF546" wp14:editId="1786936F">
              <wp:simplePos x="0" y="0"/>
              <wp:positionH relativeFrom="page">
                <wp:align>center</wp:align>
              </wp:positionH>
              <wp:positionV relativeFrom="page">
                <wp:align>bottom</wp:align>
              </wp:positionV>
              <wp:extent cx="443865" cy="443865"/>
              <wp:effectExtent l="0" t="0" r="0" b="0"/>
              <wp:wrapNone/>
              <wp:docPr id="882315972" name="Text Box 882315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3FF1216" w14:textId="3B6599A7" w:rsidR="00FA574B" w:rsidRPr="00FA574B" w:rsidRDefault="00FA574B" w:rsidP="00FA574B">
                          <w:pPr>
                            <w:spacing w:after="0"/>
                            <w:rPr>
                              <w:rFonts w:ascii="Arial" w:eastAsia="Arial" w:hAnsi="Arial" w:cs="Arial"/>
                              <w:noProof/>
                              <w:color w:val="FF0000"/>
                              <w:sz w:val="24"/>
                              <w:szCs w:val="24"/>
                            </w:rPr>
                          </w:pPr>
                          <w:r w:rsidRPr="00FA574B">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6A8CDA20">
            <v:shape id="Text Box 882315972" style="position:absolute;margin-left:0;margin-top:0;width:34.95pt;height:34.95pt;z-index:251658243;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D/8&#10;kTcXAgAANQQAAA4AAAAAAAAAAAAAAAAALgIAAGRycy9lMm9Eb2MueG1sUEsBAi0AFAAGAAgAAAAh&#10;ADft0fjZAAAAAwEAAA8AAAAAAAAAAAAAAAAAcQQAAGRycy9kb3ducmV2LnhtbFBLBQYAAAAABAAE&#10;APMAAAB3BQAAAAA=&#10;" w14:anchorId="138FF546">
              <v:textbox style="mso-fit-shape-to-text:t" inset="0,0,0,15pt">
                <w:txbxContent>
                  <w:p w:rsidRPr="00FA574B" w:rsidR="00FA574B" w:rsidP="00FA574B" w:rsidRDefault="00FA574B" w14:paraId="74CC57DE" w14:textId="3B6599A7">
                    <w:pPr>
                      <w:spacing w:after="0"/>
                      <w:rPr>
                        <w:rFonts w:ascii="Arial" w:hAnsi="Arial" w:eastAsia="Arial" w:cs="Arial"/>
                        <w:noProof/>
                        <w:color w:val="FF0000"/>
                        <w:sz w:val="24"/>
                        <w:szCs w:val="24"/>
                      </w:rPr>
                    </w:pPr>
                    <w:r w:rsidRPr="00FA574B">
                      <w:rPr>
                        <w:rFonts w:ascii="Arial" w:hAnsi="Arial" w:eastAsia="Arial" w:cs="Arial"/>
                        <w:noProof/>
                        <w:color w:val="FF0000"/>
                        <w:sz w:val="24"/>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B9A1" w14:textId="4F3E4103" w:rsidR="00EA67FC" w:rsidRPr="0099126C" w:rsidRDefault="0099126C" w:rsidP="0099126C">
    <w:pPr>
      <w:pStyle w:val="Footer"/>
      <w:jc w:val="right"/>
    </w:pPr>
    <w:r>
      <w:t xml:space="preserve">New voluntary pre-employment service for parents of young children – Impact Analysis | </w:t>
    </w:r>
    <w:sdt>
      <w:sdtPr>
        <w:id w:val="-808859601"/>
        <w:docPartObj>
          <w:docPartGallery w:val="Page Numbers (Bottom of Page)"/>
          <w:docPartUnique/>
        </w:docPartObj>
      </w:sdtPr>
      <w:sdtEndPr/>
      <w:sdtContent>
        <w:r>
          <w:fldChar w:fldCharType="begin"/>
        </w:r>
        <w:r>
          <w:instrText xml:space="preserve"> PAGE   \* MERGEFORMAT </w:instrText>
        </w:r>
        <w:r>
          <w:fldChar w:fldCharType="separate"/>
        </w:r>
        <w:r w:rsidR="0080166B">
          <w:rPr>
            <w:noProof/>
          </w:rPr>
          <w:t>53</w:t>
        </w:r>
        <w: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C3B" w14:textId="07CAC4EF" w:rsidR="00FA574B" w:rsidRDefault="00813DC3">
    <w:pPr>
      <w:pStyle w:val="Footer"/>
    </w:pPr>
    <w:r>
      <w:rPr>
        <w:noProof/>
        <w:lang w:eastAsia="en-AU"/>
      </w:rPr>
      <mc:AlternateContent>
        <mc:Choice Requires="wps">
          <w:drawing>
            <wp:anchor distT="0" distB="0" distL="0" distR="0" simplePos="0" relativeHeight="251658246" behindDoc="0" locked="0" layoutInCell="1" allowOverlap="1" wp14:anchorId="08F1B5AE" wp14:editId="749515A2">
              <wp:simplePos x="635" y="635"/>
              <wp:positionH relativeFrom="page">
                <wp:align>center</wp:align>
              </wp:positionH>
              <wp:positionV relativeFrom="page">
                <wp:align>bottom</wp:align>
              </wp:positionV>
              <wp:extent cx="443865" cy="443865"/>
              <wp:effectExtent l="0" t="0" r="10160" b="0"/>
              <wp:wrapNone/>
              <wp:docPr id="2106317572" name="Text Box 2106317572" descr="PROTECTED//CABINET">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1A028" w14:textId="6AEA0601" w:rsidR="00813DC3" w:rsidRPr="00813DC3" w:rsidRDefault="00813DC3" w:rsidP="00813DC3">
                          <w:pPr>
                            <w:spacing w:after="0"/>
                            <w:rPr>
                              <w:rFonts w:ascii="Arial" w:eastAsia="Arial" w:hAnsi="Arial" w:cs="Arial"/>
                              <w:noProof/>
                              <w:color w:val="FF0000"/>
                              <w:sz w:val="24"/>
                              <w:szCs w:val="24"/>
                            </w:rPr>
                          </w:pPr>
                          <w:r w:rsidRPr="00813DC3">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0DEADAC7">
            <v:shapetype id="_x0000_t202" coordsize="21600,21600" o:spt="202" path="m,l,21600r21600,l21600,xe" w14:anchorId="08F1B5AE">
              <v:stroke joinstyle="miter"/>
              <v:path gradientshapeok="t" o:connecttype="rect"/>
            </v:shapetype>
            <v:shape id="Text Box 2106317572"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alt="PROTECTED//CABINE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v:textbox style="mso-fit-shape-to-text:t" inset="0,0,0,15pt">
                <w:txbxContent>
                  <w:p w:rsidRPr="00813DC3" w:rsidR="00813DC3" w:rsidP="00813DC3" w:rsidRDefault="00813DC3" w14:paraId="699EA16B" w14:textId="6AEA0601">
                    <w:pPr>
                      <w:spacing w:after="0"/>
                      <w:rPr>
                        <w:rFonts w:ascii="Arial" w:hAnsi="Arial" w:eastAsia="Arial" w:cs="Arial"/>
                        <w:noProof/>
                        <w:color w:val="FF0000"/>
                        <w:sz w:val="24"/>
                        <w:szCs w:val="24"/>
                      </w:rPr>
                    </w:pPr>
                    <w:r w:rsidRPr="00813DC3">
                      <w:rPr>
                        <w:rFonts w:ascii="Arial" w:hAnsi="Arial" w:eastAsia="Arial" w:cs="Arial"/>
                        <w:noProof/>
                        <w:color w:val="FF0000"/>
                        <w:sz w:val="24"/>
                        <w:szCs w:val="24"/>
                      </w:rPr>
                      <w:t>PROTECTED//CABINET</w:t>
                    </w:r>
                  </w:p>
                </w:txbxContent>
              </v:textbox>
              <w10:wrap anchorx="page" anchory="page"/>
            </v:shape>
          </w:pict>
        </mc:Fallback>
      </mc:AlternateContent>
    </w:r>
    <w:r w:rsidR="004A1685">
      <w:rPr>
        <w:noProof/>
        <w:lang w:eastAsia="en-AU"/>
      </w:rPr>
      <mc:AlternateContent>
        <mc:Choice Requires="wps">
          <w:drawing>
            <wp:anchor distT="0" distB="0" distL="0" distR="0" simplePos="0" relativeHeight="251658242" behindDoc="0" locked="0" layoutInCell="1" allowOverlap="1" wp14:anchorId="43E7F20B" wp14:editId="0BD3095E">
              <wp:simplePos x="0" y="0"/>
              <wp:positionH relativeFrom="page">
                <wp:align>center</wp:align>
              </wp:positionH>
              <wp:positionV relativeFrom="page">
                <wp:align>bottom</wp:align>
              </wp:positionV>
              <wp:extent cx="443865" cy="443865"/>
              <wp:effectExtent l="0" t="0" r="0" b="0"/>
              <wp:wrapNone/>
              <wp:docPr id="354284612" name="Text Box 354284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3A9B2BD" w14:textId="703AC39D" w:rsidR="00FA574B" w:rsidRPr="00FA574B" w:rsidRDefault="00FA574B" w:rsidP="00FA574B">
                          <w:pPr>
                            <w:spacing w:after="0"/>
                            <w:rPr>
                              <w:rFonts w:ascii="Arial" w:eastAsia="Arial" w:hAnsi="Arial" w:cs="Arial"/>
                              <w:noProof/>
                              <w:color w:val="FF0000"/>
                              <w:sz w:val="24"/>
                              <w:szCs w:val="24"/>
                            </w:rPr>
                          </w:pPr>
                          <w:r w:rsidRPr="00FA574B">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5BC098FA">
            <v:shape id="Text Box 354284612" style="position:absolute;margin-left:0;margin-top:0;width:34.95pt;height:34.95pt;z-index:25165824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IsB&#10;W8EXAgAANQQAAA4AAAAAAAAAAAAAAAAALgIAAGRycy9lMm9Eb2MueG1sUEsBAi0AFAAGAAgAAAAh&#10;ADft0fjZAAAAAwEAAA8AAAAAAAAAAAAAAAAAcQQAAGRycy9kb3ducmV2LnhtbFBLBQYAAAAABAAE&#10;APMAAAB3BQAAAAA=&#10;" w14:anchorId="43E7F20B">
              <v:textbox style="mso-fit-shape-to-text:t" inset="0,0,0,15pt">
                <w:txbxContent>
                  <w:p w:rsidRPr="00FA574B" w:rsidR="00FA574B" w:rsidP="00FA574B" w:rsidRDefault="00FA574B" w14:paraId="14FB6478" w14:textId="703AC39D">
                    <w:pPr>
                      <w:spacing w:after="0"/>
                      <w:rPr>
                        <w:rFonts w:ascii="Arial" w:hAnsi="Arial" w:eastAsia="Arial" w:cs="Arial"/>
                        <w:noProof/>
                        <w:color w:val="FF0000"/>
                        <w:sz w:val="24"/>
                        <w:szCs w:val="24"/>
                      </w:rPr>
                    </w:pPr>
                    <w:r w:rsidRPr="00FA574B">
                      <w:rPr>
                        <w:rFonts w:ascii="Arial" w:hAnsi="Arial" w:eastAsia="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82ADE" w14:textId="77777777" w:rsidR="004C63E5" w:rsidRDefault="004C63E5" w:rsidP="0051352E">
      <w:pPr>
        <w:spacing w:after="0" w:line="240" w:lineRule="auto"/>
      </w:pPr>
      <w:r>
        <w:separator/>
      </w:r>
    </w:p>
  </w:footnote>
  <w:footnote w:type="continuationSeparator" w:id="0">
    <w:p w14:paraId="1B3F0769" w14:textId="77777777" w:rsidR="004C63E5" w:rsidRDefault="004C63E5" w:rsidP="0051352E">
      <w:pPr>
        <w:spacing w:after="0" w:line="240" w:lineRule="auto"/>
      </w:pPr>
      <w:r>
        <w:continuationSeparator/>
      </w:r>
    </w:p>
  </w:footnote>
  <w:footnote w:type="continuationNotice" w:id="1">
    <w:p w14:paraId="551B7A98" w14:textId="77777777" w:rsidR="004C63E5" w:rsidRDefault="004C63E5">
      <w:pPr>
        <w:spacing w:after="0" w:line="240" w:lineRule="auto"/>
      </w:pPr>
    </w:p>
  </w:footnote>
  <w:footnote w:id="2">
    <w:p w14:paraId="3A2CBA22" w14:textId="794B496F" w:rsidR="00E3618E" w:rsidRPr="002E1384" w:rsidRDefault="009B402B">
      <w:pPr>
        <w:pStyle w:val="FootnoteText"/>
        <w:rPr>
          <w:rFonts w:asciiTheme="minorHAnsi" w:hAnsiTheme="minorHAnsi" w:cstheme="minorHAnsi"/>
          <w:color w:val="000000" w:themeColor="text1"/>
          <w:sz w:val="20"/>
        </w:rPr>
      </w:pPr>
      <w:r w:rsidRPr="002E1384">
        <w:rPr>
          <w:rStyle w:val="FootnoteReference"/>
          <w:rFonts w:asciiTheme="minorHAnsi" w:hAnsiTheme="minorHAnsi" w:cstheme="minorHAnsi"/>
          <w:color w:val="000000" w:themeColor="text1"/>
          <w:sz w:val="20"/>
        </w:rPr>
        <w:footnoteRef/>
      </w:r>
      <w:r w:rsidRPr="002E1384">
        <w:rPr>
          <w:rFonts w:asciiTheme="minorHAnsi" w:hAnsiTheme="minorHAnsi" w:cstheme="minorHAnsi"/>
          <w:color w:val="000000" w:themeColor="text1"/>
          <w:sz w:val="20"/>
        </w:rPr>
        <w:t xml:space="preserve"> </w:t>
      </w:r>
      <w:r w:rsidR="005303E7" w:rsidRPr="002E1384">
        <w:rPr>
          <w:rFonts w:asciiTheme="minorHAnsi" w:hAnsiTheme="minorHAnsi" w:cstheme="minorHAnsi"/>
          <w:color w:val="000000" w:themeColor="text1"/>
          <w:sz w:val="20"/>
        </w:rPr>
        <w:t xml:space="preserve">Gallagher K and </w:t>
      </w:r>
      <w:r w:rsidR="00980EB4" w:rsidRPr="002E1384">
        <w:rPr>
          <w:rFonts w:asciiTheme="minorHAnsi" w:hAnsiTheme="minorHAnsi" w:cstheme="minorHAnsi"/>
          <w:color w:val="000000" w:themeColor="text1"/>
          <w:sz w:val="20"/>
        </w:rPr>
        <w:t>Burke T (5 May 2023</w:t>
      </w:r>
      <w:r w:rsidR="008644C0">
        <w:rPr>
          <w:rFonts w:asciiTheme="minorHAnsi" w:hAnsiTheme="minorHAnsi" w:cstheme="minorHAnsi"/>
          <w:color w:val="000000" w:themeColor="text1"/>
          <w:sz w:val="20"/>
        </w:rPr>
        <w:t>)</w:t>
      </w:r>
      <w:r w:rsidR="00F84B3C" w:rsidRPr="002E1384">
        <w:rPr>
          <w:rFonts w:asciiTheme="minorHAnsi" w:hAnsiTheme="minorHAnsi" w:cstheme="minorHAnsi"/>
          <w:color w:val="000000" w:themeColor="text1"/>
          <w:sz w:val="20"/>
        </w:rPr>
        <w:t xml:space="preserve">, </w:t>
      </w:r>
      <w:hyperlink r:id="rId1" w:history="1">
        <w:r w:rsidR="00164D16" w:rsidRPr="002E1384">
          <w:rPr>
            <w:rFonts w:asciiTheme="minorHAnsi" w:eastAsiaTheme="minorHAnsi" w:hAnsiTheme="minorHAnsi" w:cstheme="minorHAnsi"/>
            <w:color w:val="000000" w:themeColor="text1"/>
            <w:sz w:val="20"/>
            <w:u w:val="single"/>
            <w:lang w:eastAsia="en-US"/>
          </w:rPr>
          <w:t>Albanese Government to scrap ParentsNext program</w:t>
        </w:r>
      </w:hyperlink>
      <w:r w:rsidR="00A354D8" w:rsidRPr="002E1384">
        <w:rPr>
          <w:rFonts w:asciiTheme="minorHAnsi" w:eastAsiaTheme="minorHAnsi" w:hAnsiTheme="minorHAnsi" w:cstheme="minorHAnsi"/>
          <w:color w:val="000000" w:themeColor="text1"/>
          <w:sz w:val="20"/>
          <w:lang w:eastAsia="en-US"/>
        </w:rPr>
        <w:t>, Minister’s Media Centre (dewr.gov.au)</w:t>
      </w:r>
      <w:r w:rsidR="006D62E3">
        <w:rPr>
          <w:rFonts w:asciiTheme="minorHAnsi" w:eastAsiaTheme="minorHAnsi" w:hAnsiTheme="minorHAnsi" w:cstheme="minorHAnsi"/>
          <w:color w:val="000000" w:themeColor="text1"/>
          <w:sz w:val="20"/>
          <w:lang w:eastAsia="en-US"/>
        </w:rPr>
        <w:t xml:space="preserve"> accessed 14 August 2023</w:t>
      </w:r>
      <w:r w:rsidR="004A0C7D">
        <w:rPr>
          <w:rFonts w:asciiTheme="minorHAnsi" w:eastAsiaTheme="minorHAnsi" w:hAnsiTheme="minorHAnsi" w:cstheme="minorHAnsi"/>
          <w:color w:val="000000" w:themeColor="text1"/>
          <w:sz w:val="20"/>
          <w:lang w:eastAsia="en-US"/>
        </w:rPr>
        <w:t xml:space="preserve">; </w:t>
      </w:r>
      <w:hyperlink r:id="rId2" w:history="1">
        <w:r w:rsidR="004A0C7D">
          <w:rPr>
            <w:rFonts w:asciiTheme="minorHAnsi" w:eastAsiaTheme="minorHAnsi" w:hAnsiTheme="minorHAnsi" w:cstheme="minorBidi"/>
            <w:color w:val="000000" w:themeColor="text1"/>
            <w:sz w:val="20"/>
            <w:u w:val="single"/>
            <w:lang w:eastAsia="en-US"/>
          </w:rPr>
          <w:t>Budget 2023–24</w:t>
        </w:r>
      </w:hyperlink>
      <w:r w:rsidR="004A0C7D">
        <w:rPr>
          <w:rFonts w:asciiTheme="minorHAnsi" w:eastAsiaTheme="minorHAnsi" w:hAnsiTheme="minorHAnsi" w:cstheme="minorBidi"/>
          <w:color w:val="000000" w:themeColor="text1"/>
          <w:sz w:val="20"/>
          <w:lang w:eastAsia="en-US"/>
        </w:rPr>
        <w:t xml:space="preserve"> (budget.gov.au) accessed 14 August 2023</w:t>
      </w:r>
    </w:p>
  </w:footnote>
  <w:footnote w:id="3">
    <w:p w14:paraId="4FF50467" w14:textId="1588BCDD" w:rsidR="004A6AC3" w:rsidRPr="008B01F0" w:rsidRDefault="004A6AC3" w:rsidP="00264AD3">
      <w:pPr>
        <w:pStyle w:val="NormalWeb"/>
        <w:spacing w:before="80" w:beforeAutospacing="0" w:after="0" w:afterAutospacing="0"/>
        <w:ind w:left="284" w:hanging="284"/>
        <w:rPr>
          <w:rFonts w:asciiTheme="minorHAnsi" w:hAnsiTheme="minorHAnsi" w:cstheme="minorHAnsi"/>
          <w:color w:val="000000" w:themeColor="text1"/>
          <w:sz w:val="20"/>
        </w:rPr>
      </w:pPr>
      <w:r w:rsidRPr="00596371">
        <w:rPr>
          <w:rStyle w:val="FootnoteReference"/>
          <w:rFonts w:asciiTheme="minorHAnsi" w:hAnsiTheme="minorHAnsi" w:cstheme="minorHAnsi"/>
          <w:sz w:val="20"/>
          <w:szCs w:val="20"/>
        </w:rPr>
        <w:footnoteRef/>
      </w:r>
      <w:r w:rsidRPr="00596371">
        <w:rPr>
          <w:rFonts w:asciiTheme="minorHAnsi" w:hAnsiTheme="minorHAnsi" w:cstheme="minorHAnsi"/>
          <w:sz w:val="20"/>
          <w:szCs w:val="20"/>
        </w:rPr>
        <w:t xml:space="preserve"> </w:t>
      </w:r>
      <w:r w:rsidRPr="00596371">
        <w:rPr>
          <w:rFonts w:asciiTheme="minorHAnsi" w:hAnsiTheme="minorHAnsi" w:cstheme="minorHAnsi"/>
          <w:color w:val="313131"/>
          <w:sz w:val="20"/>
          <w:szCs w:val="20"/>
        </w:rPr>
        <w:t>P</w:t>
      </w:r>
      <w:r w:rsidR="00502512" w:rsidRPr="00596371">
        <w:rPr>
          <w:rFonts w:asciiTheme="minorHAnsi" w:hAnsiTheme="minorHAnsi" w:cstheme="minorHAnsi"/>
          <w:color w:val="313131"/>
          <w:sz w:val="20"/>
          <w:szCs w:val="20"/>
        </w:rPr>
        <w:t xml:space="preserve">arenting </w:t>
      </w:r>
      <w:r w:rsidR="00502512" w:rsidRPr="00596371">
        <w:rPr>
          <w:rFonts w:asciiTheme="minorHAnsi" w:hAnsiTheme="minorHAnsi" w:cstheme="minorHAnsi"/>
          <w:sz w:val="20"/>
          <w:szCs w:val="20"/>
        </w:rPr>
        <w:t xml:space="preserve">Payment </w:t>
      </w:r>
      <w:r w:rsidRPr="00596371">
        <w:rPr>
          <w:rFonts w:asciiTheme="minorHAnsi" w:hAnsiTheme="minorHAnsi" w:cstheme="minorHAnsi"/>
          <w:sz w:val="20"/>
          <w:szCs w:val="20"/>
        </w:rPr>
        <w:t xml:space="preserve">is an income support payment that provides financial assistance to principal carers with parenting responsibilities </w:t>
      </w:r>
      <w:r w:rsidR="00457C2B" w:rsidRPr="00596371">
        <w:rPr>
          <w:rFonts w:asciiTheme="minorHAnsi" w:hAnsiTheme="minorHAnsi" w:cstheme="minorHAnsi"/>
          <w:sz w:val="20"/>
          <w:szCs w:val="20"/>
        </w:rPr>
        <w:t>for children</w:t>
      </w:r>
      <w:r w:rsidRPr="00596371">
        <w:rPr>
          <w:rFonts w:asciiTheme="minorHAnsi" w:hAnsiTheme="minorHAnsi" w:cstheme="minorHAnsi"/>
          <w:sz w:val="20"/>
          <w:szCs w:val="20"/>
        </w:rPr>
        <w:t xml:space="preserve"> and provides them with incentives to increase workforce participation and reduce dependency on income support.</w:t>
      </w:r>
      <w:r w:rsidR="00273367" w:rsidRPr="00596371">
        <w:rPr>
          <w:rFonts w:asciiTheme="minorHAnsi" w:hAnsiTheme="minorHAnsi" w:cstheme="minorHAnsi"/>
          <w:sz w:val="20"/>
          <w:szCs w:val="20"/>
        </w:rPr>
        <w:t xml:space="preserve"> </w:t>
      </w:r>
      <w:r w:rsidRPr="00596371">
        <w:rPr>
          <w:rFonts w:asciiTheme="minorHAnsi" w:hAnsiTheme="minorHAnsi" w:cstheme="minorHAnsi"/>
          <w:sz w:val="20"/>
          <w:szCs w:val="20"/>
        </w:rPr>
        <w:t xml:space="preserve">Single and partnered parents can receive </w:t>
      </w:r>
      <w:r w:rsidR="007D1EBB" w:rsidRPr="00596371">
        <w:rPr>
          <w:rFonts w:asciiTheme="minorHAnsi" w:hAnsiTheme="minorHAnsi" w:cstheme="minorHAnsi"/>
          <w:sz w:val="20"/>
          <w:szCs w:val="20"/>
        </w:rPr>
        <w:t>Parenting</w:t>
      </w:r>
      <w:r w:rsidR="00273367" w:rsidRPr="00596371">
        <w:rPr>
          <w:rFonts w:asciiTheme="minorHAnsi" w:hAnsiTheme="minorHAnsi" w:cstheme="minorHAnsi"/>
          <w:sz w:val="20"/>
          <w:szCs w:val="20"/>
        </w:rPr>
        <w:t xml:space="preserve"> </w:t>
      </w:r>
      <w:r w:rsidR="00682D68" w:rsidRPr="00596371">
        <w:rPr>
          <w:rFonts w:asciiTheme="minorHAnsi" w:hAnsiTheme="minorHAnsi" w:cstheme="minorHAnsi"/>
          <w:sz w:val="20"/>
          <w:szCs w:val="20"/>
        </w:rPr>
        <w:t>P</w:t>
      </w:r>
      <w:r w:rsidR="00273367" w:rsidRPr="00596371">
        <w:rPr>
          <w:rFonts w:asciiTheme="minorHAnsi" w:hAnsiTheme="minorHAnsi" w:cstheme="minorHAnsi"/>
          <w:sz w:val="20"/>
          <w:szCs w:val="20"/>
        </w:rPr>
        <w:t>aymen</w:t>
      </w:r>
      <w:r w:rsidR="001C0047" w:rsidRPr="00596371">
        <w:rPr>
          <w:rFonts w:asciiTheme="minorHAnsi" w:hAnsiTheme="minorHAnsi" w:cstheme="minorHAnsi"/>
          <w:sz w:val="20"/>
          <w:szCs w:val="20"/>
        </w:rPr>
        <w:t xml:space="preserve">t. Parenting Payment Single </w:t>
      </w:r>
      <w:r w:rsidR="00FC7167" w:rsidRPr="00596371">
        <w:rPr>
          <w:rFonts w:asciiTheme="minorHAnsi" w:hAnsiTheme="minorHAnsi" w:cstheme="minorHAnsi"/>
          <w:sz w:val="20"/>
          <w:szCs w:val="20"/>
        </w:rPr>
        <w:t xml:space="preserve">is </w:t>
      </w:r>
      <w:r w:rsidRPr="00596371">
        <w:rPr>
          <w:rFonts w:asciiTheme="minorHAnsi" w:hAnsiTheme="minorHAnsi" w:cstheme="minorHAnsi"/>
          <w:sz w:val="20"/>
          <w:szCs w:val="20"/>
        </w:rPr>
        <w:t>for</w:t>
      </w:r>
      <w:r w:rsidR="00FC7167" w:rsidRPr="00596371">
        <w:rPr>
          <w:rFonts w:asciiTheme="minorHAnsi" w:hAnsiTheme="minorHAnsi" w:cstheme="minorHAnsi"/>
          <w:sz w:val="20"/>
          <w:szCs w:val="20"/>
        </w:rPr>
        <w:t xml:space="preserve"> eligible </w:t>
      </w:r>
      <w:r w:rsidRPr="00596371">
        <w:rPr>
          <w:rFonts w:asciiTheme="minorHAnsi" w:hAnsiTheme="minorHAnsi" w:cstheme="minorHAnsi"/>
          <w:sz w:val="20"/>
          <w:szCs w:val="20"/>
        </w:rPr>
        <w:t>single parents with a youngest child aged less than 14 years old, and</w:t>
      </w:r>
      <w:r w:rsidR="00FC7167" w:rsidRPr="00596371">
        <w:rPr>
          <w:rFonts w:asciiTheme="minorHAnsi" w:hAnsiTheme="minorHAnsi" w:cstheme="minorHAnsi"/>
          <w:sz w:val="20"/>
          <w:szCs w:val="20"/>
        </w:rPr>
        <w:t xml:space="preserve"> Parenting Payment Partnered is for eligible partnered parents with </w:t>
      </w:r>
      <w:r w:rsidRPr="00596371">
        <w:rPr>
          <w:rFonts w:asciiTheme="minorHAnsi" w:hAnsiTheme="minorHAnsi" w:cstheme="minorHAnsi"/>
          <w:sz w:val="20"/>
          <w:szCs w:val="20"/>
        </w:rPr>
        <w:t>a youngest child aged less than 6 years old</w:t>
      </w:r>
      <w:r w:rsidRPr="00596371">
        <w:rPr>
          <w:rFonts w:asciiTheme="minorHAnsi" w:hAnsiTheme="minorHAnsi" w:cstheme="minorHAnsi"/>
          <w:color w:val="313131"/>
          <w:sz w:val="20"/>
          <w:szCs w:val="20"/>
        </w:rPr>
        <w:t>.</w:t>
      </w:r>
      <w:r w:rsidR="007D1EBB" w:rsidRPr="00596371">
        <w:rPr>
          <w:rFonts w:asciiTheme="minorHAnsi" w:hAnsiTheme="minorHAnsi" w:cstheme="minorHAnsi"/>
          <w:color w:val="313131"/>
          <w:sz w:val="20"/>
          <w:szCs w:val="20"/>
        </w:rPr>
        <w:t xml:space="preserve"> </w:t>
      </w:r>
      <w:hyperlink r:id="rId3" w:history="1">
        <w:r w:rsidR="003E4410" w:rsidRPr="008B01F0">
          <w:rPr>
            <w:rFonts w:asciiTheme="minorHAnsi" w:eastAsiaTheme="minorHAnsi" w:hAnsiTheme="minorHAnsi" w:cstheme="minorBidi"/>
            <w:color w:val="000000" w:themeColor="text1"/>
            <w:sz w:val="20"/>
            <w:u w:val="single"/>
            <w:lang w:eastAsia="en-US"/>
          </w:rPr>
          <w:t>Guides to Social Polic</w:t>
        </w:r>
        <w:r w:rsidR="006A3FD7" w:rsidRPr="008B01F0">
          <w:rPr>
            <w:rFonts w:asciiTheme="minorHAnsi" w:eastAsiaTheme="minorHAnsi" w:hAnsiTheme="minorHAnsi" w:cstheme="minorBidi"/>
            <w:color w:val="000000" w:themeColor="text1"/>
            <w:sz w:val="20"/>
            <w:u w:val="single"/>
            <w:lang w:eastAsia="en-US"/>
          </w:rPr>
          <w:t>y</w:t>
        </w:r>
        <w:r w:rsidR="003E4410" w:rsidRPr="008B01F0">
          <w:rPr>
            <w:rFonts w:asciiTheme="minorHAnsi" w:eastAsiaTheme="minorHAnsi" w:hAnsiTheme="minorHAnsi" w:cstheme="minorBidi"/>
            <w:color w:val="000000" w:themeColor="text1"/>
            <w:sz w:val="20"/>
            <w:u w:val="single"/>
            <w:lang w:eastAsia="en-US"/>
          </w:rPr>
          <w:t xml:space="preserve"> Law</w:t>
        </w:r>
        <w:r w:rsidR="00E576EB" w:rsidRPr="008B01F0">
          <w:rPr>
            <w:rFonts w:asciiTheme="minorHAnsi" w:eastAsiaTheme="minorHAnsi" w:hAnsiTheme="minorHAnsi" w:cstheme="minorBidi"/>
            <w:color w:val="000000" w:themeColor="text1"/>
            <w:sz w:val="20"/>
            <w:u w:val="single"/>
            <w:lang w:eastAsia="en-US"/>
          </w:rPr>
          <w:t xml:space="preserve"> </w:t>
        </w:r>
        <w:r w:rsidR="003E4410" w:rsidRPr="008B01F0">
          <w:rPr>
            <w:rFonts w:asciiTheme="minorHAnsi" w:eastAsiaTheme="minorHAnsi" w:hAnsiTheme="minorHAnsi" w:cstheme="minorBidi"/>
            <w:color w:val="000000" w:themeColor="text1"/>
            <w:sz w:val="20"/>
            <w:u w:val="single"/>
            <w:lang w:eastAsia="en-US"/>
          </w:rPr>
          <w:t>| Social Security Guide</w:t>
        </w:r>
        <w:r w:rsidR="00D2285F">
          <w:rPr>
            <w:rFonts w:asciiTheme="minorHAnsi" w:eastAsiaTheme="minorHAnsi" w:hAnsiTheme="minorHAnsi" w:cstheme="minorBidi"/>
            <w:color w:val="000000" w:themeColor="text1"/>
            <w:sz w:val="20"/>
            <w:u w:val="single"/>
            <w:lang w:eastAsia="en-US"/>
          </w:rPr>
          <w:t>,</w:t>
        </w:r>
        <w:r w:rsidR="003E4410" w:rsidRPr="003C7455">
          <w:rPr>
            <w:rFonts w:asciiTheme="minorHAnsi" w:eastAsiaTheme="minorHAnsi" w:hAnsiTheme="minorHAnsi" w:cstheme="minorBidi"/>
            <w:color w:val="000000" w:themeColor="text1"/>
            <w:sz w:val="20"/>
            <w:lang w:eastAsia="en-US"/>
          </w:rPr>
          <w:t xml:space="preserve"> (dss.gov.au)</w:t>
        </w:r>
      </w:hyperlink>
      <w:r w:rsidR="003E4410" w:rsidRPr="008B01F0">
        <w:rPr>
          <w:rFonts w:asciiTheme="minorHAnsi" w:eastAsiaTheme="minorHAnsi" w:hAnsiTheme="minorHAnsi" w:cstheme="minorBidi"/>
          <w:color w:val="000000" w:themeColor="text1"/>
          <w:sz w:val="20"/>
          <w:lang w:eastAsia="en-US"/>
        </w:rPr>
        <w:t xml:space="preserve"> accessed 6 October 2023</w:t>
      </w:r>
    </w:p>
  </w:footnote>
  <w:footnote w:id="4">
    <w:p w14:paraId="1812F714" w14:textId="0A5B8320" w:rsidR="00510F33" w:rsidRPr="008B01F0" w:rsidRDefault="00510F33">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00C24B38" w:rsidRPr="008B01F0">
        <w:rPr>
          <w:rFonts w:asciiTheme="minorHAnsi" w:hAnsiTheme="minorHAnsi" w:cstheme="minorHAnsi"/>
          <w:color w:val="000000" w:themeColor="text1"/>
          <w:sz w:val="20"/>
        </w:rPr>
        <w:t xml:space="preserve"> House of Representatives Select Committee on Workforce Australia Employment Services</w:t>
      </w:r>
      <w:r w:rsidR="004C7588" w:rsidRPr="008B01F0">
        <w:rPr>
          <w:rFonts w:asciiTheme="minorHAnsi" w:hAnsiTheme="minorHAnsi" w:cstheme="minorHAnsi"/>
          <w:color w:val="000000" w:themeColor="text1"/>
          <w:sz w:val="20"/>
        </w:rPr>
        <w:t xml:space="preserve"> (</w:t>
      </w:r>
      <w:r w:rsidR="00C24B38" w:rsidRPr="008B01F0">
        <w:rPr>
          <w:rFonts w:asciiTheme="minorHAnsi" w:hAnsiTheme="minorHAnsi" w:cstheme="minorHAnsi"/>
          <w:color w:val="000000" w:themeColor="text1"/>
          <w:sz w:val="20"/>
        </w:rPr>
        <w:t>2023</w:t>
      </w:r>
      <w:r w:rsidR="004C7588" w:rsidRPr="008B01F0">
        <w:rPr>
          <w:rFonts w:asciiTheme="minorHAnsi" w:hAnsiTheme="minorHAnsi" w:cstheme="minorHAnsi"/>
          <w:color w:val="000000" w:themeColor="text1"/>
          <w:sz w:val="20"/>
        </w:rPr>
        <w:t>)</w:t>
      </w:r>
      <w:r w:rsidR="00AD40C7" w:rsidRPr="008B01F0">
        <w:rPr>
          <w:rFonts w:asciiTheme="minorHAnsi" w:hAnsiTheme="minorHAnsi" w:cstheme="minorHAnsi"/>
          <w:color w:val="000000" w:themeColor="text1"/>
          <w:sz w:val="20"/>
        </w:rPr>
        <w:t xml:space="preserve">, </w:t>
      </w:r>
      <w:hyperlink r:id="rId4" w:history="1">
        <w:r w:rsidR="00C24B38" w:rsidRPr="008B01F0">
          <w:rPr>
            <w:rFonts w:asciiTheme="minorHAnsi" w:eastAsiaTheme="minorHAnsi" w:hAnsiTheme="minorHAnsi" w:cstheme="minorBidi"/>
            <w:i/>
            <w:iCs/>
            <w:color w:val="000000" w:themeColor="text1"/>
            <w:sz w:val="20"/>
            <w:u w:val="single"/>
            <w:lang w:eastAsia="en-US"/>
          </w:rPr>
          <w:t>Your Future Planning Interim Report on ParentsNext</w:t>
        </w:r>
      </w:hyperlink>
      <w:r w:rsidR="00C24B38" w:rsidRPr="008B01F0">
        <w:rPr>
          <w:rFonts w:asciiTheme="minorHAnsi" w:eastAsiaTheme="minorHAnsi" w:hAnsiTheme="minorHAnsi" w:cstheme="minorBidi"/>
          <w:color w:val="000000" w:themeColor="text1"/>
          <w:sz w:val="20"/>
          <w:lang w:eastAsia="en-US"/>
        </w:rPr>
        <w:t>,</w:t>
      </w:r>
      <w:r w:rsidR="00C24B38" w:rsidRPr="008B01F0">
        <w:rPr>
          <w:rFonts w:asciiTheme="minorHAnsi" w:hAnsiTheme="minorHAnsi" w:cstheme="minorHAnsi"/>
          <w:i/>
          <w:iCs/>
          <w:color w:val="000000" w:themeColor="text1"/>
          <w:sz w:val="20"/>
        </w:rPr>
        <w:t xml:space="preserve"> </w:t>
      </w:r>
      <w:r w:rsidR="0027044E" w:rsidRPr="008B01F0">
        <w:rPr>
          <w:rFonts w:asciiTheme="minorHAnsi" w:hAnsiTheme="minorHAnsi" w:cstheme="minorHAnsi"/>
          <w:color w:val="000000" w:themeColor="text1"/>
          <w:sz w:val="20"/>
        </w:rPr>
        <w:t>Parliament of Australia</w:t>
      </w:r>
    </w:p>
  </w:footnote>
  <w:footnote w:id="5">
    <w:p w14:paraId="059FB082" w14:textId="558B134C" w:rsidR="00043DF8" w:rsidRPr="008B01F0" w:rsidRDefault="001D3479" w:rsidP="001D3479">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normaltextrun"/>
          <w:rFonts w:asciiTheme="minorHAnsi" w:eastAsiaTheme="majorEastAsia" w:hAnsiTheme="minorHAnsi" w:cstheme="minorHAnsi"/>
          <w:color w:val="000000" w:themeColor="text1"/>
          <w:sz w:val="20"/>
          <w:shd w:val="clear" w:color="auto" w:fill="FFFFFF"/>
        </w:rPr>
        <w:t>Productivity Commission</w:t>
      </w:r>
      <w:r w:rsidR="00043DF8" w:rsidRPr="008B01F0">
        <w:rPr>
          <w:rStyle w:val="normaltextrun"/>
          <w:rFonts w:asciiTheme="minorHAnsi" w:eastAsiaTheme="majorEastAsia" w:hAnsiTheme="minorHAnsi" w:cstheme="minorHAnsi"/>
          <w:color w:val="000000" w:themeColor="text1"/>
          <w:sz w:val="20"/>
          <w:shd w:val="clear" w:color="auto" w:fill="FFFFFF"/>
        </w:rPr>
        <w:t xml:space="preserve"> (2018)</w:t>
      </w:r>
      <w:r w:rsidR="00C01646" w:rsidRPr="008B01F0">
        <w:rPr>
          <w:rStyle w:val="normaltextrun"/>
          <w:rFonts w:asciiTheme="minorHAnsi" w:eastAsiaTheme="majorEastAsia" w:hAnsiTheme="minorHAnsi" w:cstheme="minorHAnsi"/>
          <w:color w:val="000000" w:themeColor="text1"/>
          <w:sz w:val="20"/>
          <w:shd w:val="clear" w:color="auto" w:fill="FFFFFF"/>
        </w:rPr>
        <w:t>,</w:t>
      </w:r>
      <w:r w:rsidRPr="008B01F0">
        <w:rPr>
          <w:rStyle w:val="normaltextrun"/>
          <w:rFonts w:asciiTheme="minorHAnsi" w:eastAsiaTheme="majorEastAsia" w:hAnsiTheme="minorHAnsi" w:cstheme="minorHAnsi"/>
          <w:color w:val="000000" w:themeColor="text1"/>
          <w:sz w:val="20"/>
          <w:shd w:val="clear" w:color="auto" w:fill="FFFFFF"/>
        </w:rPr>
        <w:t> </w:t>
      </w:r>
      <w:hyperlink r:id="rId5" w:tgtFrame="_blank" w:history="1">
        <w:r w:rsidRPr="008B01F0">
          <w:rPr>
            <w:rStyle w:val="normaltextrun"/>
            <w:rFonts w:asciiTheme="minorHAnsi" w:eastAsiaTheme="majorEastAsia" w:hAnsiTheme="minorHAnsi" w:cstheme="minorHAnsi"/>
            <w:color w:val="000000" w:themeColor="text1"/>
            <w:sz w:val="20"/>
            <w:u w:val="single"/>
            <w:shd w:val="clear" w:color="auto" w:fill="FFFFFF"/>
          </w:rPr>
          <w:t>Rising Inequality? A Stocktake of the Evidence</w:t>
        </w:r>
      </w:hyperlink>
      <w:r w:rsidRPr="008B01F0">
        <w:rPr>
          <w:rStyle w:val="normaltextrun"/>
          <w:rFonts w:asciiTheme="minorHAnsi" w:eastAsiaTheme="majorEastAsia" w:hAnsiTheme="minorHAnsi" w:cstheme="minorHAnsi"/>
          <w:color w:val="000000" w:themeColor="text1"/>
          <w:sz w:val="20"/>
          <w:shd w:val="clear" w:color="auto" w:fill="FFFFFF"/>
        </w:rPr>
        <w:t>, Commission Research Paper, Canberra</w:t>
      </w:r>
    </w:p>
  </w:footnote>
  <w:footnote w:id="6">
    <w:p w14:paraId="10224A3A" w14:textId="026EF425" w:rsidR="00043DF8" w:rsidRPr="008B01F0" w:rsidRDefault="00BC3B4F" w:rsidP="00BC3B4F">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normaltextrun"/>
          <w:rFonts w:asciiTheme="minorHAnsi" w:eastAsiaTheme="minorEastAsia" w:hAnsiTheme="minorHAnsi" w:cstheme="minorHAnsi"/>
          <w:color w:val="000000" w:themeColor="text1"/>
          <w:sz w:val="20"/>
          <w:shd w:val="clear" w:color="auto" w:fill="FFFFFF"/>
        </w:rPr>
        <w:t>Services Australia administrative data (Department of Social Services Blue Book dataset), as at 30 June 2023</w:t>
      </w:r>
    </w:p>
  </w:footnote>
  <w:footnote w:id="7">
    <w:p w14:paraId="4D5807F8" w14:textId="65D5DD4E" w:rsidR="00395655" w:rsidRPr="008B01F0" w:rsidRDefault="002C5CB8" w:rsidP="002C5CB8">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00043DF8" w:rsidRPr="008B01F0">
        <w:rPr>
          <w:rFonts w:asciiTheme="minorHAnsi" w:hAnsiTheme="minorHAnsi" w:cstheme="minorHAnsi"/>
          <w:color w:val="000000" w:themeColor="text1"/>
          <w:sz w:val="20"/>
        </w:rPr>
        <w:t>Department of Employment and Workplace Relations</w:t>
      </w:r>
      <w:r w:rsidR="00395655" w:rsidRPr="008B01F0">
        <w:rPr>
          <w:rFonts w:asciiTheme="minorHAnsi" w:hAnsiTheme="minorHAnsi" w:cstheme="minorHAnsi"/>
          <w:color w:val="000000" w:themeColor="text1"/>
          <w:sz w:val="20"/>
        </w:rPr>
        <w:t xml:space="preserve"> (</w:t>
      </w:r>
      <w:r w:rsidR="00CA48F5" w:rsidRPr="008B01F0">
        <w:rPr>
          <w:rFonts w:asciiTheme="minorHAnsi" w:hAnsiTheme="minorHAnsi" w:cstheme="minorHAnsi"/>
          <w:color w:val="000000" w:themeColor="text1"/>
          <w:sz w:val="20"/>
        </w:rPr>
        <w:t>2022</w:t>
      </w:r>
      <w:r w:rsidR="00395655" w:rsidRPr="008B01F0">
        <w:rPr>
          <w:rFonts w:asciiTheme="minorHAnsi" w:hAnsiTheme="minorHAnsi" w:cstheme="minorHAnsi"/>
          <w:color w:val="000000" w:themeColor="text1"/>
          <w:sz w:val="20"/>
        </w:rPr>
        <w:t>),</w:t>
      </w:r>
      <w:r w:rsidR="00043DF8" w:rsidRPr="008B01F0">
        <w:rPr>
          <w:rFonts w:asciiTheme="minorHAnsi" w:hAnsiTheme="minorHAnsi" w:cstheme="minorHAnsi"/>
          <w:color w:val="000000" w:themeColor="text1"/>
          <w:sz w:val="20"/>
        </w:rPr>
        <w:t xml:space="preserve"> </w:t>
      </w:r>
      <w:hyperlink r:id="rId6" w:history="1">
        <w:r w:rsidR="00395655" w:rsidRPr="008B01F0">
          <w:rPr>
            <w:rStyle w:val="Hyperlink"/>
            <w:rFonts w:asciiTheme="minorHAnsi" w:eastAsiaTheme="minorEastAsia" w:hAnsiTheme="minorHAnsi" w:cstheme="minorHAnsi"/>
            <w:i/>
            <w:iCs/>
            <w:color w:val="000000" w:themeColor="text1"/>
            <w:sz w:val="20"/>
          </w:rPr>
          <w:t>ParentsNext National Expansion 2018–2021: Evaluation Report</w:t>
        </w:r>
      </w:hyperlink>
      <w:r w:rsidR="00395655" w:rsidRPr="008B01F0">
        <w:rPr>
          <w:rStyle w:val="Hyperlink"/>
          <w:rFonts w:asciiTheme="minorHAnsi" w:eastAsiaTheme="minorEastAsia" w:hAnsiTheme="minorHAnsi" w:cstheme="minorHAnsi"/>
          <w:color w:val="000000" w:themeColor="text1"/>
          <w:sz w:val="20"/>
          <w:u w:val="none"/>
        </w:rPr>
        <w:t>, Department of Employment and Workplace Relations</w:t>
      </w:r>
      <w:r w:rsidR="00C24B38" w:rsidRPr="008B01F0">
        <w:rPr>
          <w:rStyle w:val="Hyperlink"/>
          <w:rFonts w:asciiTheme="minorHAnsi" w:eastAsiaTheme="minorEastAsia" w:hAnsiTheme="minorHAnsi" w:cstheme="minorHAnsi"/>
          <w:color w:val="000000" w:themeColor="text1"/>
          <w:sz w:val="20"/>
          <w:u w:val="none"/>
        </w:rPr>
        <w:t>, Australian Government</w:t>
      </w:r>
    </w:p>
  </w:footnote>
  <w:footnote w:id="8">
    <w:p w14:paraId="030123DA" w14:textId="2DE926D6" w:rsidR="001D3479" w:rsidRPr="008B01F0" w:rsidRDefault="001D3479" w:rsidP="001D3479">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normaltextrun"/>
          <w:rFonts w:asciiTheme="minorHAnsi" w:eastAsiaTheme="minorEastAsia" w:hAnsiTheme="minorHAnsi" w:cstheme="minorHAnsi"/>
          <w:color w:val="000000" w:themeColor="text1"/>
          <w:sz w:val="20"/>
          <w:shd w:val="clear" w:color="auto" w:fill="FFFFFF"/>
        </w:rPr>
        <w:t>Immervol H, Pacifico D and Vandewayer M (2019)</w:t>
      </w:r>
      <w:r w:rsidR="00040806">
        <w:rPr>
          <w:rStyle w:val="normaltextrun"/>
          <w:rFonts w:asciiTheme="minorHAnsi" w:eastAsiaTheme="minorEastAsia" w:hAnsiTheme="minorHAnsi" w:cstheme="minorHAnsi"/>
          <w:color w:val="000000" w:themeColor="text1"/>
          <w:sz w:val="20"/>
          <w:shd w:val="clear" w:color="auto" w:fill="FFFFFF"/>
        </w:rPr>
        <w:t xml:space="preserve">, </w:t>
      </w:r>
      <w:hyperlink r:id="rId7" w:tgtFrame="_blank" w:history="1">
        <w:r w:rsidRPr="008B01F0">
          <w:rPr>
            <w:rStyle w:val="normaltextrun"/>
            <w:rFonts w:asciiTheme="minorHAnsi" w:eastAsiaTheme="minorEastAsia" w:hAnsiTheme="minorHAnsi" w:cstheme="minorHAnsi"/>
            <w:color w:val="000000" w:themeColor="text1"/>
            <w:sz w:val="20"/>
            <w:u w:val="single"/>
            <w:shd w:val="clear" w:color="auto" w:fill="FFFFFF"/>
          </w:rPr>
          <w:t>Faces of joblessness in Australia: An Anatomy of employment barriers using household data</w:t>
        </w:r>
      </w:hyperlink>
      <w:r w:rsidRPr="008B01F0">
        <w:rPr>
          <w:rStyle w:val="normaltextrun"/>
          <w:rFonts w:asciiTheme="minorHAnsi" w:eastAsiaTheme="minorEastAsia" w:hAnsiTheme="minorHAnsi" w:cstheme="minorHAnsi"/>
          <w:color w:val="000000" w:themeColor="text1"/>
          <w:sz w:val="20"/>
          <w:shd w:val="clear" w:color="auto" w:fill="FFFFFF"/>
        </w:rPr>
        <w:t>, </w:t>
      </w:r>
      <w:r w:rsidRPr="008B01F0">
        <w:rPr>
          <w:rStyle w:val="findhit"/>
          <w:rFonts w:asciiTheme="minorHAnsi" w:eastAsiaTheme="majorEastAsia" w:hAnsiTheme="minorHAnsi" w:cstheme="minorHAnsi"/>
          <w:color w:val="000000" w:themeColor="text1"/>
          <w:sz w:val="20"/>
          <w:shd w:val="clear" w:color="auto" w:fill="FFFFFF"/>
        </w:rPr>
        <w:t>OECD</w:t>
      </w:r>
      <w:r w:rsidRPr="008B01F0">
        <w:rPr>
          <w:rStyle w:val="normaltextrun"/>
          <w:rFonts w:asciiTheme="minorHAnsi" w:eastAsiaTheme="minorEastAsia" w:hAnsiTheme="minorHAnsi" w:cstheme="minorHAnsi"/>
          <w:color w:val="000000" w:themeColor="text1"/>
          <w:sz w:val="20"/>
          <w:shd w:val="clear" w:color="auto" w:fill="FFFFFF"/>
        </w:rPr>
        <w:t> Social, Employment and Migration Working Papers, No.226</w:t>
      </w:r>
    </w:p>
  </w:footnote>
  <w:footnote w:id="9">
    <w:p w14:paraId="5DC91A51" w14:textId="31891DD3" w:rsidR="001D3479" w:rsidRPr="008B01F0" w:rsidRDefault="001D3479" w:rsidP="001D3479">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findhit"/>
          <w:rFonts w:asciiTheme="minorHAnsi" w:eastAsiaTheme="majorEastAsia" w:hAnsiTheme="minorHAnsi" w:cstheme="minorHAnsi"/>
          <w:color w:val="000000" w:themeColor="text1"/>
          <w:sz w:val="20"/>
          <w:shd w:val="clear" w:color="auto" w:fill="FFFFFF"/>
        </w:rPr>
        <w:t>A</w:t>
      </w:r>
      <w:r w:rsidR="00CE1C23" w:rsidRPr="008B01F0">
        <w:rPr>
          <w:rStyle w:val="findhit"/>
          <w:rFonts w:asciiTheme="minorHAnsi" w:eastAsiaTheme="majorEastAsia" w:hAnsiTheme="minorHAnsi" w:cstheme="minorHAnsi"/>
          <w:color w:val="000000" w:themeColor="text1"/>
          <w:sz w:val="20"/>
          <w:shd w:val="clear" w:color="auto" w:fill="FFFFFF"/>
        </w:rPr>
        <w:t xml:space="preserve">ustralian Bureau </w:t>
      </w:r>
      <w:r w:rsidR="005A4C54" w:rsidRPr="008B01F0">
        <w:rPr>
          <w:rStyle w:val="findhit"/>
          <w:rFonts w:asciiTheme="minorHAnsi" w:eastAsiaTheme="majorEastAsia" w:hAnsiTheme="minorHAnsi" w:cstheme="minorHAnsi"/>
          <w:color w:val="000000" w:themeColor="text1"/>
          <w:sz w:val="20"/>
          <w:shd w:val="clear" w:color="auto" w:fill="FFFFFF"/>
        </w:rPr>
        <w:t>o</w:t>
      </w:r>
      <w:r w:rsidR="00CE1C23" w:rsidRPr="008B01F0">
        <w:rPr>
          <w:rStyle w:val="findhit"/>
          <w:rFonts w:asciiTheme="minorHAnsi" w:eastAsiaTheme="majorEastAsia" w:hAnsiTheme="minorHAnsi" w:cstheme="minorHAnsi"/>
          <w:color w:val="000000" w:themeColor="text1"/>
          <w:sz w:val="20"/>
          <w:shd w:val="clear" w:color="auto" w:fill="FFFFFF"/>
        </w:rPr>
        <w:t xml:space="preserve">f Statistics (June </w:t>
      </w:r>
      <w:r w:rsidRPr="008B01F0">
        <w:rPr>
          <w:rStyle w:val="normaltextrun"/>
          <w:rFonts w:asciiTheme="minorHAnsi" w:eastAsiaTheme="minorEastAsia" w:hAnsiTheme="minorHAnsi" w:cstheme="minorHAnsi"/>
          <w:color w:val="000000" w:themeColor="text1"/>
          <w:sz w:val="20"/>
          <w:shd w:val="clear" w:color="auto" w:fill="FFFFFF"/>
        </w:rPr>
        <w:t>2023) </w:t>
      </w:r>
      <w:hyperlink r:id="rId8" w:anchor="key-statistics" w:tgtFrame="_blank" w:history="1">
        <w:r w:rsidRPr="008B01F0">
          <w:rPr>
            <w:rStyle w:val="normaltextrun"/>
            <w:rFonts w:asciiTheme="minorHAnsi" w:eastAsiaTheme="minorEastAsia" w:hAnsiTheme="minorHAnsi" w:cstheme="minorHAnsi"/>
            <w:color w:val="000000" w:themeColor="text1"/>
            <w:sz w:val="20"/>
            <w:u w:val="single"/>
            <w:shd w:val="clear" w:color="auto" w:fill="FFFFFF"/>
          </w:rPr>
          <w:t>Potential workers</w:t>
        </w:r>
      </w:hyperlink>
      <w:r w:rsidRPr="008B01F0">
        <w:rPr>
          <w:rStyle w:val="normaltextrun"/>
          <w:rFonts w:asciiTheme="minorHAnsi" w:eastAsiaTheme="minorEastAsia" w:hAnsiTheme="minorHAnsi" w:cstheme="minorHAnsi"/>
          <w:color w:val="000000" w:themeColor="text1"/>
          <w:sz w:val="20"/>
          <w:shd w:val="clear" w:color="auto" w:fill="FFFFFF"/>
        </w:rPr>
        <w:t xml:space="preserve">, </w:t>
      </w:r>
      <w:r w:rsidRPr="008B01F0">
        <w:rPr>
          <w:rStyle w:val="findhit"/>
          <w:rFonts w:asciiTheme="minorHAnsi" w:eastAsiaTheme="majorEastAsia" w:hAnsiTheme="minorHAnsi" w:cstheme="minorHAnsi"/>
          <w:color w:val="000000" w:themeColor="text1"/>
          <w:sz w:val="20"/>
          <w:shd w:val="clear" w:color="auto" w:fill="FFFFFF"/>
        </w:rPr>
        <w:t>ABS</w:t>
      </w:r>
      <w:r w:rsidRPr="008B01F0">
        <w:rPr>
          <w:rStyle w:val="normaltextrun"/>
          <w:rFonts w:asciiTheme="minorHAnsi" w:eastAsiaTheme="minorEastAsia" w:hAnsiTheme="minorHAnsi" w:cstheme="minorHAnsi"/>
          <w:color w:val="000000" w:themeColor="text1"/>
          <w:sz w:val="20"/>
          <w:shd w:val="clear" w:color="auto" w:fill="FFFFFF"/>
        </w:rPr>
        <w:t> website, Table 5, accessed 30 August 2023</w:t>
      </w:r>
    </w:p>
  </w:footnote>
  <w:footnote w:id="10">
    <w:p w14:paraId="2D3C42D2" w14:textId="19472990" w:rsidR="00541E75" w:rsidRPr="008B01F0" w:rsidRDefault="00541E75" w:rsidP="00541E75">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normaltextrun"/>
          <w:rFonts w:asciiTheme="minorHAnsi" w:eastAsiaTheme="minorEastAsia" w:hAnsiTheme="minorHAnsi" w:cstheme="minorHAnsi"/>
          <w:color w:val="000000" w:themeColor="text1"/>
          <w:sz w:val="20"/>
          <w:shd w:val="clear" w:color="auto" w:fill="FFFFFF"/>
        </w:rPr>
        <w:t>OECD (n.d.) </w:t>
      </w:r>
      <w:hyperlink r:id="rId9" w:tgtFrame="_blank" w:history="1">
        <w:r w:rsidRPr="008B01F0">
          <w:rPr>
            <w:rStyle w:val="normaltextrun"/>
            <w:rFonts w:asciiTheme="minorHAnsi" w:eastAsiaTheme="minorEastAsia" w:hAnsiTheme="minorHAnsi" w:cstheme="minorHAnsi"/>
            <w:color w:val="000000" w:themeColor="text1"/>
            <w:sz w:val="20"/>
            <w:u w:val="single"/>
            <w:shd w:val="clear" w:color="auto" w:fill="FFFFFF"/>
          </w:rPr>
          <w:t>Educational attainment and labour force status</w:t>
        </w:r>
      </w:hyperlink>
      <w:r w:rsidRPr="008B01F0">
        <w:rPr>
          <w:rStyle w:val="normaltextrun"/>
          <w:rFonts w:asciiTheme="minorHAnsi" w:eastAsiaTheme="minorEastAsia" w:hAnsiTheme="minorHAnsi" w:cstheme="minorHAnsi"/>
          <w:color w:val="000000" w:themeColor="text1"/>
          <w:sz w:val="20"/>
          <w:shd w:val="clear" w:color="auto" w:fill="FFFFFF"/>
        </w:rPr>
        <w:t>, OECD.Stat, accessed 20 February 2023. Note that gender employment gaps are defined as men’s employment rate minus women’s employment rate by level of educational attainment, for people aged 25–64 years in 2021</w:t>
      </w:r>
    </w:p>
  </w:footnote>
  <w:footnote w:id="11">
    <w:p w14:paraId="022762C9" w14:textId="25F2F91F" w:rsidR="00D04C07" w:rsidRPr="008B01F0" w:rsidRDefault="00D04C07" w:rsidP="00D04C07">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Boulden K (August 2009), ‘What it Takes: Supporting pregnant and parenting young people’, Report of the Association of Women Educators National Symposium – Brisbane 2009</w:t>
      </w:r>
      <w:r w:rsidR="00D25638" w:rsidRPr="008B01F0">
        <w:rPr>
          <w:rFonts w:asciiTheme="minorHAnsi" w:hAnsiTheme="minorHAnsi" w:cstheme="minorHAnsi"/>
          <w:color w:val="000000" w:themeColor="text1"/>
          <w:sz w:val="20"/>
        </w:rPr>
        <w:t>, Association of Women Educators</w:t>
      </w:r>
    </w:p>
  </w:footnote>
  <w:footnote w:id="12">
    <w:p w14:paraId="7D444ED6" w14:textId="1A519975" w:rsidR="00831EF5" w:rsidRPr="008B01F0" w:rsidRDefault="00831EF5" w:rsidP="00831EF5">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Equity Economics, Making Australia the Best Place in the World to be a Parent (2021)</w:t>
      </w:r>
      <w:r w:rsidR="00040806">
        <w:rPr>
          <w:rFonts w:asciiTheme="minorHAnsi" w:hAnsiTheme="minorHAnsi" w:cstheme="minorHAnsi"/>
          <w:color w:val="000000" w:themeColor="text1"/>
          <w:sz w:val="20"/>
        </w:rPr>
        <w:t xml:space="preserve">, </w:t>
      </w:r>
      <w:hyperlink r:id="rId10" w:history="1">
        <w:r w:rsidR="00A5059D" w:rsidRPr="00064907">
          <w:rPr>
            <w:rStyle w:val="Hyperlink"/>
            <w:rFonts w:asciiTheme="minorHAnsi" w:hAnsiTheme="minorHAnsi" w:cstheme="minorHAnsi"/>
            <w:sz w:val="20"/>
          </w:rPr>
          <w:t>https://www.equityeconomics.com.au/report-archive/how-australias-parenting-policies-are-failing-women-and-our-economy</w:t>
        </w:r>
      </w:hyperlink>
    </w:p>
  </w:footnote>
  <w:footnote w:id="13">
    <w:p w14:paraId="00BAECD5" w14:textId="0474237E" w:rsidR="001D3479" w:rsidRPr="008B01F0" w:rsidRDefault="001D3479" w:rsidP="001D3479">
      <w:pPr>
        <w:pStyle w:val="FootnoteText"/>
        <w:rPr>
          <w:rFonts w:asciiTheme="minorHAnsi" w:hAnsiTheme="minorHAnsi" w:cstheme="minorHAnsi"/>
          <w:color w:val="000000" w:themeColor="text1"/>
          <w:sz w:val="22"/>
          <w:szCs w:val="22"/>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bookmarkStart w:id="17" w:name="_Hlk147156244"/>
      <w:r w:rsidR="0027044E" w:rsidRPr="008B01F0">
        <w:rPr>
          <w:rFonts w:asciiTheme="minorHAnsi" w:hAnsiTheme="minorHAnsi" w:cstheme="minorHAnsi"/>
          <w:color w:val="000000" w:themeColor="text1"/>
          <w:sz w:val="20"/>
        </w:rPr>
        <w:t xml:space="preserve">Treasury (2023), </w:t>
      </w:r>
      <w:hyperlink r:id="rId11" w:history="1">
        <w:r w:rsidR="0027044E" w:rsidRPr="008B01F0">
          <w:rPr>
            <w:rFonts w:asciiTheme="minorHAnsi" w:eastAsiaTheme="minorHAnsi" w:hAnsiTheme="minorHAnsi" w:cstheme="minorBidi"/>
            <w:i/>
            <w:iCs/>
            <w:color w:val="000000" w:themeColor="text1"/>
            <w:sz w:val="20"/>
            <w:u w:val="single"/>
            <w:lang w:eastAsia="en-US"/>
          </w:rPr>
          <w:t>Intergenerational Report 2023: Australia</w:t>
        </w:r>
        <w:r w:rsidR="00863C9F">
          <w:rPr>
            <w:rFonts w:asciiTheme="minorHAnsi" w:eastAsiaTheme="minorHAnsi" w:hAnsiTheme="minorHAnsi" w:cstheme="minorBidi"/>
            <w:i/>
            <w:iCs/>
            <w:color w:val="000000" w:themeColor="text1"/>
            <w:sz w:val="20"/>
            <w:u w:val="single"/>
            <w:lang w:eastAsia="en-US"/>
          </w:rPr>
          <w:t>’</w:t>
        </w:r>
        <w:r w:rsidR="0027044E" w:rsidRPr="008B01F0">
          <w:rPr>
            <w:rFonts w:asciiTheme="minorHAnsi" w:eastAsiaTheme="minorHAnsi" w:hAnsiTheme="minorHAnsi" w:cstheme="minorBidi"/>
            <w:i/>
            <w:iCs/>
            <w:color w:val="000000" w:themeColor="text1"/>
            <w:sz w:val="20"/>
            <w:u w:val="single"/>
            <w:lang w:eastAsia="en-US"/>
          </w:rPr>
          <w:t>s Future to 2063</w:t>
        </w:r>
      </w:hyperlink>
      <w:bookmarkEnd w:id="17"/>
      <w:r w:rsidR="0027044E" w:rsidRPr="008B01F0">
        <w:rPr>
          <w:rFonts w:asciiTheme="minorHAnsi" w:eastAsiaTheme="minorHAnsi" w:hAnsiTheme="minorHAnsi" w:cstheme="minorBidi"/>
          <w:color w:val="000000" w:themeColor="text1"/>
          <w:sz w:val="20"/>
          <w:lang w:eastAsia="en-US"/>
        </w:rPr>
        <w:t xml:space="preserve">, </w:t>
      </w:r>
      <w:r w:rsidR="0027044E" w:rsidRPr="008B01F0">
        <w:rPr>
          <w:rFonts w:asciiTheme="minorHAnsi" w:hAnsiTheme="minorHAnsi" w:cstheme="minorHAnsi"/>
          <w:color w:val="000000" w:themeColor="text1"/>
          <w:sz w:val="20"/>
        </w:rPr>
        <w:t xml:space="preserve">Treasury, </w:t>
      </w:r>
      <w:r w:rsidRPr="008B01F0">
        <w:rPr>
          <w:rFonts w:asciiTheme="minorHAnsi" w:hAnsiTheme="minorHAnsi" w:cstheme="minorHAnsi"/>
          <w:color w:val="000000" w:themeColor="text1"/>
          <w:sz w:val="20"/>
        </w:rPr>
        <w:t xml:space="preserve">Australian Government </w:t>
      </w:r>
    </w:p>
  </w:footnote>
  <w:footnote w:id="14">
    <w:p w14:paraId="550E602B" w14:textId="09A6CB7A" w:rsidR="00B53708" w:rsidRPr="008B01F0" w:rsidRDefault="001D3479" w:rsidP="001D3479">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Bahar E, </w:t>
      </w:r>
      <w:r w:rsidR="004F1904" w:rsidRPr="008B01F0">
        <w:rPr>
          <w:rFonts w:asciiTheme="minorHAnsi" w:hAnsiTheme="minorHAnsi" w:cstheme="minorHAnsi"/>
          <w:color w:val="000000" w:themeColor="text1"/>
          <w:sz w:val="20"/>
        </w:rPr>
        <w:t xml:space="preserve">Bradshaw N, </w:t>
      </w:r>
      <w:r w:rsidR="000014DA" w:rsidRPr="008B01F0">
        <w:rPr>
          <w:rFonts w:asciiTheme="minorHAnsi" w:hAnsiTheme="minorHAnsi" w:cstheme="minorHAnsi"/>
          <w:color w:val="000000" w:themeColor="text1"/>
          <w:sz w:val="20"/>
        </w:rPr>
        <w:t>Deutscher N and Montaigne M (March 2023)</w:t>
      </w:r>
      <w:r w:rsidRPr="008B01F0">
        <w:rPr>
          <w:rFonts w:asciiTheme="minorHAnsi" w:hAnsiTheme="minorHAnsi" w:cstheme="minorHAnsi"/>
          <w:color w:val="000000" w:themeColor="text1"/>
          <w:sz w:val="20"/>
        </w:rPr>
        <w:t>,</w:t>
      </w:r>
      <w:r w:rsidR="005A5C72" w:rsidRPr="008B01F0">
        <w:rPr>
          <w:rFonts w:asciiTheme="minorHAnsi" w:eastAsiaTheme="minorHAnsi" w:hAnsiTheme="minorHAnsi" w:cstheme="minorBidi"/>
          <w:color w:val="000000" w:themeColor="text1"/>
          <w:sz w:val="20"/>
          <w:lang w:eastAsia="en-US"/>
        </w:rPr>
        <w:t xml:space="preserve"> </w:t>
      </w:r>
      <w:r w:rsidR="000014DA" w:rsidRPr="008B01F0">
        <w:rPr>
          <w:rFonts w:asciiTheme="minorHAnsi" w:eastAsiaTheme="minorHAnsi" w:hAnsiTheme="minorHAnsi" w:cstheme="minorBidi"/>
          <w:color w:val="000000" w:themeColor="text1"/>
          <w:sz w:val="20"/>
          <w:lang w:eastAsia="en-US"/>
        </w:rPr>
        <w:t>‘</w:t>
      </w:r>
      <w:hyperlink r:id="rId12" w:history="1">
        <w:r w:rsidR="005A5C72" w:rsidRPr="008B01F0">
          <w:rPr>
            <w:rFonts w:asciiTheme="minorHAnsi" w:eastAsiaTheme="minorHAnsi" w:hAnsiTheme="minorHAnsi" w:cstheme="minorBidi"/>
            <w:color w:val="000000" w:themeColor="text1"/>
            <w:sz w:val="20"/>
            <w:u w:val="single"/>
            <w:lang w:eastAsia="en-US"/>
          </w:rPr>
          <w:t>Children and the Gender Earnings Gap: Evidence for Australia</w:t>
        </w:r>
      </w:hyperlink>
      <w:r w:rsidR="000014DA" w:rsidRPr="008B01F0">
        <w:rPr>
          <w:rFonts w:asciiTheme="minorHAnsi" w:eastAsiaTheme="minorHAnsi" w:hAnsiTheme="minorHAnsi" w:cstheme="minorBidi"/>
          <w:color w:val="000000" w:themeColor="text1"/>
          <w:sz w:val="20"/>
          <w:lang w:eastAsia="en-US"/>
        </w:rPr>
        <w:t>’</w:t>
      </w:r>
      <w:r w:rsidR="004F1904" w:rsidRPr="008B01F0">
        <w:rPr>
          <w:rFonts w:asciiTheme="minorHAnsi" w:hAnsiTheme="minorHAnsi" w:cstheme="minorHAnsi"/>
          <w:i/>
          <w:iCs/>
          <w:color w:val="000000" w:themeColor="text1"/>
          <w:sz w:val="20"/>
        </w:rPr>
        <w:t xml:space="preserve">, </w:t>
      </w:r>
      <w:r w:rsidR="000014DA" w:rsidRPr="008B01F0">
        <w:rPr>
          <w:rFonts w:asciiTheme="minorHAnsi" w:hAnsiTheme="minorHAnsi" w:cstheme="minorHAnsi"/>
          <w:color w:val="000000" w:themeColor="text1"/>
          <w:sz w:val="20"/>
        </w:rPr>
        <w:t xml:space="preserve">Treasury Working Paper 2023-02, </w:t>
      </w:r>
      <w:r w:rsidR="004F1904" w:rsidRPr="008B01F0">
        <w:rPr>
          <w:rFonts w:asciiTheme="minorHAnsi" w:hAnsiTheme="minorHAnsi" w:cstheme="minorHAnsi"/>
          <w:color w:val="000000" w:themeColor="text1"/>
          <w:sz w:val="20"/>
        </w:rPr>
        <w:t xml:space="preserve">Treasury, Australian Government </w:t>
      </w:r>
    </w:p>
  </w:footnote>
  <w:footnote w:id="15">
    <w:p w14:paraId="5CEA1046" w14:textId="41D12A71" w:rsidR="00D5316A" w:rsidRPr="008B01F0" w:rsidRDefault="00D5316A" w:rsidP="00D5316A">
      <w:pPr>
        <w:pStyle w:val="FootnoteText"/>
        <w:rPr>
          <w:rFonts w:ascii="Calibri" w:hAnsi="Calibri" w:cs="Calibr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findhit"/>
          <w:rFonts w:asciiTheme="minorHAnsi" w:eastAsiaTheme="majorEastAsia" w:hAnsiTheme="minorHAnsi" w:cstheme="minorHAnsi"/>
          <w:color w:val="000000" w:themeColor="text1"/>
          <w:sz w:val="20"/>
          <w:shd w:val="clear" w:color="auto" w:fill="FFFFFF"/>
        </w:rPr>
        <w:t>OECD</w:t>
      </w:r>
      <w:r w:rsidRPr="008B01F0">
        <w:rPr>
          <w:rStyle w:val="normaltextrun"/>
          <w:rFonts w:asciiTheme="minorHAnsi" w:eastAsiaTheme="minorEastAsia" w:hAnsiTheme="minorHAnsi" w:cstheme="minorHAnsi"/>
          <w:color w:val="000000" w:themeColor="text1"/>
          <w:sz w:val="20"/>
          <w:shd w:val="clear" w:color="auto" w:fill="FFFFFF"/>
        </w:rPr>
        <w:t> (Organisation for Economic Cooperation and Development) (n.d.), </w:t>
      </w:r>
      <w:hyperlink r:id="rId13" w:tgtFrame="_blank" w:history="1">
        <w:r w:rsidRPr="008B01F0">
          <w:rPr>
            <w:rStyle w:val="findhit"/>
            <w:rFonts w:asciiTheme="minorHAnsi" w:eastAsiaTheme="majorEastAsia" w:hAnsiTheme="minorHAnsi" w:cstheme="minorHAnsi"/>
            <w:color w:val="000000" w:themeColor="text1"/>
            <w:sz w:val="20"/>
            <w:u w:val="single"/>
            <w:shd w:val="clear" w:color="auto" w:fill="FFFFFF"/>
          </w:rPr>
          <w:t>OECD</w:t>
        </w:r>
        <w:r w:rsidRPr="008B01F0">
          <w:rPr>
            <w:rStyle w:val="normaltextrun"/>
            <w:rFonts w:asciiTheme="minorHAnsi" w:eastAsiaTheme="minorEastAsia" w:hAnsiTheme="minorHAnsi" w:cstheme="minorHAnsi"/>
            <w:color w:val="000000" w:themeColor="text1"/>
            <w:sz w:val="20"/>
            <w:u w:val="single"/>
            <w:shd w:val="clear" w:color="auto" w:fill="FFFFFF"/>
          </w:rPr>
          <w:t> Family Database</w:t>
        </w:r>
      </w:hyperlink>
      <w:r w:rsidRPr="008B01F0">
        <w:rPr>
          <w:rStyle w:val="normaltextrun"/>
          <w:rFonts w:asciiTheme="minorHAnsi" w:eastAsiaTheme="minorEastAsia" w:hAnsiTheme="minorHAnsi" w:cstheme="minorHAnsi"/>
          <w:color w:val="000000" w:themeColor="text1"/>
          <w:sz w:val="20"/>
          <w:shd w:val="clear" w:color="auto" w:fill="FFFFFF"/>
        </w:rPr>
        <w:t xml:space="preserve">, Maternal </w:t>
      </w:r>
      <w:r w:rsidRPr="008B01F0">
        <w:rPr>
          <w:rStyle w:val="normaltextrun"/>
          <w:rFonts w:ascii="Calibri" w:eastAsiaTheme="minorEastAsia" w:hAnsi="Calibri" w:cs="Calibri"/>
          <w:color w:val="000000" w:themeColor="text1"/>
          <w:sz w:val="20"/>
          <w:shd w:val="clear" w:color="auto" w:fill="FFFFFF"/>
        </w:rPr>
        <w:t>employment by partnership status (LMF1.3), accessed on 5 June 2023</w:t>
      </w:r>
      <w:r w:rsidRPr="008B01F0">
        <w:rPr>
          <w:rStyle w:val="eop"/>
          <w:rFonts w:ascii="Calibri" w:eastAsiaTheme="majorEastAsia" w:hAnsi="Calibri" w:cs="Calibri"/>
          <w:color w:val="000000" w:themeColor="text1"/>
          <w:sz w:val="20"/>
          <w:shd w:val="clear" w:color="auto" w:fill="FFFFFF"/>
        </w:rPr>
        <w:t> </w:t>
      </w:r>
    </w:p>
  </w:footnote>
  <w:footnote w:id="16">
    <w:p w14:paraId="4A56C167" w14:textId="37731338" w:rsidR="001D3479" w:rsidRPr="0097590F" w:rsidRDefault="001D3479" w:rsidP="001D3479">
      <w:pPr>
        <w:pStyle w:val="FootnoteText"/>
        <w:rPr>
          <w:rFonts w:asciiTheme="minorHAnsi" w:hAnsiTheme="minorHAnsi" w:cstheme="minorHAnsi"/>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0027044E" w:rsidRPr="008B01F0">
        <w:rPr>
          <w:rFonts w:asciiTheme="minorHAnsi" w:hAnsiTheme="minorHAnsi" w:cstheme="minorHAnsi"/>
          <w:color w:val="000000" w:themeColor="text1"/>
          <w:sz w:val="20"/>
        </w:rPr>
        <w:t xml:space="preserve">Treasury (2023), </w:t>
      </w:r>
      <w:hyperlink r:id="rId14" w:history="1">
        <w:r w:rsidR="0027044E" w:rsidRPr="008B01F0">
          <w:rPr>
            <w:rFonts w:asciiTheme="minorHAnsi" w:eastAsiaTheme="minorHAnsi" w:hAnsiTheme="minorHAnsi" w:cstheme="minorBidi"/>
            <w:i/>
            <w:iCs/>
            <w:color w:val="000000" w:themeColor="text1"/>
            <w:sz w:val="20"/>
            <w:u w:val="single"/>
            <w:lang w:eastAsia="en-US"/>
          </w:rPr>
          <w:t>Intergenerational Report 2023: Australia</w:t>
        </w:r>
        <w:r w:rsidR="00863C9F">
          <w:rPr>
            <w:rFonts w:asciiTheme="minorHAnsi" w:eastAsiaTheme="minorHAnsi" w:hAnsiTheme="minorHAnsi" w:cstheme="minorBidi"/>
            <w:i/>
            <w:iCs/>
            <w:color w:val="000000" w:themeColor="text1"/>
            <w:sz w:val="20"/>
            <w:u w:val="single"/>
            <w:lang w:eastAsia="en-US"/>
          </w:rPr>
          <w:t>’</w:t>
        </w:r>
        <w:r w:rsidR="0027044E" w:rsidRPr="008B01F0">
          <w:rPr>
            <w:rFonts w:asciiTheme="minorHAnsi" w:eastAsiaTheme="minorHAnsi" w:hAnsiTheme="minorHAnsi" w:cstheme="minorBidi"/>
            <w:i/>
            <w:iCs/>
            <w:color w:val="000000" w:themeColor="text1"/>
            <w:sz w:val="20"/>
            <w:u w:val="single"/>
            <w:lang w:eastAsia="en-US"/>
          </w:rPr>
          <w:t>s Future to 2063</w:t>
        </w:r>
      </w:hyperlink>
    </w:p>
  </w:footnote>
  <w:footnote w:id="17">
    <w:p w14:paraId="50347FEC" w14:textId="52AE7D38" w:rsidR="00EC55C2" w:rsidRPr="008B01F0" w:rsidRDefault="00EC55C2" w:rsidP="00EC55C2">
      <w:pPr>
        <w:pStyle w:val="FootnoteText"/>
        <w:rPr>
          <w:rFonts w:asciiTheme="minorHAnsi" w:hAnsiTheme="minorHAnsi" w:cstheme="minorHAnsi"/>
          <w:color w:val="000000" w:themeColor="text1"/>
          <w:sz w:val="20"/>
        </w:rPr>
      </w:pPr>
      <w:r w:rsidRPr="008B01F0">
        <w:rPr>
          <w:rStyle w:val="FootnoteReference"/>
          <w:rFonts w:ascii="Calibri" w:eastAsiaTheme="majorEastAsia" w:hAnsi="Calibri" w:cs="Calibri"/>
          <w:color w:val="000000" w:themeColor="text1"/>
          <w:sz w:val="20"/>
        </w:rPr>
        <w:footnoteRef/>
      </w:r>
      <w:r w:rsidRPr="008B01F0">
        <w:rPr>
          <w:rFonts w:ascii="Calibri" w:hAnsi="Calibri" w:cs="Calibri"/>
          <w:color w:val="000000" w:themeColor="text1"/>
          <w:sz w:val="20"/>
        </w:rPr>
        <w:t xml:space="preserve"> </w:t>
      </w:r>
      <w:r w:rsidRPr="008B01F0">
        <w:rPr>
          <w:rStyle w:val="normaltextrun"/>
          <w:rFonts w:asciiTheme="minorHAnsi" w:eastAsiaTheme="minorEastAsia" w:hAnsiTheme="minorHAnsi" w:cstheme="minorHAnsi"/>
          <w:color w:val="000000" w:themeColor="text1"/>
          <w:sz w:val="20"/>
          <w:shd w:val="clear" w:color="auto" w:fill="FFFFFF"/>
        </w:rPr>
        <w:t>Department of Social Services (2016),</w:t>
      </w:r>
      <w:r w:rsidR="00A5059D">
        <w:rPr>
          <w:rStyle w:val="normaltextrun"/>
          <w:rFonts w:asciiTheme="minorHAnsi" w:eastAsiaTheme="minorEastAsia" w:hAnsiTheme="minorHAnsi" w:cstheme="minorHAnsi"/>
          <w:color w:val="000000" w:themeColor="text1"/>
          <w:sz w:val="20"/>
          <w:shd w:val="clear" w:color="auto" w:fill="FFFFFF"/>
        </w:rPr>
        <w:t xml:space="preserve"> </w:t>
      </w:r>
      <w:hyperlink r:id="rId15" w:tgtFrame="_blank" w:history="1">
        <w:r w:rsidRPr="00B44140">
          <w:rPr>
            <w:rStyle w:val="normaltextrun"/>
            <w:rFonts w:asciiTheme="minorHAnsi" w:eastAsiaTheme="minorEastAsia" w:hAnsiTheme="minorHAnsi" w:cstheme="minorHAnsi"/>
            <w:i/>
            <w:iCs/>
            <w:color w:val="000000" w:themeColor="text1"/>
            <w:sz w:val="20"/>
            <w:u w:val="single"/>
            <w:shd w:val="clear" w:color="auto" w:fill="FFFFFF"/>
          </w:rPr>
          <w:t>Australian Priority Investment Approach to Welfare – Parents</w:t>
        </w:r>
      </w:hyperlink>
      <w:r w:rsidRPr="008B01F0">
        <w:rPr>
          <w:rStyle w:val="eop"/>
          <w:rFonts w:asciiTheme="minorHAnsi" w:eastAsiaTheme="majorEastAsia" w:hAnsiTheme="minorHAnsi" w:cstheme="minorHAnsi"/>
          <w:color w:val="000000" w:themeColor="text1"/>
          <w:sz w:val="20"/>
          <w:shd w:val="clear" w:color="auto" w:fill="FFFFFF"/>
        </w:rPr>
        <w:t>, Department of Social Services, Australian Government</w:t>
      </w:r>
    </w:p>
  </w:footnote>
  <w:footnote w:id="18">
    <w:p w14:paraId="4B9224D9" w14:textId="04D5BE16" w:rsidR="000014DA" w:rsidRPr="008B01F0" w:rsidRDefault="00225B32">
      <w:pPr>
        <w:pStyle w:val="FootnoteText"/>
        <w:rPr>
          <w:rFonts w:ascii="Calibri" w:hAnsi="Calibri" w:cs="Calibri"/>
          <w:color w:val="000000" w:themeColor="text1"/>
          <w:sz w:val="20"/>
        </w:rPr>
      </w:pPr>
      <w:r w:rsidRPr="008B01F0">
        <w:rPr>
          <w:rStyle w:val="FootnoteReference"/>
          <w:rFonts w:ascii="Calibri" w:hAnsi="Calibri" w:cs="Calibri"/>
          <w:color w:val="000000" w:themeColor="text1"/>
          <w:sz w:val="20"/>
        </w:rPr>
        <w:footnoteRef/>
      </w:r>
      <w:r w:rsidRPr="008B01F0">
        <w:rPr>
          <w:rFonts w:ascii="Calibri" w:hAnsi="Calibri" w:cs="Calibri"/>
          <w:color w:val="000000" w:themeColor="text1"/>
          <w:sz w:val="20"/>
        </w:rPr>
        <w:t xml:space="preserve"> </w:t>
      </w:r>
      <w:r w:rsidRPr="008B01F0">
        <w:rPr>
          <w:rStyle w:val="eop"/>
          <w:rFonts w:ascii="Calibri" w:eastAsiaTheme="majorEastAsia" w:hAnsi="Calibri" w:cs="Calibri"/>
          <w:color w:val="000000" w:themeColor="text1"/>
          <w:sz w:val="20"/>
        </w:rPr>
        <w:t xml:space="preserve">Perales </w:t>
      </w:r>
      <w:r w:rsidR="00EB5A78" w:rsidRPr="008B01F0">
        <w:rPr>
          <w:rStyle w:val="eop"/>
          <w:rFonts w:ascii="Calibri" w:eastAsiaTheme="majorEastAsia" w:hAnsi="Calibri" w:cs="Calibri"/>
          <w:color w:val="000000" w:themeColor="text1"/>
          <w:sz w:val="20"/>
        </w:rPr>
        <w:t xml:space="preserve">F </w:t>
      </w:r>
      <w:r w:rsidRPr="008B01F0">
        <w:rPr>
          <w:rStyle w:val="eop"/>
          <w:rFonts w:ascii="Calibri" w:eastAsiaTheme="majorEastAsia" w:hAnsi="Calibri" w:cs="Calibri"/>
          <w:color w:val="000000" w:themeColor="text1"/>
          <w:sz w:val="20"/>
        </w:rPr>
        <w:t>et al</w:t>
      </w:r>
      <w:r w:rsidR="00EB5A78" w:rsidRPr="008B01F0">
        <w:rPr>
          <w:rStyle w:val="eop"/>
          <w:rFonts w:ascii="Calibri" w:eastAsiaTheme="majorEastAsia" w:hAnsi="Calibri" w:cs="Calibri"/>
          <w:color w:val="000000" w:themeColor="text1"/>
          <w:sz w:val="20"/>
        </w:rPr>
        <w:t xml:space="preserve"> (</w:t>
      </w:r>
      <w:r w:rsidRPr="008B01F0">
        <w:rPr>
          <w:rStyle w:val="eop"/>
          <w:rFonts w:ascii="Calibri" w:eastAsiaTheme="majorEastAsia" w:hAnsi="Calibri" w:cs="Calibri"/>
          <w:color w:val="000000" w:themeColor="text1"/>
          <w:sz w:val="20"/>
        </w:rPr>
        <w:t>2014)</w:t>
      </w:r>
      <w:r w:rsidR="000D37FF" w:rsidRPr="008B01F0">
        <w:rPr>
          <w:rStyle w:val="eop"/>
          <w:rFonts w:ascii="Calibri" w:eastAsiaTheme="majorEastAsia" w:hAnsi="Calibri" w:cs="Calibri"/>
          <w:color w:val="000000" w:themeColor="text1"/>
          <w:sz w:val="20"/>
        </w:rPr>
        <w:t>,</w:t>
      </w:r>
      <w:r w:rsidR="00074B28" w:rsidRPr="008B01F0">
        <w:rPr>
          <w:rFonts w:ascii="Calibri" w:eastAsiaTheme="minorHAnsi" w:hAnsi="Calibri" w:cs="Calibri"/>
          <w:color w:val="000000" w:themeColor="text1"/>
          <w:sz w:val="20"/>
          <w:lang w:eastAsia="en-US"/>
        </w:rPr>
        <w:t xml:space="preserve"> </w:t>
      </w:r>
      <w:hyperlink r:id="rId16" w:history="1">
        <w:r w:rsidR="00A72E3F" w:rsidRPr="008B01F0">
          <w:rPr>
            <w:rFonts w:ascii="Calibri" w:eastAsiaTheme="minorHAnsi" w:hAnsi="Calibri" w:cs="Calibri"/>
            <w:color w:val="000000" w:themeColor="text1"/>
            <w:sz w:val="20"/>
            <w:u w:val="single"/>
            <w:lang w:eastAsia="en-US"/>
          </w:rPr>
          <w:t>Intergenerational Welfare Dependency in Australia: A Review of the Literature</w:t>
        </w:r>
      </w:hyperlink>
      <w:r w:rsidR="00557C33" w:rsidRPr="008B01F0">
        <w:rPr>
          <w:rFonts w:ascii="Calibri" w:eastAsiaTheme="minorHAnsi" w:hAnsi="Calibri" w:cs="Calibri"/>
          <w:color w:val="000000" w:themeColor="text1"/>
          <w:sz w:val="20"/>
          <w:lang w:eastAsia="en-US"/>
        </w:rPr>
        <w:t xml:space="preserve">, </w:t>
      </w:r>
      <w:r w:rsidR="000014DA" w:rsidRPr="008B01F0">
        <w:rPr>
          <w:rFonts w:ascii="Calibri" w:hAnsi="Calibri" w:cs="Calibri"/>
          <w:color w:val="000000" w:themeColor="text1"/>
          <w:sz w:val="20"/>
        </w:rPr>
        <w:t>Life Course Centre working paper no. 2014-09</w:t>
      </w:r>
    </w:p>
  </w:footnote>
  <w:footnote w:id="19">
    <w:p w14:paraId="0FB6D0C9" w14:textId="58F1B292" w:rsidR="001D3479" w:rsidRPr="008B01F0" w:rsidRDefault="001D3479" w:rsidP="001D3479">
      <w:pPr>
        <w:pStyle w:val="FootnoteText"/>
        <w:rPr>
          <w:rFonts w:ascii="Calibri" w:hAnsi="Calibri" w:cs="Calibri"/>
          <w:color w:val="000000" w:themeColor="text1"/>
          <w:sz w:val="20"/>
        </w:rPr>
      </w:pPr>
      <w:r w:rsidRPr="008B01F0">
        <w:rPr>
          <w:rStyle w:val="FootnoteReference"/>
          <w:rFonts w:ascii="Calibri" w:eastAsiaTheme="majorEastAsia" w:hAnsi="Calibri" w:cs="Calibri"/>
          <w:color w:val="000000" w:themeColor="text1"/>
          <w:sz w:val="20"/>
        </w:rPr>
        <w:footnoteRef/>
      </w:r>
      <w:r w:rsidRPr="008B01F0">
        <w:rPr>
          <w:rFonts w:ascii="Calibri" w:hAnsi="Calibri" w:cs="Calibri"/>
          <w:color w:val="000000" w:themeColor="text1"/>
          <w:sz w:val="20"/>
        </w:rPr>
        <w:t xml:space="preserve"> Wong C</w:t>
      </w:r>
      <w:r w:rsidR="004F1904" w:rsidRPr="008B01F0">
        <w:rPr>
          <w:rFonts w:ascii="Calibri" w:hAnsi="Calibri" w:cs="Calibri"/>
          <w:color w:val="000000" w:themeColor="text1"/>
          <w:sz w:val="20"/>
        </w:rPr>
        <w:t>,</w:t>
      </w:r>
      <w:r w:rsidRPr="008B01F0">
        <w:rPr>
          <w:rFonts w:ascii="Calibri" w:hAnsi="Calibri" w:cs="Calibri"/>
          <w:color w:val="000000" w:themeColor="text1"/>
          <w:sz w:val="20"/>
        </w:rPr>
        <w:t xml:space="preserve"> Quinn B </w:t>
      </w:r>
      <w:r w:rsidR="004F1904" w:rsidRPr="008B01F0">
        <w:rPr>
          <w:rFonts w:ascii="Calibri" w:hAnsi="Calibri" w:cs="Calibri"/>
          <w:color w:val="000000" w:themeColor="text1"/>
          <w:sz w:val="20"/>
        </w:rPr>
        <w:t xml:space="preserve">and </w:t>
      </w:r>
      <w:r w:rsidRPr="008B01F0">
        <w:rPr>
          <w:rFonts w:ascii="Calibri" w:hAnsi="Calibri" w:cs="Calibri"/>
          <w:color w:val="000000" w:themeColor="text1"/>
          <w:sz w:val="20"/>
        </w:rPr>
        <w:t xml:space="preserve">Mundy L (2023) </w:t>
      </w:r>
      <w:hyperlink r:id="rId17" w:anchor=":~:text=Key%20Findings&amp;text=Around%2050%25%20of%20recipients%20had,)%20at%20age%2018%2D19." w:history="1">
        <w:r w:rsidR="00EA71FE" w:rsidRPr="008B01F0">
          <w:rPr>
            <w:rFonts w:ascii="Calibri" w:eastAsiaTheme="minorHAnsi" w:hAnsi="Calibri" w:cs="Calibri"/>
            <w:i/>
            <w:iCs/>
            <w:color w:val="000000" w:themeColor="text1"/>
            <w:sz w:val="20"/>
            <w:u w:val="single"/>
            <w:lang w:eastAsia="en-US"/>
          </w:rPr>
          <w:t>Parents</w:t>
        </w:r>
        <w:r w:rsidR="00863C9F">
          <w:rPr>
            <w:rFonts w:ascii="Calibri" w:eastAsiaTheme="minorHAnsi" w:hAnsi="Calibri" w:cs="Calibri"/>
            <w:i/>
            <w:iCs/>
            <w:color w:val="000000" w:themeColor="text1"/>
            <w:sz w:val="20"/>
            <w:u w:val="single"/>
            <w:lang w:eastAsia="en-US"/>
          </w:rPr>
          <w:t>’</w:t>
        </w:r>
        <w:r w:rsidR="00EA71FE" w:rsidRPr="008B01F0">
          <w:rPr>
            <w:rFonts w:ascii="Calibri" w:eastAsiaTheme="minorHAnsi" w:hAnsi="Calibri" w:cs="Calibri"/>
            <w:i/>
            <w:iCs/>
            <w:color w:val="000000" w:themeColor="text1"/>
            <w:sz w:val="20"/>
            <w:u w:val="single"/>
            <w:lang w:eastAsia="en-US"/>
          </w:rPr>
          <w:t xml:space="preserve"> welfare receipt and their children</w:t>
        </w:r>
        <w:r w:rsidR="00863C9F">
          <w:rPr>
            <w:rFonts w:ascii="Calibri" w:eastAsiaTheme="minorHAnsi" w:hAnsi="Calibri" w:cs="Calibri"/>
            <w:i/>
            <w:iCs/>
            <w:color w:val="000000" w:themeColor="text1"/>
            <w:sz w:val="20"/>
            <w:u w:val="single"/>
            <w:lang w:eastAsia="en-US"/>
          </w:rPr>
          <w:t>’</w:t>
        </w:r>
        <w:r w:rsidR="00EA71FE" w:rsidRPr="008B01F0">
          <w:rPr>
            <w:rFonts w:ascii="Calibri" w:eastAsiaTheme="minorHAnsi" w:hAnsi="Calibri" w:cs="Calibri"/>
            <w:i/>
            <w:iCs/>
            <w:color w:val="000000" w:themeColor="text1"/>
            <w:sz w:val="20"/>
            <w:u w:val="single"/>
            <w:lang w:eastAsia="en-US"/>
          </w:rPr>
          <w:t>s employment and education outcomes (Growing Up In Australia</w:t>
        </w:r>
        <w:r w:rsidR="00EA71FE" w:rsidRPr="008B01F0">
          <w:rPr>
            <w:rFonts w:ascii="Calibri" w:eastAsiaTheme="minorHAnsi" w:hAnsi="Calibri" w:cs="Calibri"/>
            <w:color w:val="000000" w:themeColor="text1"/>
            <w:sz w:val="20"/>
            <w:u w:val="single"/>
            <w:lang w:eastAsia="en-US"/>
          </w:rPr>
          <w:t xml:space="preserve"> Snapshot Series </w:t>
        </w:r>
        <w:r w:rsidR="00863C9F">
          <w:rPr>
            <w:rFonts w:ascii="Calibri" w:eastAsiaTheme="minorHAnsi" w:hAnsi="Calibri" w:cs="Calibri"/>
            <w:color w:val="000000" w:themeColor="text1"/>
            <w:sz w:val="20"/>
            <w:u w:val="single"/>
            <w:lang w:eastAsia="en-US"/>
          </w:rPr>
          <w:t>–</w:t>
        </w:r>
        <w:r w:rsidR="00EA71FE" w:rsidRPr="008B01F0">
          <w:rPr>
            <w:rFonts w:ascii="Calibri" w:eastAsiaTheme="minorHAnsi" w:hAnsi="Calibri" w:cs="Calibri"/>
            <w:color w:val="000000" w:themeColor="text1"/>
            <w:sz w:val="20"/>
            <w:u w:val="single"/>
            <w:lang w:eastAsia="en-US"/>
          </w:rPr>
          <w:t xml:space="preserve"> Issue 10)</w:t>
        </w:r>
      </w:hyperlink>
      <w:r w:rsidR="00EA71FE" w:rsidRPr="008B01F0">
        <w:rPr>
          <w:rFonts w:ascii="Calibri" w:hAnsi="Calibri" w:cs="Calibri"/>
          <w:color w:val="000000" w:themeColor="text1"/>
          <w:sz w:val="20"/>
        </w:rPr>
        <w:t>,</w:t>
      </w:r>
      <w:r w:rsidRPr="008B01F0">
        <w:rPr>
          <w:rFonts w:ascii="Calibri" w:hAnsi="Calibri" w:cs="Calibri"/>
          <w:color w:val="000000" w:themeColor="text1"/>
          <w:sz w:val="20"/>
        </w:rPr>
        <w:t xml:space="preserve"> Australian Institute of </w:t>
      </w:r>
      <w:r w:rsidR="000014DA" w:rsidRPr="008B01F0">
        <w:rPr>
          <w:rFonts w:ascii="Calibri" w:hAnsi="Calibri" w:cs="Calibri"/>
          <w:color w:val="000000" w:themeColor="text1"/>
          <w:sz w:val="20"/>
        </w:rPr>
        <w:t>F</w:t>
      </w:r>
      <w:r w:rsidRPr="008B01F0">
        <w:rPr>
          <w:rFonts w:ascii="Calibri" w:hAnsi="Calibri" w:cs="Calibri"/>
          <w:color w:val="000000" w:themeColor="text1"/>
          <w:sz w:val="20"/>
        </w:rPr>
        <w:t>amily Studies.</w:t>
      </w:r>
    </w:p>
  </w:footnote>
  <w:footnote w:id="20">
    <w:p w14:paraId="73746F9B" w14:textId="0E33F836" w:rsidR="001D3479" w:rsidRPr="008B01F0" w:rsidRDefault="001D3479" w:rsidP="001D3479">
      <w:pPr>
        <w:pStyle w:val="FootnoteText"/>
        <w:rPr>
          <w:rFonts w:ascii="Calibri" w:hAnsi="Calibri" w:cs="Calibri"/>
          <w:color w:val="000000" w:themeColor="text1"/>
          <w:sz w:val="20"/>
        </w:rPr>
      </w:pPr>
      <w:r w:rsidRPr="008B01F0">
        <w:rPr>
          <w:rStyle w:val="FootnoteReference"/>
          <w:rFonts w:ascii="Calibri" w:eastAsiaTheme="majorEastAsia" w:hAnsi="Calibri" w:cs="Calibri"/>
          <w:color w:val="000000" w:themeColor="text1"/>
          <w:sz w:val="20"/>
        </w:rPr>
        <w:footnoteRef/>
      </w:r>
      <w:r w:rsidRPr="008B01F0">
        <w:rPr>
          <w:rFonts w:ascii="Calibri" w:hAnsi="Calibri" w:cs="Calibri"/>
          <w:color w:val="000000" w:themeColor="text1"/>
          <w:sz w:val="20"/>
        </w:rPr>
        <w:t xml:space="preserve"> </w:t>
      </w:r>
      <w:r w:rsidRPr="008B01F0">
        <w:rPr>
          <w:rStyle w:val="normaltextrun"/>
          <w:rFonts w:ascii="Calibri" w:eastAsiaTheme="majorEastAsia" w:hAnsi="Calibri" w:cs="Calibri"/>
          <w:color w:val="000000" w:themeColor="text1"/>
          <w:sz w:val="20"/>
          <w:shd w:val="clear" w:color="auto" w:fill="FFFFFF"/>
        </w:rPr>
        <w:t> Life Course Centre (2018) </w:t>
      </w:r>
      <w:hyperlink r:id="rId18" w:tgtFrame="_blank" w:history="1">
        <w:r w:rsidRPr="008B01F0">
          <w:rPr>
            <w:rStyle w:val="normaltextrun"/>
            <w:rFonts w:ascii="Calibri" w:eastAsiaTheme="majorEastAsia" w:hAnsi="Calibri" w:cs="Calibri"/>
            <w:i/>
            <w:iCs/>
            <w:color w:val="000000" w:themeColor="text1"/>
            <w:sz w:val="20"/>
            <w:u w:val="single"/>
            <w:shd w:val="clear" w:color="auto" w:fill="FFFFFF"/>
          </w:rPr>
          <w:t>Submission to House Select Committee on Intergenerational Welfare Dependence</w:t>
        </w:r>
      </w:hyperlink>
      <w:r w:rsidRPr="008B01F0">
        <w:rPr>
          <w:rStyle w:val="normaltextrun"/>
          <w:rFonts w:ascii="Calibri" w:eastAsiaTheme="majorEastAsia" w:hAnsi="Calibri" w:cs="Calibri"/>
          <w:color w:val="000000" w:themeColor="text1"/>
          <w:sz w:val="20"/>
          <w:shd w:val="clear" w:color="auto" w:fill="FFFFFF"/>
        </w:rPr>
        <w:t>, Submission No.11</w:t>
      </w:r>
      <w:r w:rsidR="00161CE8" w:rsidRPr="008B01F0">
        <w:rPr>
          <w:rStyle w:val="normaltextrun"/>
          <w:rFonts w:ascii="Calibri" w:eastAsiaTheme="majorEastAsia" w:hAnsi="Calibri" w:cs="Calibri"/>
          <w:color w:val="000000" w:themeColor="text1"/>
          <w:sz w:val="20"/>
          <w:shd w:val="clear" w:color="auto" w:fill="FFFFFF"/>
        </w:rPr>
        <w:t xml:space="preserve">, </w:t>
      </w:r>
      <w:r w:rsidR="00161CE8" w:rsidRPr="008B01F0">
        <w:rPr>
          <w:rFonts w:asciiTheme="minorHAnsi" w:eastAsiaTheme="minorHAnsi" w:hAnsiTheme="minorHAnsi" w:cstheme="minorBidi"/>
          <w:color w:val="000000" w:themeColor="text1"/>
          <w:sz w:val="20"/>
          <w:lang w:eastAsia="en-US"/>
        </w:rPr>
        <w:t>Parliament of Australia (aph.gov.au</w:t>
      </w:r>
      <w:r w:rsidR="00FA50E7" w:rsidRPr="008B01F0">
        <w:rPr>
          <w:rFonts w:asciiTheme="minorHAnsi" w:eastAsiaTheme="minorHAnsi" w:hAnsiTheme="minorHAnsi" w:cstheme="minorBidi"/>
          <w:color w:val="000000" w:themeColor="text1"/>
          <w:sz w:val="20"/>
          <w:lang w:eastAsia="en-US"/>
        </w:rPr>
        <w:t>)</w:t>
      </w:r>
    </w:p>
  </w:footnote>
  <w:footnote w:id="21">
    <w:p w14:paraId="71CDD53D" w14:textId="63695624" w:rsidR="00AB7931" w:rsidRPr="008B01F0" w:rsidRDefault="00AB7931">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normaltextrun"/>
          <w:rFonts w:asciiTheme="minorHAnsi" w:eastAsiaTheme="minorEastAsia" w:hAnsiTheme="minorHAnsi" w:cstheme="minorHAnsi"/>
          <w:color w:val="000000" w:themeColor="text1"/>
          <w:sz w:val="20"/>
        </w:rPr>
        <w:t>House of Representatives Select Committee on Intergenerational Welfare Dependence</w:t>
      </w:r>
      <w:r w:rsidR="00FD6CF7" w:rsidRPr="008B01F0">
        <w:rPr>
          <w:rStyle w:val="normaltextrun"/>
          <w:rFonts w:asciiTheme="minorHAnsi" w:eastAsiaTheme="minorEastAsia" w:hAnsiTheme="minorHAnsi" w:cstheme="minorHAnsi"/>
          <w:color w:val="000000" w:themeColor="text1"/>
          <w:sz w:val="20"/>
        </w:rPr>
        <w:t xml:space="preserve"> (</w:t>
      </w:r>
      <w:r w:rsidR="00BE622D" w:rsidRPr="008B01F0">
        <w:rPr>
          <w:rStyle w:val="normaltextrun"/>
          <w:rFonts w:asciiTheme="minorHAnsi" w:eastAsiaTheme="minorEastAsia" w:hAnsiTheme="minorHAnsi" w:cstheme="minorHAnsi"/>
          <w:color w:val="000000" w:themeColor="text1"/>
          <w:sz w:val="20"/>
        </w:rPr>
        <w:t>2019)</w:t>
      </w:r>
      <w:r w:rsidR="00A5059D">
        <w:rPr>
          <w:rStyle w:val="normaltextrun"/>
          <w:rFonts w:asciiTheme="minorHAnsi" w:eastAsiaTheme="minorEastAsia" w:hAnsiTheme="minorHAnsi" w:cstheme="minorHAnsi"/>
          <w:color w:val="000000" w:themeColor="text1"/>
          <w:sz w:val="20"/>
        </w:rPr>
        <w:t>,</w:t>
      </w:r>
      <w:r w:rsidR="00BE622D" w:rsidRPr="008B01F0">
        <w:rPr>
          <w:rStyle w:val="normaltextrun"/>
          <w:rFonts w:asciiTheme="minorHAnsi" w:eastAsiaTheme="minorEastAsia" w:hAnsiTheme="minorHAnsi" w:cstheme="minorHAnsi"/>
          <w:color w:val="000000" w:themeColor="text1"/>
          <w:sz w:val="20"/>
        </w:rPr>
        <w:t xml:space="preserve"> </w:t>
      </w:r>
      <w:hyperlink r:id="rId19" w:history="1">
        <w:r w:rsidR="00647F5F" w:rsidRPr="008B01F0">
          <w:rPr>
            <w:rFonts w:asciiTheme="minorHAnsi" w:eastAsiaTheme="minorHAnsi" w:hAnsiTheme="minorHAnsi" w:cstheme="minorBidi"/>
            <w:i/>
            <w:iCs/>
            <w:color w:val="000000" w:themeColor="text1"/>
            <w:sz w:val="20"/>
            <w:u w:val="single"/>
            <w:lang w:eastAsia="en-US"/>
          </w:rPr>
          <w:t>Living on the Edge</w:t>
        </w:r>
      </w:hyperlink>
      <w:r w:rsidR="00887712" w:rsidRPr="008B01F0">
        <w:rPr>
          <w:rFonts w:asciiTheme="minorHAnsi" w:eastAsiaTheme="minorHAnsi" w:hAnsiTheme="minorHAnsi" w:cstheme="minorBidi"/>
          <w:color w:val="000000" w:themeColor="text1"/>
          <w:sz w:val="20"/>
          <w:lang w:eastAsia="en-US"/>
        </w:rPr>
        <w:t>, Parliament of Australia</w:t>
      </w:r>
    </w:p>
  </w:footnote>
  <w:footnote w:id="22">
    <w:p w14:paraId="54EA7D2D" w14:textId="2849204C" w:rsidR="001D3479" w:rsidRPr="008B01F0" w:rsidRDefault="001D3479" w:rsidP="001D3479">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normaltextrun"/>
          <w:rFonts w:asciiTheme="minorHAnsi" w:eastAsiaTheme="minorEastAsia" w:hAnsiTheme="minorHAnsi" w:cstheme="minorHAnsi"/>
          <w:color w:val="000000" w:themeColor="text1"/>
          <w:sz w:val="20"/>
          <w:shd w:val="clear" w:color="auto" w:fill="FFFFFF"/>
        </w:rPr>
        <w:t>Life Course Centre (2018), </w:t>
      </w:r>
      <w:hyperlink r:id="rId20" w:tgtFrame="_blank" w:history="1">
        <w:r w:rsidRPr="008B01F0">
          <w:rPr>
            <w:rStyle w:val="normaltextrun"/>
            <w:rFonts w:asciiTheme="minorHAnsi" w:eastAsiaTheme="minorEastAsia" w:hAnsiTheme="minorHAnsi" w:cstheme="minorHAnsi"/>
            <w:color w:val="000000" w:themeColor="text1"/>
            <w:sz w:val="20"/>
            <w:u w:val="single"/>
            <w:shd w:val="clear" w:color="auto" w:fill="FFFFFF"/>
          </w:rPr>
          <w:t>S</w:t>
        </w:r>
        <w:r w:rsidRPr="008B01F0">
          <w:rPr>
            <w:rStyle w:val="normaltextrun"/>
            <w:rFonts w:asciiTheme="minorHAnsi" w:eastAsiaTheme="minorEastAsia" w:hAnsiTheme="minorHAnsi" w:cstheme="minorHAnsi"/>
            <w:i/>
            <w:iCs/>
            <w:color w:val="000000" w:themeColor="text1"/>
            <w:sz w:val="20"/>
            <w:u w:val="single"/>
            <w:shd w:val="clear" w:color="auto" w:fill="FFFFFF"/>
          </w:rPr>
          <w:t>ubmission to House Select Committee on Intergenerational Welfare Dependence</w:t>
        </w:r>
      </w:hyperlink>
      <w:r w:rsidRPr="008B01F0">
        <w:rPr>
          <w:rStyle w:val="eop"/>
          <w:rFonts w:asciiTheme="minorHAnsi" w:eastAsiaTheme="majorEastAsia" w:hAnsiTheme="minorHAnsi" w:cstheme="minorHAnsi"/>
          <w:color w:val="000000" w:themeColor="text1"/>
          <w:sz w:val="20"/>
          <w:shd w:val="clear" w:color="auto" w:fill="FFFFFF"/>
        </w:rPr>
        <w:t> </w:t>
      </w:r>
    </w:p>
  </w:footnote>
  <w:footnote w:id="23">
    <w:p w14:paraId="753815BA" w14:textId="756C7887" w:rsidR="00585326" w:rsidRPr="008B01F0" w:rsidRDefault="00585326" w:rsidP="00585326">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Department of Employment and Workplace Relations (2022), </w:t>
      </w:r>
      <w:hyperlink r:id="rId21" w:history="1">
        <w:r w:rsidR="0035232A" w:rsidRPr="0055376D">
          <w:rPr>
            <w:rStyle w:val="Hyperlink"/>
            <w:rFonts w:asciiTheme="minorHAnsi" w:eastAsiaTheme="minorHAnsi" w:hAnsiTheme="minorHAnsi" w:cstheme="minorBidi"/>
            <w:i/>
            <w:iCs/>
            <w:color w:val="000000" w:themeColor="text1"/>
            <w:sz w:val="20"/>
            <w:lang w:eastAsia="en-US"/>
          </w:rPr>
          <w:t>Submission from the Department of Employment and Workplace Relations to the House of Representatives Select Committee on Workforce Australia Employment Services: ParentsNext</w:t>
        </w:r>
      </w:hyperlink>
      <w:r w:rsidR="003E26F4" w:rsidRPr="008B01F0">
        <w:rPr>
          <w:rFonts w:asciiTheme="minorHAnsi" w:eastAsiaTheme="minorHAnsi" w:hAnsiTheme="minorHAnsi" w:cstheme="minorBidi"/>
          <w:color w:val="000000" w:themeColor="text1"/>
          <w:sz w:val="20"/>
          <w:lang w:eastAsia="en-US"/>
        </w:rPr>
        <w:t xml:space="preserve">, </w:t>
      </w:r>
      <w:r w:rsidR="00161CE8" w:rsidRPr="008B01F0">
        <w:rPr>
          <w:rFonts w:asciiTheme="minorHAnsi" w:eastAsiaTheme="minorHAnsi" w:hAnsiTheme="minorHAnsi" w:cstheme="minorBidi"/>
          <w:color w:val="000000" w:themeColor="text1"/>
          <w:sz w:val="20"/>
          <w:lang w:eastAsia="en-US"/>
        </w:rPr>
        <w:t xml:space="preserve">Submission No. 77, </w:t>
      </w:r>
      <w:r w:rsidR="0035232A" w:rsidRPr="008B01F0">
        <w:rPr>
          <w:rFonts w:asciiTheme="minorHAnsi" w:eastAsiaTheme="minorHAnsi" w:hAnsiTheme="minorHAnsi" w:cstheme="minorBidi"/>
          <w:color w:val="000000" w:themeColor="text1"/>
          <w:sz w:val="20"/>
          <w:lang w:eastAsia="en-US"/>
        </w:rPr>
        <w:t>Parliament of Australia (aph.gov.au)</w:t>
      </w:r>
    </w:p>
  </w:footnote>
  <w:footnote w:id="24">
    <w:p w14:paraId="344CD444" w14:textId="75CBD4FD" w:rsidR="00FD5589" w:rsidRPr="008B01F0" w:rsidRDefault="00FD5589">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009D66A5" w:rsidRPr="008B01F0">
        <w:rPr>
          <w:rFonts w:asciiTheme="minorHAnsi" w:hAnsiTheme="minorHAnsi" w:cstheme="minorHAnsi"/>
          <w:color w:val="000000" w:themeColor="text1"/>
          <w:sz w:val="20"/>
        </w:rPr>
        <w:t>Treasury (2023)</w:t>
      </w:r>
      <w:r w:rsidR="00427E08">
        <w:rPr>
          <w:rFonts w:asciiTheme="minorHAnsi" w:hAnsiTheme="minorHAnsi" w:cstheme="minorHAnsi"/>
          <w:color w:val="000000" w:themeColor="text1"/>
          <w:sz w:val="20"/>
        </w:rPr>
        <w:t>,</w:t>
      </w:r>
      <w:r w:rsidR="009D66A5" w:rsidRPr="008B01F0">
        <w:rPr>
          <w:rFonts w:asciiTheme="minorHAnsi" w:hAnsiTheme="minorHAnsi" w:cstheme="minorHAnsi"/>
          <w:color w:val="000000" w:themeColor="text1"/>
          <w:sz w:val="20"/>
        </w:rPr>
        <w:t xml:space="preserve"> </w:t>
      </w:r>
      <w:hyperlink r:id="rId22" w:history="1">
        <w:r w:rsidR="009D66A5" w:rsidRPr="008B01F0">
          <w:rPr>
            <w:rFonts w:asciiTheme="minorHAnsi" w:eastAsiaTheme="minorHAnsi" w:hAnsiTheme="minorHAnsi" w:cstheme="minorBidi"/>
            <w:i/>
            <w:iCs/>
            <w:color w:val="000000" w:themeColor="text1"/>
            <w:sz w:val="20"/>
            <w:u w:val="single"/>
            <w:lang w:eastAsia="en-US"/>
          </w:rPr>
          <w:t>Working Future: The Australian Government’s White Paper on Jobs and Opportunities</w:t>
        </w:r>
      </w:hyperlink>
      <w:r w:rsidR="009D66A5" w:rsidRPr="008B01F0">
        <w:rPr>
          <w:rFonts w:asciiTheme="minorHAnsi" w:eastAsiaTheme="minorHAnsi" w:hAnsiTheme="minorHAnsi" w:cstheme="minorBidi"/>
          <w:i/>
          <w:iCs/>
          <w:color w:val="000000" w:themeColor="text1"/>
          <w:sz w:val="20"/>
          <w:lang w:eastAsia="en-US"/>
        </w:rPr>
        <w:t xml:space="preserve">, </w:t>
      </w:r>
      <w:r w:rsidR="00A36D38" w:rsidRPr="008B01F0">
        <w:rPr>
          <w:rFonts w:asciiTheme="minorHAnsi" w:eastAsiaTheme="minorHAnsi" w:hAnsiTheme="minorHAnsi" w:cstheme="minorBidi"/>
          <w:color w:val="000000" w:themeColor="text1"/>
          <w:sz w:val="20"/>
          <w:lang w:eastAsia="en-US"/>
        </w:rPr>
        <w:t>Treasury, Australian Government</w:t>
      </w:r>
    </w:p>
  </w:footnote>
  <w:footnote w:id="25">
    <w:p w14:paraId="0318A723" w14:textId="73762F51" w:rsidR="00BD049B" w:rsidRPr="008B01F0" w:rsidRDefault="00BD049B" w:rsidP="00BD049B">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008635BE" w:rsidRPr="008B01F0">
        <w:rPr>
          <w:rFonts w:asciiTheme="minorHAnsi" w:hAnsiTheme="minorHAnsi" w:cstheme="minorHAnsi"/>
          <w:color w:val="000000" w:themeColor="text1"/>
          <w:sz w:val="20"/>
        </w:rPr>
        <w:t xml:space="preserve">House of Representatives Select Committee on Workforce Australia Employment Services (2023), </w:t>
      </w:r>
      <w:hyperlink r:id="rId23" w:history="1">
        <w:r w:rsidR="008635BE" w:rsidRPr="008B01F0">
          <w:rPr>
            <w:rFonts w:asciiTheme="minorHAnsi" w:eastAsiaTheme="minorHAnsi" w:hAnsiTheme="minorHAnsi" w:cstheme="minorBidi"/>
            <w:i/>
            <w:iCs/>
            <w:color w:val="000000" w:themeColor="text1"/>
            <w:sz w:val="20"/>
            <w:u w:val="single"/>
            <w:lang w:eastAsia="en-US"/>
          </w:rPr>
          <w:t>Your Future Planning Interim Report on ParentsNext</w:t>
        </w:r>
      </w:hyperlink>
      <w:r w:rsidR="008635BE" w:rsidRPr="008B01F0">
        <w:rPr>
          <w:rFonts w:asciiTheme="minorHAnsi" w:eastAsiaTheme="minorHAnsi" w:hAnsiTheme="minorHAnsi" w:cstheme="minorBidi"/>
          <w:color w:val="000000" w:themeColor="text1"/>
          <w:sz w:val="20"/>
          <w:lang w:eastAsia="en-US"/>
        </w:rPr>
        <w:t>,</w:t>
      </w:r>
    </w:p>
  </w:footnote>
  <w:footnote w:id="26">
    <w:p w14:paraId="07095ECD" w14:textId="0AD801E3" w:rsidR="00BA2675" w:rsidRPr="008B01F0" w:rsidRDefault="00BA2675" w:rsidP="00BA2675">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normaltextrun"/>
          <w:rFonts w:asciiTheme="minorHAnsi" w:eastAsiaTheme="majorEastAsia" w:hAnsiTheme="minorHAnsi" w:cstheme="minorHAnsi"/>
          <w:color w:val="000000" w:themeColor="text1"/>
          <w:sz w:val="20"/>
          <w:shd w:val="clear" w:color="auto" w:fill="FFFFFF"/>
        </w:rPr>
        <w:t>Department of Employment (2017)</w:t>
      </w:r>
      <w:r w:rsidR="00427E08">
        <w:rPr>
          <w:rStyle w:val="normaltextrun"/>
          <w:rFonts w:asciiTheme="minorHAnsi" w:eastAsiaTheme="majorEastAsia" w:hAnsiTheme="minorHAnsi" w:cstheme="minorHAnsi"/>
          <w:color w:val="000000" w:themeColor="text1"/>
          <w:sz w:val="20"/>
          <w:shd w:val="clear" w:color="auto" w:fill="FFFFFF"/>
        </w:rPr>
        <w:t xml:space="preserve">, </w:t>
      </w:r>
      <w:hyperlink r:id="rId24" w:tgtFrame="_blank" w:history="1">
        <w:r w:rsidRPr="008B01F0">
          <w:rPr>
            <w:rStyle w:val="normaltextrun"/>
            <w:rFonts w:asciiTheme="minorHAnsi" w:eastAsiaTheme="majorEastAsia" w:hAnsiTheme="minorHAnsi" w:cstheme="minorHAnsi"/>
            <w:i/>
            <w:iCs/>
            <w:color w:val="000000" w:themeColor="text1"/>
            <w:sz w:val="20"/>
            <w:u w:val="single"/>
            <w:shd w:val="clear" w:color="auto" w:fill="FFFFFF"/>
          </w:rPr>
          <w:t>Helping Young Parents and Supporting Jobless Families Research report</w:t>
        </w:r>
      </w:hyperlink>
      <w:r w:rsidRPr="008B01F0">
        <w:rPr>
          <w:rStyle w:val="normaltextrun"/>
          <w:rFonts w:asciiTheme="minorHAnsi" w:eastAsiaTheme="majorEastAsia" w:hAnsiTheme="minorHAnsi" w:cstheme="minorHAnsi"/>
          <w:i/>
          <w:iCs/>
          <w:color w:val="000000" w:themeColor="text1"/>
          <w:sz w:val="20"/>
          <w:shd w:val="clear" w:color="auto" w:fill="FFFFFF"/>
        </w:rPr>
        <w:t>,</w:t>
      </w:r>
      <w:r w:rsidR="00234121">
        <w:rPr>
          <w:rStyle w:val="normaltextrun"/>
          <w:rFonts w:asciiTheme="minorHAnsi" w:eastAsiaTheme="majorEastAsia" w:hAnsiTheme="minorHAnsi" w:cstheme="minorHAnsi"/>
          <w:i/>
          <w:iCs/>
          <w:color w:val="000000" w:themeColor="text1"/>
          <w:sz w:val="20"/>
          <w:shd w:val="clear" w:color="auto" w:fill="FFFFFF"/>
        </w:rPr>
        <w:t xml:space="preserve"> </w:t>
      </w:r>
      <w:r w:rsidR="00234121" w:rsidRPr="0055376D">
        <w:rPr>
          <w:rStyle w:val="normaltextrun"/>
          <w:rFonts w:asciiTheme="minorHAnsi" w:eastAsiaTheme="majorEastAsia" w:hAnsiTheme="minorHAnsi" w:cstheme="minorHAnsi"/>
          <w:color w:val="000000" w:themeColor="text1"/>
          <w:sz w:val="20"/>
          <w:shd w:val="clear" w:color="auto" w:fill="FFFFFF"/>
        </w:rPr>
        <w:t>Department of Employment,</w:t>
      </w:r>
      <w:r w:rsidR="00234121">
        <w:rPr>
          <w:rStyle w:val="normaltextrun"/>
          <w:rFonts w:asciiTheme="minorHAnsi" w:eastAsiaTheme="majorEastAsia" w:hAnsiTheme="minorHAnsi" w:cstheme="minorHAnsi"/>
          <w:i/>
          <w:iCs/>
          <w:color w:val="000000" w:themeColor="text1"/>
          <w:sz w:val="20"/>
          <w:shd w:val="clear" w:color="auto" w:fill="FFFFFF"/>
        </w:rPr>
        <w:t xml:space="preserve"> </w:t>
      </w:r>
      <w:r w:rsidRPr="008B01F0">
        <w:rPr>
          <w:rStyle w:val="normaltextrun"/>
          <w:rFonts w:asciiTheme="minorHAnsi" w:eastAsiaTheme="majorEastAsia" w:hAnsiTheme="minorHAnsi" w:cstheme="minorHAnsi"/>
          <w:color w:val="000000" w:themeColor="text1"/>
          <w:sz w:val="20"/>
          <w:shd w:val="clear" w:color="auto" w:fill="FFFFFF"/>
        </w:rPr>
        <w:t>Australian Government</w:t>
      </w:r>
      <w:r w:rsidR="00686500">
        <w:rPr>
          <w:rStyle w:val="normaltextrun"/>
          <w:rFonts w:asciiTheme="minorHAnsi" w:eastAsiaTheme="majorEastAsia" w:hAnsiTheme="minorHAnsi" w:cstheme="minorHAnsi"/>
          <w:color w:val="000000" w:themeColor="text1"/>
          <w:sz w:val="20"/>
          <w:shd w:val="clear" w:color="auto" w:fill="FFFFFF"/>
        </w:rPr>
        <w:t xml:space="preserve">; </w:t>
      </w:r>
      <w:r w:rsidR="00686500" w:rsidRPr="008B01F0">
        <w:rPr>
          <w:rStyle w:val="normaltextrun"/>
          <w:rFonts w:asciiTheme="minorHAnsi" w:eastAsiaTheme="majorEastAsia" w:hAnsiTheme="minorHAnsi" w:cstheme="minorHAnsi"/>
          <w:color w:val="000000" w:themeColor="text1"/>
          <w:sz w:val="20"/>
          <w:shd w:val="clear" w:color="auto" w:fill="FFFFFF"/>
        </w:rPr>
        <w:t>Department of Jobs and Small Business (2018),</w:t>
      </w:r>
      <w:r w:rsidR="005E2076">
        <w:rPr>
          <w:rStyle w:val="normaltextrun"/>
          <w:rFonts w:asciiTheme="minorHAnsi" w:eastAsiaTheme="majorEastAsia" w:hAnsiTheme="minorHAnsi" w:cstheme="minorHAnsi"/>
          <w:color w:val="000000" w:themeColor="text1"/>
          <w:sz w:val="20"/>
          <w:shd w:val="clear" w:color="auto" w:fill="FFFFFF"/>
        </w:rPr>
        <w:t xml:space="preserve"> </w:t>
      </w:r>
      <w:hyperlink r:id="rId25" w:tgtFrame="_blank" w:history="1">
        <w:r w:rsidR="00686500" w:rsidRPr="008B01F0">
          <w:rPr>
            <w:rStyle w:val="normaltextrun"/>
            <w:rFonts w:asciiTheme="minorHAnsi" w:eastAsiaTheme="majorEastAsia" w:hAnsiTheme="minorHAnsi" w:cstheme="minorHAnsi"/>
            <w:i/>
            <w:iCs/>
            <w:color w:val="000000" w:themeColor="text1"/>
            <w:sz w:val="20"/>
            <w:u w:val="single"/>
            <w:shd w:val="clear" w:color="auto" w:fill="FFFFFF"/>
          </w:rPr>
          <w:t>ParentsNext Evaluation Report</w:t>
        </w:r>
      </w:hyperlink>
      <w:r w:rsidR="00686500" w:rsidRPr="008B01F0">
        <w:rPr>
          <w:rStyle w:val="normaltextrun"/>
          <w:rFonts w:asciiTheme="minorHAnsi" w:eastAsiaTheme="majorEastAsia" w:hAnsiTheme="minorHAnsi" w:cstheme="minorHAnsi"/>
          <w:color w:val="000000" w:themeColor="text1"/>
          <w:sz w:val="20"/>
          <w:shd w:val="clear" w:color="auto" w:fill="FFFFFF"/>
        </w:rPr>
        <w:t>, Department of Jobs and Small Business, Australian Government</w:t>
      </w:r>
      <w:r w:rsidR="00686500">
        <w:rPr>
          <w:rStyle w:val="normaltextrun"/>
          <w:rFonts w:asciiTheme="minorHAnsi" w:eastAsiaTheme="majorEastAsia" w:hAnsiTheme="minorHAnsi" w:cstheme="minorHAnsi"/>
          <w:color w:val="000000" w:themeColor="text1"/>
          <w:sz w:val="20"/>
          <w:shd w:val="clear" w:color="auto" w:fill="FFFFFF"/>
        </w:rPr>
        <w:t xml:space="preserve">; </w:t>
      </w:r>
      <w:r w:rsidR="00686500" w:rsidRPr="008B01F0">
        <w:rPr>
          <w:rStyle w:val="normaltextrun"/>
          <w:rFonts w:asciiTheme="minorHAnsi" w:eastAsiaTheme="majorEastAsia" w:hAnsiTheme="minorHAnsi" w:cstheme="minorHAnsi"/>
          <w:color w:val="000000" w:themeColor="text1"/>
          <w:sz w:val="20"/>
          <w:shd w:val="clear" w:color="auto" w:fill="FFFFFF"/>
        </w:rPr>
        <w:t>Department of Employment and Workplace Relations (2022),</w:t>
      </w:r>
      <w:r w:rsidR="006E0660">
        <w:rPr>
          <w:rStyle w:val="normaltextrun"/>
          <w:rFonts w:asciiTheme="minorHAnsi" w:eastAsiaTheme="majorEastAsia" w:hAnsiTheme="minorHAnsi" w:cstheme="minorHAnsi"/>
          <w:color w:val="000000" w:themeColor="text1"/>
          <w:sz w:val="20"/>
          <w:shd w:val="clear" w:color="auto" w:fill="FFFFFF"/>
        </w:rPr>
        <w:t xml:space="preserve"> </w:t>
      </w:r>
      <w:hyperlink r:id="rId26" w:tgtFrame="_blank" w:history="1">
        <w:r w:rsidR="00686500" w:rsidRPr="008B01F0">
          <w:rPr>
            <w:rStyle w:val="normaltextrun"/>
            <w:rFonts w:asciiTheme="minorHAnsi" w:eastAsiaTheme="majorEastAsia" w:hAnsiTheme="minorHAnsi" w:cstheme="minorHAnsi"/>
            <w:i/>
            <w:iCs/>
            <w:color w:val="000000" w:themeColor="text1"/>
            <w:sz w:val="20"/>
            <w:u w:val="single"/>
            <w:shd w:val="clear" w:color="auto" w:fill="FFFFFF"/>
          </w:rPr>
          <w:t>ParentsNext National Expansion 2018</w:t>
        </w:r>
        <w:r w:rsidR="005E2076">
          <w:rPr>
            <w:rStyle w:val="normaltextrun"/>
            <w:rFonts w:asciiTheme="minorHAnsi" w:eastAsiaTheme="majorEastAsia" w:hAnsiTheme="minorHAnsi" w:cstheme="minorHAnsi"/>
            <w:i/>
            <w:iCs/>
            <w:color w:val="000000" w:themeColor="text1"/>
            <w:sz w:val="20"/>
            <w:u w:val="single"/>
            <w:shd w:val="clear" w:color="auto" w:fill="FFFFFF"/>
          </w:rPr>
          <w:t>–20</w:t>
        </w:r>
        <w:r w:rsidR="00686500" w:rsidRPr="008B01F0">
          <w:rPr>
            <w:rStyle w:val="normaltextrun"/>
            <w:rFonts w:asciiTheme="minorHAnsi" w:eastAsiaTheme="majorEastAsia" w:hAnsiTheme="minorHAnsi" w:cstheme="minorHAnsi"/>
            <w:i/>
            <w:iCs/>
            <w:color w:val="000000" w:themeColor="text1"/>
            <w:sz w:val="20"/>
            <w:u w:val="single"/>
            <w:shd w:val="clear" w:color="auto" w:fill="FFFFFF"/>
          </w:rPr>
          <w:t>21: Evaluation Report</w:t>
        </w:r>
      </w:hyperlink>
    </w:p>
  </w:footnote>
  <w:footnote w:id="27">
    <w:p w14:paraId="30D553DA" w14:textId="48D6AC38" w:rsidR="00BA2675" w:rsidRPr="008B01F0" w:rsidRDefault="00BA2675" w:rsidP="00BA2675">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Department of Employment and Workplace Relations ParentsNext Administrative Data, 1 July 2018</w:t>
      </w:r>
      <w:r w:rsidR="006E0660">
        <w:rPr>
          <w:rFonts w:asciiTheme="minorHAnsi" w:hAnsiTheme="minorHAnsi" w:cstheme="minorHAnsi"/>
          <w:color w:val="000000" w:themeColor="text1"/>
          <w:sz w:val="20"/>
        </w:rPr>
        <w:t xml:space="preserve">–30 </w:t>
      </w:r>
      <w:r w:rsidRPr="008B01F0">
        <w:rPr>
          <w:rFonts w:asciiTheme="minorHAnsi" w:hAnsiTheme="minorHAnsi" w:cstheme="minorHAnsi"/>
          <w:color w:val="000000" w:themeColor="text1"/>
          <w:sz w:val="20"/>
        </w:rPr>
        <w:t>June 2023</w:t>
      </w:r>
    </w:p>
  </w:footnote>
  <w:footnote w:id="28">
    <w:p w14:paraId="1BF74D84" w14:textId="37575866" w:rsidR="00726CDD" w:rsidRDefault="004A2DB4" w:rsidP="00EE7F2A">
      <w:pPr>
        <w:pStyle w:val="FootnoteText"/>
        <w:rPr>
          <w:rFonts w:asciiTheme="minorHAnsi" w:hAnsiTheme="minorHAnsi" w:cstheme="minorHAnsi"/>
          <w:sz w:val="20"/>
        </w:rPr>
      </w:pPr>
      <w:r w:rsidRPr="008B2208">
        <w:rPr>
          <w:rStyle w:val="FootnoteReference"/>
          <w:rFonts w:asciiTheme="minorHAnsi" w:hAnsiTheme="minorHAnsi" w:cstheme="minorHAnsi"/>
          <w:sz w:val="20"/>
        </w:rPr>
        <w:footnoteRef/>
      </w:r>
      <w:r w:rsidRPr="008B2208">
        <w:rPr>
          <w:rFonts w:asciiTheme="minorHAnsi" w:hAnsiTheme="minorHAnsi" w:cstheme="minorHAnsi"/>
          <w:sz w:val="20"/>
        </w:rPr>
        <w:t xml:space="preserve"> </w:t>
      </w:r>
      <w:r w:rsidR="00AF19C1" w:rsidRPr="00AF19C1">
        <w:rPr>
          <w:rFonts w:asciiTheme="minorHAnsi" w:hAnsiTheme="minorHAnsi" w:cstheme="minorHAnsi"/>
          <w:sz w:val="20"/>
        </w:rPr>
        <w:t xml:space="preserve">Carer Payment is an income support payment for people </w:t>
      </w:r>
      <w:r w:rsidR="00544381">
        <w:rPr>
          <w:rFonts w:asciiTheme="minorHAnsi" w:hAnsiTheme="minorHAnsi" w:cstheme="minorHAnsi"/>
          <w:sz w:val="20"/>
        </w:rPr>
        <w:t>w</w:t>
      </w:r>
      <w:r w:rsidR="00544381">
        <w:rPr>
          <w:rFonts w:ascii="Open Sans" w:hAnsi="Open Sans" w:cs="Open Sans"/>
          <w:color w:val="313131"/>
        </w:rPr>
        <w:t>ho are unable to support themselves through substantial paid employment due to the demands of their caring role</w:t>
      </w:r>
      <w:r w:rsidR="00F304F2">
        <w:rPr>
          <w:rFonts w:ascii="Open Sans" w:hAnsi="Open Sans" w:cs="Open Sans"/>
          <w:color w:val="313131"/>
        </w:rPr>
        <w:t xml:space="preserve">. It may be paid where a carer provides </w:t>
      </w:r>
      <w:r w:rsidR="00033AF4">
        <w:rPr>
          <w:rFonts w:ascii="Open Sans" w:hAnsi="Open Sans" w:cs="Open Sans"/>
          <w:color w:val="313131"/>
        </w:rPr>
        <w:t>c</w:t>
      </w:r>
      <w:r w:rsidR="00AF19C1" w:rsidRPr="00AF19C1">
        <w:rPr>
          <w:rFonts w:asciiTheme="minorHAnsi" w:hAnsiTheme="minorHAnsi" w:cstheme="minorHAnsi"/>
          <w:sz w:val="20"/>
        </w:rPr>
        <w:t>onstant care for a person with a disability or severe medical condition</w:t>
      </w:r>
      <w:r w:rsidR="00033AF4">
        <w:rPr>
          <w:rFonts w:asciiTheme="minorHAnsi" w:hAnsiTheme="minorHAnsi" w:cstheme="minorHAnsi"/>
          <w:sz w:val="20"/>
        </w:rPr>
        <w:t>.</w:t>
      </w:r>
    </w:p>
    <w:p w14:paraId="44BEE703" w14:textId="1DD23450" w:rsidR="00AF19C1" w:rsidRPr="004C3291" w:rsidRDefault="1A016B37" w:rsidP="1A016B37">
      <w:pPr>
        <w:pStyle w:val="FootnoteText"/>
        <w:tabs>
          <w:tab w:val="clear" w:pos="284"/>
          <w:tab w:val="left" w:pos="142"/>
        </w:tabs>
        <w:rPr>
          <w:rFonts w:asciiTheme="minorHAnsi" w:hAnsiTheme="minorHAnsi" w:cstheme="minorBidi"/>
          <w:sz w:val="20"/>
        </w:rPr>
      </w:pPr>
      <w:r w:rsidRPr="1A016B37">
        <w:rPr>
          <w:rFonts w:asciiTheme="minorHAnsi" w:hAnsiTheme="minorHAnsi" w:cstheme="minorBidi"/>
          <w:sz w:val="20"/>
        </w:rPr>
        <w:t xml:space="preserve">Special Benefit is a discretionary income support payment that provides financial assistance to people who, due to reasons beyond their control, are in financial hardship and unable to earn a sufficient livelihood for themselves and their dependants. To receive Special Benefit, it must be established that the person is not eligible for any other pension or allowance. </w:t>
      </w:r>
    </w:p>
    <w:p w14:paraId="0534E4A8" w14:textId="674259CC" w:rsidR="004A2DB4" w:rsidRPr="008B01F0" w:rsidRDefault="004C63E5" w:rsidP="00F52B82">
      <w:pPr>
        <w:pStyle w:val="FootnoteText"/>
        <w:ind w:left="568"/>
        <w:rPr>
          <w:rFonts w:asciiTheme="minorHAnsi" w:hAnsiTheme="minorHAnsi" w:cstheme="minorHAnsi"/>
          <w:color w:val="000000" w:themeColor="text1"/>
          <w:sz w:val="20"/>
        </w:rPr>
      </w:pPr>
      <w:hyperlink r:id="rId27" w:history="1">
        <w:r w:rsidR="00863C9F">
          <w:rPr>
            <w:rFonts w:asciiTheme="minorHAnsi" w:eastAsiaTheme="minorHAnsi" w:hAnsiTheme="minorHAnsi" w:cstheme="minorBidi"/>
            <w:color w:val="000000" w:themeColor="text1"/>
            <w:sz w:val="20"/>
            <w:u w:val="single"/>
            <w:lang w:eastAsia="en-US"/>
          </w:rPr>
          <w:t>Guides to Social Policy Law| Social Security Guide</w:t>
        </w:r>
      </w:hyperlink>
      <w:r w:rsidR="00863C9F">
        <w:rPr>
          <w:rFonts w:asciiTheme="minorHAnsi" w:eastAsiaTheme="minorHAnsi" w:hAnsiTheme="minorHAnsi" w:cstheme="minorBidi"/>
          <w:color w:val="000000" w:themeColor="text1"/>
          <w:sz w:val="20"/>
          <w:u w:val="single"/>
          <w:lang w:eastAsia="en-US"/>
        </w:rPr>
        <w:t xml:space="preserve">, </w:t>
      </w:r>
      <w:r w:rsidR="00863C9F" w:rsidRPr="00882AE1">
        <w:rPr>
          <w:rFonts w:asciiTheme="minorHAnsi" w:eastAsiaTheme="minorHAnsi" w:hAnsiTheme="minorHAnsi" w:cstheme="minorBidi"/>
          <w:color w:val="000000" w:themeColor="text1"/>
          <w:sz w:val="20"/>
          <w:lang w:eastAsia="en-US"/>
        </w:rPr>
        <w:t>(dss.gov.au)</w:t>
      </w:r>
      <w:r w:rsidR="00E03C23" w:rsidRPr="008B01F0">
        <w:rPr>
          <w:rFonts w:asciiTheme="minorHAnsi" w:eastAsiaTheme="minorHAnsi" w:hAnsiTheme="minorHAnsi" w:cstheme="minorBidi"/>
          <w:color w:val="000000" w:themeColor="text1"/>
          <w:sz w:val="20"/>
          <w:lang w:eastAsia="en-US"/>
        </w:rPr>
        <w:t xml:space="preserve"> accessed</w:t>
      </w:r>
      <w:r w:rsidR="0077395D" w:rsidRPr="008B01F0">
        <w:rPr>
          <w:rFonts w:asciiTheme="minorHAnsi" w:eastAsiaTheme="minorHAnsi" w:hAnsiTheme="minorHAnsi" w:cstheme="minorBidi"/>
          <w:color w:val="000000" w:themeColor="text1"/>
          <w:sz w:val="20"/>
          <w:lang w:eastAsia="en-US"/>
        </w:rPr>
        <w:t xml:space="preserve"> </w:t>
      </w:r>
      <w:r w:rsidR="00E03C23" w:rsidRPr="008B01F0">
        <w:rPr>
          <w:rFonts w:asciiTheme="minorHAnsi" w:eastAsiaTheme="minorHAnsi" w:hAnsiTheme="minorHAnsi" w:cstheme="minorBidi"/>
          <w:color w:val="000000" w:themeColor="text1"/>
          <w:sz w:val="20"/>
          <w:lang w:eastAsia="en-US"/>
        </w:rPr>
        <w:t>6 October 2023</w:t>
      </w:r>
    </w:p>
  </w:footnote>
  <w:footnote w:id="29">
    <w:p w14:paraId="7555673F" w14:textId="4A42E23D" w:rsidR="00436CEF" w:rsidRPr="0045066A" w:rsidRDefault="00436CEF" w:rsidP="00436CEF">
      <w:pPr>
        <w:pStyle w:val="FootnoteText"/>
        <w:rPr>
          <w:rFonts w:asciiTheme="minorHAnsi" w:hAnsiTheme="minorHAnsi" w:cstheme="minorHAnsi"/>
          <w:color w:val="000000" w:themeColor="text1"/>
          <w:sz w:val="20"/>
        </w:rPr>
      </w:pPr>
      <w:r w:rsidRPr="0045066A">
        <w:rPr>
          <w:rStyle w:val="FootnoteReference"/>
          <w:rFonts w:asciiTheme="minorHAnsi" w:hAnsiTheme="minorHAnsi" w:cstheme="minorHAnsi"/>
          <w:color w:val="000000" w:themeColor="text1"/>
          <w:sz w:val="20"/>
        </w:rPr>
        <w:footnoteRef/>
      </w:r>
      <w:r w:rsidRPr="0045066A">
        <w:rPr>
          <w:rFonts w:asciiTheme="minorHAnsi" w:hAnsiTheme="minorHAnsi" w:cstheme="minorHAnsi"/>
          <w:color w:val="000000" w:themeColor="text1"/>
          <w:sz w:val="20"/>
        </w:rPr>
        <w:t xml:space="preserve"> Department of the Prime Minister and Cabinet (2023), </w:t>
      </w:r>
      <w:hyperlink r:id="rId28" w:anchor=":~:text=This%20pattern%20continues%20for%20other,care%20workforces%20are%20highly%20feminised." w:history="1">
        <w:r w:rsidRPr="0045066A">
          <w:rPr>
            <w:rFonts w:asciiTheme="minorHAnsi" w:eastAsiaTheme="minorHAnsi" w:hAnsiTheme="minorHAnsi" w:cstheme="minorHAnsi"/>
            <w:color w:val="000000" w:themeColor="text1"/>
            <w:sz w:val="20"/>
            <w:u w:val="single"/>
            <w:lang w:eastAsia="en-US"/>
          </w:rPr>
          <w:t>National Strategy to Achieve Gender Equality – Discussion Paper</w:t>
        </w:r>
      </w:hyperlink>
      <w:r w:rsidRPr="0045066A">
        <w:rPr>
          <w:rFonts w:asciiTheme="minorHAnsi" w:eastAsiaTheme="minorHAnsi" w:hAnsiTheme="minorHAnsi" w:cstheme="minorHAnsi"/>
          <w:color w:val="000000" w:themeColor="text1"/>
          <w:sz w:val="20"/>
          <w:lang w:eastAsia="en-US"/>
        </w:rPr>
        <w:t>,</w:t>
      </w:r>
      <w:r w:rsidRPr="0045066A">
        <w:rPr>
          <w:rFonts w:asciiTheme="minorHAnsi" w:hAnsiTheme="minorHAnsi" w:cstheme="minorHAnsi"/>
          <w:color w:val="000000" w:themeColor="text1"/>
          <w:sz w:val="20"/>
        </w:rPr>
        <w:t xml:space="preserve"> Department of the Prime Minister and Cabinet, Australian Government (pmc.g</w:t>
      </w:r>
      <w:r w:rsidR="003A5F61">
        <w:rPr>
          <w:rFonts w:asciiTheme="minorHAnsi" w:hAnsiTheme="minorHAnsi" w:cstheme="minorHAnsi"/>
          <w:color w:val="000000" w:themeColor="text1"/>
          <w:sz w:val="20"/>
        </w:rPr>
        <w:t>o</w:t>
      </w:r>
      <w:r w:rsidRPr="0045066A">
        <w:rPr>
          <w:rFonts w:asciiTheme="minorHAnsi" w:hAnsiTheme="minorHAnsi" w:cstheme="minorHAnsi"/>
          <w:color w:val="000000" w:themeColor="text1"/>
          <w:sz w:val="20"/>
        </w:rPr>
        <w:t>v.au)</w:t>
      </w:r>
    </w:p>
  </w:footnote>
  <w:footnote w:id="30">
    <w:p w14:paraId="10A7E3AD" w14:textId="446092F1" w:rsidR="000164D8" w:rsidRPr="008B01F0" w:rsidRDefault="000164D8" w:rsidP="000164D8">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Pr="008B01F0">
        <w:rPr>
          <w:rStyle w:val="normaltextrun"/>
          <w:rFonts w:asciiTheme="minorHAnsi" w:eastAsiaTheme="majorEastAsia" w:hAnsiTheme="minorHAnsi" w:cstheme="minorHAnsi"/>
          <w:color w:val="000000" w:themeColor="text1"/>
          <w:sz w:val="20"/>
          <w:shd w:val="clear" w:color="auto" w:fill="FFFFFF"/>
        </w:rPr>
        <w:t>Australian Social Inclusion Board (2011)</w:t>
      </w:r>
      <w:r w:rsidR="002772B4">
        <w:rPr>
          <w:rStyle w:val="normaltextrun"/>
          <w:rFonts w:asciiTheme="minorHAnsi" w:eastAsiaTheme="majorEastAsia" w:hAnsiTheme="minorHAnsi" w:cstheme="minorHAnsi"/>
          <w:color w:val="000000" w:themeColor="text1"/>
          <w:sz w:val="20"/>
          <w:shd w:val="clear" w:color="auto" w:fill="FFFFFF"/>
        </w:rPr>
        <w:t xml:space="preserve">, </w:t>
      </w:r>
      <w:hyperlink r:id="rId29" w:tgtFrame="_blank" w:history="1">
        <w:r w:rsidRPr="008B01F0">
          <w:rPr>
            <w:rStyle w:val="normaltextrun"/>
            <w:rFonts w:asciiTheme="minorHAnsi" w:eastAsiaTheme="majorEastAsia" w:hAnsiTheme="minorHAnsi" w:cstheme="minorHAnsi"/>
            <w:i/>
            <w:iCs/>
            <w:color w:val="000000" w:themeColor="text1"/>
            <w:sz w:val="20"/>
            <w:u w:val="single"/>
            <w:shd w:val="clear" w:color="auto" w:fill="FFFFFF"/>
          </w:rPr>
          <w:t>Addressing barriers for jobless families</w:t>
        </w:r>
      </w:hyperlink>
      <w:r w:rsidRPr="008B01F0">
        <w:rPr>
          <w:rStyle w:val="normaltextrun"/>
          <w:rFonts w:asciiTheme="minorHAnsi" w:eastAsiaTheme="majorEastAsia" w:hAnsiTheme="minorHAnsi" w:cstheme="minorHAnsi"/>
          <w:color w:val="000000" w:themeColor="text1"/>
          <w:sz w:val="20"/>
          <w:shd w:val="clear" w:color="auto" w:fill="FFFFFF"/>
        </w:rPr>
        <w:t>, Department of the Prime Minister and Cabinet, Australian Government</w:t>
      </w:r>
    </w:p>
  </w:footnote>
  <w:footnote w:id="31">
    <w:p w14:paraId="46578282" w14:textId="57FF55F5" w:rsidR="0032291D" w:rsidRPr="008B01F0" w:rsidRDefault="0032291D">
      <w:pPr>
        <w:pStyle w:val="FootnoteText"/>
        <w:rPr>
          <w:color w:val="000000" w:themeColor="text1"/>
        </w:rPr>
      </w:pPr>
      <w:r w:rsidRPr="008B01F0">
        <w:rPr>
          <w:rStyle w:val="FootnoteReference"/>
          <w:color w:val="000000" w:themeColor="text1"/>
        </w:rPr>
        <w:footnoteRef/>
      </w:r>
      <w:r w:rsidRPr="008B01F0">
        <w:rPr>
          <w:color w:val="000000" w:themeColor="text1"/>
        </w:rPr>
        <w:t xml:space="preserve"> </w:t>
      </w:r>
      <w:r w:rsidRPr="008B01F0">
        <w:rPr>
          <w:rStyle w:val="normaltextrun"/>
          <w:rFonts w:asciiTheme="minorHAnsi" w:eastAsiaTheme="majorEastAsia" w:hAnsiTheme="minorHAnsi" w:cstheme="minorHAnsi"/>
          <w:color w:val="000000" w:themeColor="text1"/>
          <w:sz w:val="20"/>
          <w:shd w:val="clear" w:color="auto" w:fill="FFFFFF"/>
        </w:rPr>
        <w:t>Australian Social Inclusion Board (2011)</w:t>
      </w:r>
      <w:r w:rsidR="002772B4">
        <w:rPr>
          <w:rStyle w:val="normaltextrun"/>
          <w:rFonts w:asciiTheme="minorHAnsi" w:eastAsiaTheme="majorEastAsia" w:hAnsiTheme="minorHAnsi" w:cstheme="minorHAnsi"/>
          <w:color w:val="000000" w:themeColor="text1"/>
          <w:sz w:val="20"/>
          <w:shd w:val="clear" w:color="auto" w:fill="FFFFFF"/>
        </w:rPr>
        <w:t xml:space="preserve">, </w:t>
      </w:r>
      <w:hyperlink r:id="rId30" w:tgtFrame="_blank" w:history="1">
        <w:r w:rsidRPr="008B01F0">
          <w:rPr>
            <w:rStyle w:val="normaltextrun"/>
            <w:rFonts w:asciiTheme="minorHAnsi" w:eastAsiaTheme="majorEastAsia" w:hAnsiTheme="minorHAnsi" w:cstheme="minorHAnsi"/>
            <w:i/>
            <w:iCs/>
            <w:color w:val="000000" w:themeColor="text1"/>
            <w:sz w:val="20"/>
            <w:u w:val="single"/>
            <w:shd w:val="clear" w:color="auto" w:fill="FFFFFF"/>
          </w:rPr>
          <w:t>Addressing barriers for jobless families</w:t>
        </w:r>
      </w:hyperlink>
    </w:p>
  </w:footnote>
  <w:footnote w:id="32">
    <w:p w14:paraId="338E9982" w14:textId="77777777" w:rsidR="00E94597" w:rsidRPr="008E38C5" w:rsidRDefault="00E94597" w:rsidP="00E94597">
      <w:pPr>
        <w:pStyle w:val="FootnoteText"/>
        <w:rPr>
          <w:rFonts w:asciiTheme="minorHAnsi" w:hAnsiTheme="minorHAnsi" w:cstheme="minorHAnsi"/>
          <w:sz w:val="20"/>
        </w:rPr>
      </w:pPr>
      <w:r w:rsidRPr="00C84C2A">
        <w:rPr>
          <w:rStyle w:val="FootnoteReference"/>
          <w:color w:val="000000" w:themeColor="text1"/>
        </w:rPr>
        <w:footnoteRef/>
      </w:r>
      <w:r w:rsidRPr="00C84C2A">
        <w:rPr>
          <w:color w:val="000000" w:themeColor="text1"/>
        </w:rPr>
        <w:t xml:space="preserve"> </w:t>
      </w:r>
      <w:r w:rsidRPr="00C84C2A">
        <w:rPr>
          <w:rFonts w:asciiTheme="minorHAnsi" w:hAnsiTheme="minorHAnsi" w:cstheme="minorHAnsi"/>
          <w:color w:val="000000" w:themeColor="text1"/>
          <w:sz w:val="20"/>
        </w:rPr>
        <w:t xml:space="preserve">Davidson, P; Bradbury, B; and Wong, M (2023), </w:t>
      </w:r>
      <w:hyperlink r:id="rId31" w:history="1">
        <w:r w:rsidRPr="00C84C2A">
          <w:rPr>
            <w:rFonts w:asciiTheme="minorHAnsi" w:eastAsiaTheme="minorHAnsi" w:hAnsiTheme="minorHAnsi" w:cstheme="minorBidi"/>
            <w:i/>
            <w:iCs/>
            <w:color w:val="000000" w:themeColor="text1"/>
            <w:sz w:val="20"/>
            <w:u w:val="single"/>
            <w:lang w:eastAsia="en-US"/>
          </w:rPr>
          <w:t>Poverty in Australia 2023: Who is affected</w:t>
        </w:r>
      </w:hyperlink>
      <w:r w:rsidRPr="00C84C2A">
        <w:rPr>
          <w:rFonts w:asciiTheme="minorHAnsi" w:hAnsiTheme="minorHAnsi" w:cstheme="minorHAnsi"/>
          <w:color w:val="000000" w:themeColor="text1"/>
          <w:sz w:val="20"/>
        </w:rPr>
        <w:t xml:space="preserve"> Poverty and </w:t>
      </w:r>
      <w:r w:rsidRPr="008E38C5">
        <w:rPr>
          <w:rFonts w:asciiTheme="minorHAnsi" w:hAnsiTheme="minorHAnsi" w:cstheme="minorHAnsi"/>
          <w:sz w:val="20"/>
        </w:rPr>
        <w:t>Inequality Partnership Report no. 20. Australian Council of Social Service and UNSW Sydney</w:t>
      </w:r>
    </w:p>
  </w:footnote>
  <w:footnote w:id="33">
    <w:p w14:paraId="00A3D2D8" w14:textId="77777777" w:rsidR="00E94597" w:rsidRPr="008B01F0" w:rsidRDefault="00E94597" w:rsidP="00E94597">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Australian Bureau of Statistics (June 2022), </w:t>
      </w:r>
      <w:hyperlink r:id="rId32" w:anchor="jobless-families">
        <w:r w:rsidRPr="008B01F0">
          <w:rPr>
            <w:rStyle w:val="Hyperlink"/>
            <w:rFonts w:asciiTheme="minorHAnsi" w:hAnsiTheme="minorHAnsi" w:cstheme="minorHAnsi"/>
            <w:i/>
            <w:iCs/>
            <w:color w:val="000000" w:themeColor="text1"/>
            <w:sz w:val="20"/>
          </w:rPr>
          <w:t>Labour Force Status of Families</w:t>
        </w:r>
      </w:hyperlink>
      <w:r w:rsidRPr="00882AE1">
        <w:rPr>
          <w:rStyle w:val="Hyperlink"/>
          <w:rFonts w:asciiTheme="minorHAnsi" w:hAnsiTheme="minorHAnsi" w:cstheme="minorHAnsi"/>
          <w:color w:val="000000" w:themeColor="text1"/>
          <w:sz w:val="20"/>
          <w:u w:val="none"/>
        </w:rPr>
        <w:t>, ABS Website</w:t>
      </w:r>
      <w:r w:rsidRPr="008B01F0">
        <w:rPr>
          <w:rStyle w:val="Hyperlink"/>
          <w:rFonts w:asciiTheme="minorHAnsi" w:hAnsiTheme="minorHAnsi" w:cstheme="minorHAnsi"/>
          <w:color w:val="000000" w:themeColor="text1"/>
          <w:sz w:val="20"/>
          <w:u w:val="none"/>
        </w:rPr>
        <w:t>, accessed 17 September 2023</w:t>
      </w:r>
    </w:p>
  </w:footnote>
  <w:footnote w:id="34">
    <w:p w14:paraId="27DC47F1" w14:textId="4EA317EF" w:rsidR="00E94597" w:rsidRPr="008B01F0" w:rsidRDefault="00E94597" w:rsidP="00E94597">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Treasury (2023)</w:t>
      </w:r>
      <w:r w:rsidR="00C56E91">
        <w:rPr>
          <w:rFonts w:asciiTheme="minorHAnsi" w:hAnsiTheme="minorHAnsi" w:cstheme="minorHAnsi"/>
          <w:color w:val="000000" w:themeColor="text1"/>
          <w:sz w:val="20"/>
        </w:rPr>
        <w:t>,</w:t>
      </w:r>
      <w:r w:rsidRPr="008B01F0">
        <w:rPr>
          <w:rFonts w:asciiTheme="minorHAnsi" w:hAnsiTheme="minorHAnsi" w:cstheme="minorHAnsi"/>
          <w:color w:val="000000" w:themeColor="text1"/>
          <w:sz w:val="20"/>
        </w:rPr>
        <w:t xml:space="preserve"> </w:t>
      </w:r>
      <w:hyperlink r:id="rId33" w:history="1">
        <w:r w:rsidRPr="008B01F0">
          <w:rPr>
            <w:rFonts w:asciiTheme="minorHAnsi" w:eastAsiaTheme="minorHAnsi" w:hAnsiTheme="minorHAnsi" w:cstheme="minorBidi"/>
            <w:i/>
            <w:iCs/>
            <w:color w:val="000000" w:themeColor="text1"/>
            <w:sz w:val="20"/>
            <w:u w:val="single"/>
            <w:lang w:eastAsia="en-US"/>
          </w:rPr>
          <w:t>Working Future: The Australian Government’s White Paper on Jobs and Opportunities</w:t>
        </w:r>
      </w:hyperlink>
      <w:r w:rsidRPr="008B01F0">
        <w:rPr>
          <w:rFonts w:asciiTheme="minorHAnsi" w:eastAsiaTheme="minorHAnsi" w:hAnsiTheme="minorHAnsi" w:cstheme="minorBidi"/>
          <w:i/>
          <w:iCs/>
          <w:color w:val="000000" w:themeColor="text1"/>
          <w:sz w:val="20"/>
          <w:lang w:eastAsia="en-US"/>
        </w:rPr>
        <w:t xml:space="preserve"> </w:t>
      </w:r>
    </w:p>
  </w:footnote>
  <w:footnote w:id="35">
    <w:p w14:paraId="27166D87" w14:textId="11EB7AE1" w:rsidR="00473FDA" w:rsidRPr="003377B2" w:rsidRDefault="00473FDA" w:rsidP="00473FDA">
      <w:pPr>
        <w:pStyle w:val="FootnoteText"/>
        <w:rPr>
          <w:rFonts w:asciiTheme="minorHAnsi" w:hAnsiTheme="minorHAnsi" w:cstheme="minorHAnsi"/>
          <w:color w:val="000000" w:themeColor="text1"/>
          <w:sz w:val="20"/>
        </w:rPr>
      </w:pPr>
      <w:r w:rsidRPr="003377B2">
        <w:rPr>
          <w:rStyle w:val="FootnoteReference"/>
          <w:rFonts w:asciiTheme="minorHAnsi" w:hAnsiTheme="minorHAnsi" w:cstheme="minorHAnsi"/>
          <w:color w:val="000000" w:themeColor="text1"/>
          <w:sz w:val="20"/>
        </w:rPr>
        <w:footnoteRef/>
      </w:r>
      <w:r w:rsidRPr="003377B2">
        <w:rPr>
          <w:rFonts w:asciiTheme="minorHAnsi" w:hAnsiTheme="minorHAnsi" w:cstheme="minorHAnsi"/>
          <w:color w:val="000000" w:themeColor="text1"/>
          <w:sz w:val="20"/>
        </w:rPr>
        <w:t xml:space="preserve"> DSS Benefit and Payment Recipient Demographics – June 2023 Quarter</w:t>
      </w:r>
      <w:r w:rsidR="00484FA2">
        <w:rPr>
          <w:rFonts w:asciiTheme="minorHAnsi" w:hAnsiTheme="minorHAnsi" w:cstheme="minorHAnsi"/>
          <w:color w:val="000000" w:themeColor="text1"/>
          <w:sz w:val="20"/>
        </w:rPr>
        <w:t>,</w:t>
      </w:r>
      <w:r w:rsidRPr="003377B2">
        <w:rPr>
          <w:rFonts w:asciiTheme="minorHAnsi" w:hAnsiTheme="minorHAnsi" w:cstheme="minorHAnsi"/>
          <w:color w:val="000000" w:themeColor="text1"/>
          <w:sz w:val="20"/>
        </w:rPr>
        <w:t xml:space="preserve"> </w:t>
      </w:r>
      <w:hyperlink r:id="rId34" w:history="1">
        <w:r w:rsidRPr="003377B2">
          <w:rPr>
            <w:rFonts w:asciiTheme="minorHAnsi" w:eastAsiaTheme="minorHAnsi" w:hAnsiTheme="minorHAnsi" w:cstheme="minorHAnsi"/>
            <w:color w:val="000000" w:themeColor="text1"/>
            <w:sz w:val="20"/>
            <w:u w:val="single"/>
            <w:lang w:eastAsia="en-US"/>
          </w:rPr>
          <w:t>DSS Benefit and Payment Recipient Demographics</w:t>
        </w:r>
        <w:r w:rsidR="00042B23">
          <w:rPr>
            <w:rFonts w:asciiTheme="minorHAnsi" w:eastAsiaTheme="minorHAnsi" w:hAnsiTheme="minorHAnsi" w:cstheme="minorHAnsi"/>
            <w:color w:val="000000" w:themeColor="text1"/>
            <w:sz w:val="20"/>
            <w:u w:val="single"/>
            <w:lang w:eastAsia="en-US"/>
          </w:rPr>
          <w:t xml:space="preserve"> – June </w:t>
        </w:r>
        <w:r w:rsidRPr="003377B2">
          <w:rPr>
            <w:rFonts w:asciiTheme="minorHAnsi" w:eastAsiaTheme="minorHAnsi" w:hAnsiTheme="minorHAnsi" w:cstheme="minorHAnsi"/>
            <w:color w:val="000000" w:themeColor="text1"/>
            <w:sz w:val="20"/>
            <w:u w:val="single"/>
            <w:lang w:eastAsia="en-US"/>
          </w:rPr>
          <w:t>2023</w:t>
        </w:r>
      </w:hyperlink>
    </w:p>
  </w:footnote>
  <w:footnote w:id="36">
    <w:p w14:paraId="0B7E2C3B" w14:textId="410DE5D5" w:rsidR="00BA06E1" w:rsidRPr="003E1310" w:rsidRDefault="00BA06E1">
      <w:pPr>
        <w:pStyle w:val="FootnoteText"/>
        <w:rPr>
          <w:rFonts w:asciiTheme="minorHAnsi" w:hAnsiTheme="minorHAnsi" w:cstheme="minorHAnsi"/>
          <w:color w:val="000000" w:themeColor="text1"/>
          <w:sz w:val="20"/>
        </w:rPr>
      </w:pPr>
      <w:r w:rsidRPr="003E1310">
        <w:rPr>
          <w:rStyle w:val="FootnoteReference"/>
          <w:rFonts w:asciiTheme="minorHAnsi" w:hAnsiTheme="minorHAnsi" w:cstheme="minorHAnsi"/>
          <w:color w:val="000000" w:themeColor="text1"/>
          <w:sz w:val="20"/>
        </w:rPr>
        <w:footnoteRef/>
      </w:r>
      <w:r w:rsidRPr="003E1310">
        <w:rPr>
          <w:rFonts w:asciiTheme="minorHAnsi" w:hAnsiTheme="minorHAnsi" w:cstheme="minorHAnsi"/>
          <w:color w:val="000000" w:themeColor="text1"/>
          <w:sz w:val="20"/>
        </w:rPr>
        <w:t xml:space="preserve">  </w:t>
      </w:r>
      <w:r w:rsidRPr="003E1310">
        <w:rPr>
          <w:rStyle w:val="normaltextrun"/>
          <w:rFonts w:asciiTheme="minorHAnsi" w:eastAsiaTheme="majorEastAsia" w:hAnsiTheme="minorHAnsi" w:cstheme="minorHAnsi"/>
          <w:color w:val="000000" w:themeColor="text1"/>
          <w:sz w:val="20"/>
          <w:shd w:val="clear" w:color="auto" w:fill="FFFFFF"/>
        </w:rPr>
        <w:t>Department of Employment and Workplace Relations (2022)</w:t>
      </w:r>
      <w:r w:rsidR="0014273B">
        <w:rPr>
          <w:rStyle w:val="normaltextrun"/>
          <w:rFonts w:asciiTheme="minorHAnsi" w:eastAsiaTheme="majorEastAsia" w:hAnsiTheme="minorHAnsi" w:cstheme="minorHAnsi"/>
          <w:color w:val="000000" w:themeColor="text1"/>
          <w:sz w:val="20"/>
          <w:shd w:val="clear" w:color="auto" w:fill="FFFFFF"/>
        </w:rPr>
        <w:t xml:space="preserve">, </w:t>
      </w:r>
      <w:hyperlink r:id="rId35" w:tgtFrame="_blank" w:history="1">
        <w:r w:rsidRPr="00882AE1">
          <w:rPr>
            <w:rStyle w:val="normaltextrun"/>
            <w:rFonts w:asciiTheme="minorHAnsi" w:eastAsiaTheme="majorEastAsia" w:hAnsiTheme="minorHAnsi" w:cstheme="minorHAnsi"/>
            <w:i/>
            <w:iCs/>
            <w:color w:val="000000" w:themeColor="text1"/>
            <w:sz w:val="20"/>
            <w:u w:val="single"/>
            <w:shd w:val="clear" w:color="auto" w:fill="FFFFFF"/>
          </w:rPr>
          <w:t>ParentsNext </w:t>
        </w:r>
        <w:r w:rsidR="00B9559D" w:rsidRPr="00882AE1">
          <w:rPr>
            <w:rStyle w:val="normaltextrun"/>
            <w:rFonts w:asciiTheme="minorHAnsi" w:eastAsiaTheme="majorEastAsia" w:hAnsiTheme="minorHAnsi" w:cstheme="minorHAnsi"/>
            <w:i/>
            <w:iCs/>
            <w:color w:val="000000" w:themeColor="text1"/>
            <w:sz w:val="20"/>
            <w:u w:val="single"/>
            <w:shd w:val="clear" w:color="auto" w:fill="FFFFFF"/>
          </w:rPr>
          <w:t xml:space="preserve">National Expansion </w:t>
        </w:r>
        <w:r w:rsidRPr="00882AE1">
          <w:rPr>
            <w:rStyle w:val="normaltextrun"/>
            <w:rFonts w:asciiTheme="minorHAnsi" w:eastAsiaTheme="majorEastAsia" w:hAnsiTheme="minorHAnsi" w:cstheme="minorHAnsi"/>
            <w:i/>
            <w:iCs/>
            <w:color w:val="000000" w:themeColor="text1"/>
            <w:sz w:val="20"/>
            <w:u w:val="single"/>
            <w:shd w:val="clear" w:color="auto" w:fill="FFFFFF"/>
          </w:rPr>
          <w:t>2018</w:t>
        </w:r>
        <w:r w:rsidR="00750202" w:rsidRPr="00882AE1">
          <w:rPr>
            <w:rStyle w:val="normaltextrun"/>
            <w:rFonts w:asciiTheme="minorHAnsi" w:eastAsiaTheme="majorEastAsia" w:hAnsiTheme="minorHAnsi" w:cstheme="minorHAnsi"/>
            <w:i/>
            <w:iCs/>
            <w:color w:val="000000" w:themeColor="text1"/>
            <w:sz w:val="20"/>
            <w:u w:val="single"/>
            <w:shd w:val="clear" w:color="auto" w:fill="FFFFFF"/>
          </w:rPr>
          <w:t>–20</w:t>
        </w:r>
        <w:r w:rsidRPr="00882AE1">
          <w:rPr>
            <w:rStyle w:val="normaltextrun"/>
            <w:rFonts w:asciiTheme="minorHAnsi" w:eastAsiaTheme="majorEastAsia" w:hAnsiTheme="minorHAnsi" w:cstheme="minorHAnsi"/>
            <w:i/>
            <w:iCs/>
            <w:color w:val="000000" w:themeColor="text1"/>
            <w:sz w:val="20"/>
            <w:u w:val="single"/>
            <w:shd w:val="clear" w:color="auto" w:fill="FFFFFF"/>
          </w:rPr>
          <w:t>21</w:t>
        </w:r>
        <w:r w:rsidR="00B9559D" w:rsidRPr="00882AE1">
          <w:rPr>
            <w:rStyle w:val="normaltextrun"/>
            <w:rFonts w:asciiTheme="minorHAnsi" w:eastAsiaTheme="majorEastAsia" w:hAnsiTheme="minorHAnsi" w:cstheme="minorHAnsi"/>
            <w:i/>
            <w:iCs/>
            <w:color w:val="000000" w:themeColor="text1"/>
            <w:sz w:val="20"/>
            <w:u w:val="single"/>
            <w:shd w:val="clear" w:color="auto" w:fill="FFFFFF"/>
          </w:rPr>
          <w:t>:</w:t>
        </w:r>
        <w:r w:rsidRPr="00882AE1">
          <w:rPr>
            <w:rStyle w:val="normaltextrun"/>
            <w:rFonts w:asciiTheme="minorHAnsi" w:eastAsiaTheme="majorEastAsia" w:hAnsiTheme="minorHAnsi" w:cstheme="minorHAnsi"/>
            <w:i/>
            <w:iCs/>
            <w:color w:val="000000" w:themeColor="text1"/>
            <w:sz w:val="20"/>
            <w:u w:val="single"/>
            <w:shd w:val="clear" w:color="auto" w:fill="FFFFFF"/>
          </w:rPr>
          <w:t xml:space="preserve"> Evaluation Report</w:t>
        </w:r>
      </w:hyperlink>
    </w:p>
  </w:footnote>
  <w:footnote w:id="37">
    <w:p w14:paraId="06C03479" w14:textId="1D422B11" w:rsidR="000B14D6" w:rsidRPr="008B01F0" w:rsidRDefault="000B14D6" w:rsidP="000B14D6">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Treasury (2023)</w:t>
      </w:r>
      <w:r w:rsidR="00EE3554">
        <w:rPr>
          <w:rFonts w:asciiTheme="minorHAnsi" w:hAnsiTheme="minorHAnsi" w:cstheme="minorHAnsi"/>
          <w:color w:val="000000" w:themeColor="text1"/>
          <w:sz w:val="20"/>
        </w:rPr>
        <w:t>,</w:t>
      </w:r>
      <w:r w:rsidRPr="008B01F0">
        <w:rPr>
          <w:rFonts w:asciiTheme="minorHAnsi" w:hAnsiTheme="minorHAnsi" w:cstheme="minorHAnsi"/>
          <w:color w:val="000000" w:themeColor="text1"/>
          <w:sz w:val="20"/>
        </w:rPr>
        <w:t xml:space="preserve"> </w:t>
      </w:r>
      <w:hyperlink r:id="rId36" w:history="1">
        <w:r w:rsidRPr="008B01F0">
          <w:rPr>
            <w:rFonts w:asciiTheme="minorHAnsi" w:eastAsiaTheme="minorHAnsi" w:hAnsiTheme="minorHAnsi" w:cstheme="minorBidi"/>
            <w:i/>
            <w:iCs/>
            <w:color w:val="000000" w:themeColor="text1"/>
            <w:sz w:val="20"/>
            <w:u w:val="single"/>
            <w:lang w:eastAsia="en-US"/>
          </w:rPr>
          <w:t>Working Future: The Australian Government’s White Paper on Jobs and Opportunities</w:t>
        </w:r>
      </w:hyperlink>
    </w:p>
  </w:footnote>
  <w:footnote w:id="38">
    <w:p w14:paraId="10EB7547" w14:textId="6CBE7B98" w:rsidR="006D587A" w:rsidRPr="008B01F0" w:rsidRDefault="006D587A" w:rsidP="006D587A">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008A5F8E" w:rsidRPr="008B01F0">
        <w:rPr>
          <w:rFonts w:asciiTheme="minorHAnsi" w:hAnsiTheme="minorHAnsi" w:cstheme="minorHAnsi"/>
          <w:color w:val="000000" w:themeColor="text1"/>
          <w:sz w:val="20"/>
        </w:rPr>
        <w:t xml:space="preserve">House of Representatives Select Committee on Workforce Australia Employment Services (2023), </w:t>
      </w:r>
      <w:hyperlink r:id="rId37" w:history="1">
        <w:r w:rsidR="008A5F8E" w:rsidRPr="008B01F0">
          <w:rPr>
            <w:rFonts w:asciiTheme="minorHAnsi" w:eastAsiaTheme="minorHAnsi" w:hAnsiTheme="minorHAnsi" w:cstheme="minorBidi"/>
            <w:i/>
            <w:iCs/>
            <w:color w:val="000000" w:themeColor="text1"/>
            <w:sz w:val="20"/>
            <w:u w:val="single"/>
            <w:lang w:eastAsia="en-US"/>
          </w:rPr>
          <w:t>Your Future Planning Interim Report on ParentsNext</w:t>
        </w:r>
      </w:hyperlink>
    </w:p>
  </w:footnote>
  <w:footnote w:id="39">
    <w:p w14:paraId="33FEDF63" w14:textId="08BCC335" w:rsidR="006D587A" w:rsidRPr="008B01F0" w:rsidRDefault="006D587A" w:rsidP="006D587A">
      <w:pPr>
        <w:pStyle w:val="FootnoteText"/>
        <w:rPr>
          <w:rFonts w:asciiTheme="minorHAnsi" w:hAnsiTheme="minorHAnsi" w:cstheme="minorHAnsi"/>
          <w:color w:val="000000" w:themeColor="text1"/>
          <w:sz w:val="20"/>
        </w:rPr>
      </w:pPr>
      <w:r w:rsidRPr="008B01F0">
        <w:rPr>
          <w:rStyle w:val="FootnoteReference"/>
          <w:rFonts w:asciiTheme="minorHAnsi" w:eastAsiaTheme="majorEastAsia"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007F16D2" w:rsidRPr="008B01F0">
        <w:rPr>
          <w:rFonts w:asciiTheme="minorHAnsi" w:hAnsiTheme="minorHAnsi" w:cstheme="minorHAnsi"/>
          <w:color w:val="000000" w:themeColor="text1"/>
          <w:sz w:val="20"/>
        </w:rPr>
        <w:t>Department o</w:t>
      </w:r>
      <w:r w:rsidR="00595698" w:rsidRPr="008B01F0">
        <w:rPr>
          <w:rFonts w:asciiTheme="minorHAnsi" w:hAnsiTheme="minorHAnsi" w:cstheme="minorHAnsi"/>
          <w:color w:val="000000" w:themeColor="text1"/>
          <w:sz w:val="20"/>
        </w:rPr>
        <w:t>f</w:t>
      </w:r>
      <w:r w:rsidR="007F16D2" w:rsidRPr="008B01F0">
        <w:rPr>
          <w:rFonts w:asciiTheme="minorHAnsi" w:hAnsiTheme="minorHAnsi" w:cstheme="minorHAnsi"/>
          <w:color w:val="000000" w:themeColor="text1"/>
          <w:sz w:val="20"/>
        </w:rPr>
        <w:t xml:space="preserve"> </w:t>
      </w:r>
      <w:r w:rsidR="00595698" w:rsidRPr="008B01F0">
        <w:rPr>
          <w:rFonts w:asciiTheme="minorHAnsi" w:hAnsiTheme="minorHAnsi" w:cstheme="minorHAnsi"/>
          <w:color w:val="000000" w:themeColor="text1"/>
          <w:sz w:val="20"/>
        </w:rPr>
        <w:t>Employment</w:t>
      </w:r>
      <w:r w:rsidR="007F16D2" w:rsidRPr="008B01F0">
        <w:rPr>
          <w:rFonts w:asciiTheme="minorHAnsi" w:hAnsiTheme="minorHAnsi" w:cstheme="minorHAnsi"/>
          <w:color w:val="000000" w:themeColor="text1"/>
          <w:sz w:val="20"/>
        </w:rPr>
        <w:t xml:space="preserve"> and </w:t>
      </w:r>
      <w:r w:rsidR="00595698" w:rsidRPr="008B01F0">
        <w:rPr>
          <w:rFonts w:asciiTheme="minorHAnsi" w:hAnsiTheme="minorHAnsi" w:cstheme="minorHAnsi"/>
          <w:color w:val="000000" w:themeColor="text1"/>
          <w:sz w:val="20"/>
        </w:rPr>
        <w:t>Workplace</w:t>
      </w:r>
      <w:r w:rsidR="007F16D2" w:rsidRPr="008B01F0">
        <w:rPr>
          <w:rFonts w:asciiTheme="minorHAnsi" w:hAnsiTheme="minorHAnsi" w:cstheme="minorHAnsi"/>
          <w:color w:val="000000" w:themeColor="text1"/>
          <w:sz w:val="20"/>
        </w:rPr>
        <w:t xml:space="preserve"> Relations (</w:t>
      </w:r>
      <w:r w:rsidR="00F73861" w:rsidRPr="008B01F0">
        <w:rPr>
          <w:rFonts w:asciiTheme="minorHAnsi" w:hAnsiTheme="minorHAnsi" w:cstheme="minorHAnsi"/>
          <w:color w:val="000000" w:themeColor="text1"/>
          <w:sz w:val="20"/>
        </w:rPr>
        <w:t>2023)</w:t>
      </w:r>
      <w:r w:rsidR="001B5DCF">
        <w:rPr>
          <w:rFonts w:asciiTheme="minorHAnsi" w:hAnsiTheme="minorHAnsi" w:cstheme="minorHAnsi"/>
          <w:color w:val="000000" w:themeColor="text1"/>
          <w:sz w:val="20"/>
        </w:rPr>
        <w:t>,</w:t>
      </w:r>
      <w:r w:rsidR="00F73861" w:rsidRPr="008B01F0">
        <w:rPr>
          <w:rFonts w:asciiTheme="minorHAnsi" w:hAnsiTheme="minorHAnsi" w:cstheme="minorHAnsi"/>
          <w:color w:val="000000" w:themeColor="text1"/>
          <w:sz w:val="20"/>
        </w:rPr>
        <w:t xml:space="preserve"> </w:t>
      </w:r>
      <w:hyperlink r:id="rId38" w:history="1">
        <w:r w:rsidR="00E110DF" w:rsidRPr="008B01F0">
          <w:rPr>
            <w:rFonts w:asciiTheme="minorHAnsi" w:eastAsiaTheme="minorHAnsi" w:hAnsiTheme="minorHAnsi" w:cstheme="minorBidi"/>
            <w:i/>
            <w:iCs/>
            <w:color w:val="000000" w:themeColor="text1"/>
            <w:sz w:val="20"/>
            <w:u w:val="single"/>
            <w:lang w:eastAsia="en-US"/>
          </w:rPr>
          <w:t>Consultation Approach - New voluntary service for parents</w:t>
        </w:r>
      </w:hyperlink>
      <w:r w:rsidR="008D217C" w:rsidRPr="008B01F0">
        <w:rPr>
          <w:rFonts w:asciiTheme="minorHAnsi" w:hAnsiTheme="minorHAnsi" w:cstheme="minorHAnsi"/>
          <w:color w:val="000000" w:themeColor="text1"/>
          <w:sz w:val="20"/>
        </w:rPr>
        <w:t>, Department of Employment and Workplace Relations,</w:t>
      </w:r>
      <w:r w:rsidR="006C3D4C">
        <w:rPr>
          <w:rFonts w:asciiTheme="minorHAnsi" w:hAnsiTheme="minorHAnsi" w:cstheme="minorHAnsi"/>
          <w:color w:val="000000" w:themeColor="text1"/>
          <w:sz w:val="20"/>
        </w:rPr>
        <w:t xml:space="preserve"> Australian Government (dewr.gov.au)</w:t>
      </w:r>
      <w:r w:rsidR="008D217C" w:rsidRPr="008B01F0">
        <w:rPr>
          <w:rFonts w:asciiTheme="minorHAnsi" w:hAnsiTheme="minorHAnsi" w:cstheme="minorHAnsi"/>
          <w:color w:val="000000" w:themeColor="text1"/>
          <w:sz w:val="20"/>
        </w:rPr>
        <w:t xml:space="preserve"> accessed </w:t>
      </w:r>
      <w:r w:rsidR="00777F2F" w:rsidRPr="008B01F0">
        <w:rPr>
          <w:rFonts w:asciiTheme="minorHAnsi" w:hAnsiTheme="minorHAnsi" w:cstheme="minorHAnsi"/>
          <w:color w:val="000000" w:themeColor="text1"/>
          <w:sz w:val="20"/>
        </w:rPr>
        <w:t xml:space="preserve">21 August </w:t>
      </w:r>
      <w:r w:rsidR="00986502" w:rsidRPr="008B01F0">
        <w:rPr>
          <w:rFonts w:asciiTheme="minorHAnsi" w:hAnsiTheme="minorHAnsi" w:cstheme="minorHAnsi"/>
          <w:color w:val="000000" w:themeColor="text1"/>
          <w:sz w:val="20"/>
        </w:rPr>
        <w:t>2023</w:t>
      </w:r>
    </w:p>
  </w:footnote>
  <w:footnote w:id="40">
    <w:p w14:paraId="623A002F" w14:textId="0EB53C12" w:rsidR="00677519" w:rsidRPr="00050B5B" w:rsidRDefault="00677519">
      <w:pPr>
        <w:pStyle w:val="FootnoteText"/>
        <w:rPr>
          <w:rFonts w:asciiTheme="minorHAnsi" w:hAnsiTheme="minorHAnsi" w:cstheme="minorHAnsi"/>
          <w:sz w:val="20"/>
        </w:rPr>
      </w:pPr>
      <w:r w:rsidRPr="00050B5B">
        <w:rPr>
          <w:rStyle w:val="FootnoteReference"/>
          <w:rFonts w:asciiTheme="minorHAnsi" w:hAnsiTheme="minorHAnsi" w:cstheme="minorHAnsi"/>
          <w:sz w:val="20"/>
        </w:rPr>
        <w:footnoteRef/>
      </w:r>
      <w:r w:rsidRPr="00050B5B">
        <w:rPr>
          <w:rFonts w:asciiTheme="minorHAnsi" w:hAnsiTheme="minorHAnsi" w:cstheme="minorHAnsi"/>
          <w:sz w:val="20"/>
        </w:rPr>
        <w:t xml:space="preserve"> Department of </w:t>
      </w:r>
      <w:r w:rsidR="00E52918" w:rsidRPr="00050B5B">
        <w:rPr>
          <w:rFonts w:asciiTheme="minorHAnsi" w:hAnsiTheme="minorHAnsi" w:cstheme="minorHAnsi"/>
          <w:sz w:val="20"/>
        </w:rPr>
        <w:t>Employment</w:t>
      </w:r>
      <w:r w:rsidRPr="00050B5B">
        <w:rPr>
          <w:rFonts w:asciiTheme="minorHAnsi" w:hAnsiTheme="minorHAnsi" w:cstheme="minorHAnsi"/>
          <w:sz w:val="20"/>
        </w:rPr>
        <w:t xml:space="preserve"> and </w:t>
      </w:r>
      <w:r w:rsidR="00E52918" w:rsidRPr="00050B5B">
        <w:rPr>
          <w:rFonts w:asciiTheme="minorHAnsi" w:hAnsiTheme="minorHAnsi" w:cstheme="minorHAnsi"/>
          <w:sz w:val="20"/>
        </w:rPr>
        <w:t>Workplace</w:t>
      </w:r>
      <w:r w:rsidRPr="00050B5B">
        <w:rPr>
          <w:rFonts w:asciiTheme="minorHAnsi" w:hAnsiTheme="minorHAnsi" w:cstheme="minorHAnsi"/>
          <w:sz w:val="20"/>
        </w:rPr>
        <w:t xml:space="preserve"> </w:t>
      </w:r>
      <w:r w:rsidR="00E52918" w:rsidRPr="00050B5B">
        <w:rPr>
          <w:rFonts w:asciiTheme="minorHAnsi" w:hAnsiTheme="minorHAnsi" w:cstheme="minorHAnsi"/>
          <w:sz w:val="20"/>
        </w:rPr>
        <w:t>Relations</w:t>
      </w:r>
      <w:r w:rsidRPr="00050B5B">
        <w:rPr>
          <w:rFonts w:asciiTheme="minorHAnsi" w:hAnsiTheme="minorHAnsi" w:cstheme="minorHAnsi"/>
          <w:sz w:val="20"/>
        </w:rPr>
        <w:t xml:space="preserve"> (</w:t>
      </w:r>
      <w:r w:rsidR="00E52918" w:rsidRPr="00050B5B">
        <w:rPr>
          <w:rFonts w:asciiTheme="minorHAnsi" w:hAnsiTheme="minorHAnsi" w:cstheme="minorHAnsi"/>
          <w:sz w:val="20"/>
        </w:rPr>
        <w:t xml:space="preserve">2023), </w:t>
      </w:r>
      <w:r w:rsidR="00E52918" w:rsidRPr="00050B5B">
        <w:rPr>
          <w:rFonts w:asciiTheme="minorHAnsi" w:hAnsiTheme="minorHAnsi" w:cstheme="minorHAnsi"/>
          <w:i/>
          <w:iCs/>
          <w:sz w:val="20"/>
        </w:rPr>
        <w:t xml:space="preserve">What we’ve heard </w:t>
      </w:r>
      <w:r w:rsidR="00EC0B4E" w:rsidRPr="00050B5B">
        <w:rPr>
          <w:rFonts w:asciiTheme="minorHAnsi" w:hAnsiTheme="minorHAnsi" w:cstheme="minorHAnsi"/>
          <w:i/>
          <w:iCs/>
          <w:sz w:val="20"/>
        </w:rPr>
        <w:t>from parents</w:t>
      </w:r>
      <w:r w:rsidR="00EC0B4E" w:rsidRPr="00050B5B">
        <w:rPr>
          <w:rFonts w:asciiTheme="minorHAnsi" w:hAnsiTheme="minorHAnsi" w:cstheme="minorHAnsi"/>
          <w:sz w:val="20"/>
        </w:rPr>
        <w:t xml:space="preserve">, </w:t>
      </w:r>
      <w:r w:rsidR="00420935">
        <w:rPr>
          <w:rFonts w:asciiTheme="minorHAnsi" w:hAnsiTheme="minorHAnsi" w:cstheme="minorHAnsi"/>
          <w:sz w:val="20"/>
        </w:rPr>
        <w:t>Department of Employment and Workplace Relations</w:t>
      </w:r>
      <w:r w:rsidR="00995A7E">
        <w:rPr>
          <w:rFonts w:asciiTheme="minorHAnsi" w:hAnsiTheme="minorHAnsi" w:cstheme="minorHAnsi"/>
          <w:sz w:val="20"/>
        </w:rPr>
        <w:t>, Australian Government</w:t>
      </w:r>
      <w:r w:rsidR="003A5F61">
        <w:rPr>
          <w:rFonts w:asciiTheme="minorHAnsi" w:hAnsiTheme="minorHAnsi" w:cstheme="minorHAnsi"/>
          <w:sz w:val="20"/>
        </w:rPr>
        <w:t xml:space="preserve"> (</w:t>
      </w:r>
      <w:r w:rsidR="00CE06A9">
        <w:rPr>
          <w:rFonts w:asciiTheme="minorHAnsi" w:hAnsiTheme="minorHAnsi" w:cstheme="minorHAnsi"/>
          <w:sz w:val="20"/>
        </w:rPr>
        <w:t>dewr.gov.au</w:t>
      </w:r>
      <w:r w:rsidR="003A5F61">
        <w:rPr>
          <w:rFonts w:asciiTheme="minorHAnsi" w:hAnsiTheme="minorHAnsi" w:cstheme="minorHAnsi"/>
          <w:sz w:val="20"/>
        </w:rPr>
        <w:t>)</w:t>
      </w:r>
      <w:r w:rsidR="00420935">
        <w:rPr>
          <w:rFonts w:asciiTheme="minorHAnsi" w:hAnsiTheme="minorHAnsi" w:cstheme="minorHAnsi"/>
          <w:sz w:val="20"/>
        </w:rPr>
        <w:t xml:space="preserve"> accessed 19 October 2023</w:t>
      </w:r>
    </w:p>
  </w:footnote>
  <w:footnote w:id="41">
    <w:p w14:paraId="2B69549A" w14:textId="2FB87951" w:rsidR="00625A4F" w:rsidRPr="000228FE" w:rsidRDefault="00625A4F">
      <w:pPr>
        <w:pStyle w:val="FootnoteText"/>
        <w:rPr>
          <w:rFonts w:asciiTheme="minorHAnsi" w:hAnsiTheme="minorHAnsi" w:cstheme="minorHAnsi"/>
          <w:sz w:val="20"/>
        </w:rPr>
      </w:pPr>
      <w:r w:rsidRPr="000228FE">
        <w:rPr>
          <w:rStyle w:val="FootnoteReference"/>
          <w:rFonts w:asciiTheme="minorHAnsi" w:hAnsiTheme="minorHAnsi" w:cstheme="minorHAnsi"/>
          <w:sz w:val="20"/>
        </w:rPr>
        <w:footnoteRef/>
      </w:r>
      <w:r w:rsidRPr="000228FE">
        <w:rPr>
          <w:rFonts w:asciiTheme="minorHAnsi" w:hAnsiTheme="minorHAnsi" w:cstheme="minorHAnsi"/>
          <w:sz w:val="20"/>
        </w:rPr>
        <w:t xml:space="preserve"> </w:t>
      </w:r>
      <w:r w:rsidR="00F218FE">
        <w:rPr>
          <w:rFonts w:asciiTheme="minorHAnsi" w:hAnsiTheme="minorHAnsi" w:cstheme="minorHAnsi"/>
          <w:sz w:val="20"/>
        </w:rPr>
        <w:t xml:space="preserve">Department of Employment and Workplace Relations (2022), </w:t>
      </w:r>
      <w:hyperlink r:id="rId39" w:history="1">
        <w:r w:rsidR="00F218FE" w:rsidRPr="00395655">
          <w:rPr>
            <w:rStyle w:val="Hyperlink"/>
            <w:rFonts w:asciiTheme="minorHAnsi" w:eastAsiaTheme="minorEastAsia" w:hAnsiTheme="minorHAnsi" w:cstheme="minorHAnsi"/>
            <w:i/>
            <w:iCs/>
            <w:sz w:val="20"/>
          </w:rPr>
          <w:t>ParentsNext National Expansion 2018–2021: Evaluation Report</w:t>
        </w:r>
      </w:hyperlink>
    </w:p>
  </w:footnote>
  <w:footnote w:id="42">
    <w:p w14:paraId="6DB70653" w14:textId="5BCBE01B" w:rsidR="007E1AAD" w:rsidRPr="008B01F0" w:rsidRDefault="007E1AAD">
      <w:pPr>
        <w:pStyle w:val="FootnoteText"/>
        <w:rPr>
          <w:rFonts w:asciiTheme="minorHAnsi" w:hAnsiTheme="minorHAnsi" w:cstheme="minorHAnsi"/>
          <w:color w:val="000000" w:themeColor="text1"/>
          <w:sz w:val="20"/>
        </w:rPr>
      </w:pPr>
      <w:r w:rsidRPr="008B01F0">
        <w:rPr>
          <w:rStyle w:val="FootnoteReference"/>
          <w:rFonts w:asciiTheme="minorHAnsi" w:hAnsiTheme="minorHAnsi" w:cstheme="minorHAnsi"/>
          <w:color w:val="000000" w:themeColor="text1"/>
          <w:sz w:val="20"/>
        </w:rPr>
        <w:footnoteRef/>
      </w:r>
      <w:r w:rsidRPr="008B01F0">
        <w:rPr>
          <w:rFonts w:asciiTheme="minorHAnsi" w:hAnsiTheme="minorHAnsi" w:cstheme="minorHAnsi"/>
          <w:color w:val="000000" w:themeColor="text1"/>
          <w:sz w:val="20"/>
        </w:rPr>
        <w:t xml:space="preserve"> </w:t>
      </w:r>
      <w:r w:rsidR="008645F0" w:rsidRPr="008B01F0">
        <w:rPr>
          <w:rFonts w:asciiTheme="minorHAnsi" w:hAnsiTheme="minorHAnsi" w:cstheme="minorHAnsi"/>
          <w:color w:val="000000" w:themeColor="text1"/>
          <w:sz w:val="20"/>
        </w:rPr>
        <w:t xml:space="preserve">Department of </w:t>
      </w:r>
      <w:r w:rsidR="003933E5" w:rsidRPr="008B01F0">
        <w:rPr>
          <w:rFonts w:asciiTheme="minorHAnsi" w:hAnsiTheme="minorHAnsi" w:cstheme="minorHAnsi"/>
          <w:color w:val="000000" w:themeColor="text1"/>
          <w:sz w:val="20"/>
        </w:rPr>
        <w:t>Education</w:t>
      </w:r>
      <w:r w:rsidR="008645F0" w:rsidRPr="008B01F0">
        <w:rPr>
          <w:rFonts w:asciiTheme="minorHAnsi" w:hAnsiTheme="minorHAnsi" w:cstheme="minorHAnsi"/>
          <w:color w:val="000000" w:themeColor="text1"/>
          <w:sz w:val="20"/>
        </w:rPr>
        <w:t xml:space="preserve">, </w:t>
      </w:r>
      <w:r w:rsidR="003933E5" w:rsidRPr="008B01F0">
        <w:rPr>
          <w:rFonts w:asciiTheme="minorHAnsi" w:hAnsiTheme="minorHAnsi" w:cstheme="minorHAnsi"/>
          <w:color w:val="000000" w:themeColor="text1"/>
          <w:sz w:val="20"/>
        </w:rPr>
        <w:t>Skills</w:t>
      </w:r>
      <w:r w:rsidR="008645F0" w:rsidRPr="008B01F0">
        <w:rPr>
          <w:rFonts w:asciiTheme="minorHAnsi" w:hAnsiTheme="minorHAnsi" w:cstheme="minorHAnsi"/>
          <w:color w:val="000000" w:themeColor="text1"/>
          <w:sz w:val="20"/>
        </w:rPr>
        <w:t xml:space="preserve"> and </w:t>
      </w:r>
      <w:r w:rsidR="003933E5" w:rsidRPr="008B01F0">
        <w:rPr>
          <w:rFonts w:asciiTheme="minorHAnsi" w:hAnsiTheme="minorHAnsi" w:cstheme="minorHAnsi"/>
          <w:color w:val="000000" w:themeColor="text1"/>
          <w:sz w:val="20"/>
        </w:rPr>
        <w:t>Employment</w:t>
      </w:r>
      <w:r w:rsidR="008645F0" w:rsidRPr="008B01F0">
        <w:rPr>
          <w:rFonts w:asciiTheme="minorHAnsi" w:hAnsiTheme="minorHAnsi" w:cstheme="minorHAnsi"/>
          <w:color w:val="000000" w:themeColor="text1"/>
          <w:sz w:val="20"/>
        </w:rPr>
        <w:t xml:space="preserve"> (2021)</w:t>
      </w:r>
      <w:r w:rsidR="003933E5" w:rsidRPr="008B01F0">
        <w:rPr>
          <w:rFonts w:asciiTheme="minorHAnsi" w:hAnsiTheme="minorHAnsi" w:cstheme="minorHAnsi"/>
          <w:color w:val="000000" w:themeColor="text1"/>
          <w:sz w:val="20"/>
        </w:rPr>
        <w:t>,</w:t>
      </w:r>
      <w:r w:rsidR="008645F0" w:rsidRPr="008B01F0">
        <w:rPr>
          <w:rFonts w:asciiTheme="minorHAnsi" w:hAnsiTheme="minorHAnsi" w:cstheme="minorHAnsi"/>
          <w:color w:val="000000" w:themeColor="text1"/>
          <w:sz w:val="20"/>
        </w:rPr>
        <w:t xml:space="preserve"> </w:t>
      </w:r>
      <w:hyperlink r:id="rId40" w:history="1">
        <w:r w:rsidRPr="00882AE1">
          <w:rPr>
            <w:rFonts w:asciiTheme="minorHAnsi" w:eastAsiaTheme="minorHAnsi" w:hAnsiTheme="minorHAnsi" w:cstheme="minorHAnsi"/>
            <w:i/>
            <w:iCs/>
            <w:color w:val="000000" w:themeColor="text1"/>
            <w:sz w:val="20"/>
            <w:u w:val="single"/>
            <w:lang w:eastAsia="en-US"/>
          </w:rPr>
          <w:t>New Employment Services Model Regulation Im</w:t>
        </w:r>
        <w:r w:rsidR="002A0EE3" w:rsidRPr="00882AE1">
          <w:rPr>
            <w:rFonts w:asciiTheme="minorHAnsi" w:eastAsiaTheme="minorHAnsi" w:hAnsiTheme="minorHAnsi" w:cstheme="minorHAnsi"/>
            <w:i/>
            <w:iCs/>
            <w:color w:val="000000" w:themeColor="text1"/>
            <w:sz w:val="20"/>
            <w:u w:val="single"/>
            <w:lang w:eastAsia="en-US"/>
          </w:rPr>
          <w:t>pac</w:t>
        </w:r>
        <w:r w:rsidR="008645F0" w:rsidRPr="00882AE1">
          <w:rPr>
            <w:rFonts w:asciiTheme="minorHAnsi" w:eastAsiaTheme="minorHAnsi" w:hAnsiTheme="minorHAnsi" w:cstheme="minorHAnsi"/>
            <w:i/>
            <w:iCs/>
            <w:color w:val="000000" w:themeColor="text1"/>
            <w:sz w:val="20"/>
            <w:u w:val="single"/>
            <w:lang w:eastAsia="en-US"/>
          </w:rPr>
          <w:t>t Statemen</w:t>
        </w:r>
        <w:r w:rsidR="003933E5" w:rsidRPr="00882AE1">
          <w:rPr>
            <w:rFonts w:asciiTheme="minorHAnsi" w:eastAsiaTheme="minorHAnsi" w:hAnsiTheme="minorHAnsi" w:cstheme="minorHAnsi"/>
            <w:i/>
            <w:iCs/>
            <w:color w:val="000000" w:themeColor="text1"/>
            <w:sz w:val="20"/>
            <w:u w:val="single"/>
            <w:lang w:eastAsia="en-US"/>
          </w:rPr>
          <w:t>t</w:t>
        </w:r>
        <w:r w:rsidR="00E91605" w:rsidRPr="00882AE1">
          <w:rPr>
            <w:rFonts w:asciiTheme="minorHAnsi" w:eastAsiaTheme="minorHAnsi" w:hAnsiTheme="minorHAnsi" w:cstheme="minorHAnsi"/>
            <w:color w:val="000000" w:themeColor="text1"/>
            <w:sz w:val="20"/>
            <w:lang w:eastAsia="en-US"/>
          </w:rPr>
          <w:t xml:space="preserve">, </w:t>
        </w:r>
      </w:hyperlink>
      <w:r w:rsidR="00E91605" w:rsidRPr="008B01F0">
        <w:rPr>
          <w:rFonts w:asciiTheme="minorHAnsi" w:eastAsiaTheme="minorHAnsi" w:hAnsiTheme="minorHAnsi" w:cstheme="minorHAnsi"/>
          <w:color w:val="000000" w:themeColor="text1"/>
          <w:sz w:val="20"/>
          <w:lang w:eastAsia="en-US"/>
        </w:rPr>
        <w:t xml:space="preserve">Office of </w:t>
      </w:r>
      <w:r w:rsidR="00470E6B">
        <w:rPr>
          <w:rFonts w:asciiTheme="minorHAnsi" w:eastAsiaTheme="minorHAnsi" w:hAnsiTheme="minorHAnsi" w:cstheme="minorHAnsi"/>
          <w:color w:val="000000" w:themeColor="text1"/>
          <w:sz w:val="20"/>
          <w:lang w:eastAsia="en-US"/>
        </w:rPr>
        <w:t>I</w:t>
      </w:r>
      <w:r w:rsidR="00E91605" w:rsidRPr="008B01F0">
        <w:rPr>
          <w:rFonts w:asciiTheme="minorHAnsi" w:eastAsiaTheme="minorHAnsi" w:hAnsiTheme="minorHAnsi" w:cstheme="minorHAnsi"/>
          <w:color w:val="000000" w:themeColor="text1"/>
          <w:sz w:val="20"/>
          <w:lang w:eastAsia="en-US"/>
        </w:rPr>
        <w:t>mpact Analysis</w:t>
      </w:r>
      <w:r w:rsidR="003933E5" w:rsidRPr="008B01F0">
        <w:rPr>
          <w:rFonts w:asciiTheme="minorHAnsi" w:eastAsiaTheme="minorHAnsi" w:hAnsiTheme="minorHAnsi" w:cstheme="minorHAnsi"/>
          <w:color w:val="000000" w:themeColor="text1"/>
          <w:sz w:val="20"/>
          <w:lang w:eastAsia="en-US"/>
        </w:rPr>
        <w:t>,</w:t>
      </w:r>
      <w:r w:rsidR="00E91605" w:rsidRPr="008B01F0">
        <w:rPr>
          <w:rFonts w:asciiTheme="minorHAnsi" w:eastAsiaTheme="minorHAnsi" w:hAnsiTheme="minorHAnsi" w:cstheme="minorHAnsi"/>
          <w:color w:val="000000" w:themeColor="text1"/>
          <w:sz w:val="20"/>
          <w:lang w:eastAsia="en-US"/>
        </w:rPr>
        <w:t xml:space="preserve"> </w:t>
      </w:r>
      <w:r w:rsidR="00995A7E">
        <w:rPr>
          <w:rFonts w:asciiTheme="minorHAnsi" w:eastAsiaTheme="minorHAnsi" w:hAnsiTheme="minorHAnsi" w:cstheme="minorHAnsi"/>
          <w:color w:val="000000" w:themeColor="text1"/>
          <w:sz w:val="20"/>
          <w:lang w:eastAsia="en-US"/>
        </w:rPr>
        <w:t xml:space="preserve">Australian Government </w:t>
      </w:r>
      <w:r w:rsidR="00AC0DED">
        <w:rPr>
          <w:rFonts w:asciiTheme="minorHAnsi" w:eastAsiaTheme="minorHAnsi" w:hAnsiTheme="minorHAnsi" w:cstheme="minorHAnsi"/>
          <w:color w:val="000000" w:themeColor="text1"/>
          <w:sz w:val="20"/>
          <w:lang w:eastAsia="en-US"/>
        </w:rPr>
        <w:t>(</w:t>
      </w:r>
      <w:r w:rsidR="00E91605" w:rsidRPr="008B01F0">
        <w:rPr>
          <w:rFonts w:asciiTheme="minorHAnsi" w:eastAsiaTheme="minorHAnsi" w:hAnsiTheme="minorHAnsi" w:cstheme="minorHAnsi"/>
          <w:color w:val="000000" w:themeColor="text1"/>
          <w:sz w:val="20"/>
          <w:lang w:eastAsia="en-US"/>
        </w:rPr>
        <w:t>pmc.gov.au</w:t>
      </w:r>
      <w:r w:rsidR="00AC0DED">
        <w:rPr>
          <w:rFonts w:asciiTheme="minorHAnsi" w:eastAsiaTheme="minorHAnsi" w:hAnsiTheme="minorHAnsi" w:cstheme="minorHAnsi"/>
          <w:color w:val="000000" w:themeColor="text1"/>
          <w:sz w:val="20"/>
          <w:lang w:eastAsia="en-US"/>
        </w:rPr>
        <w:t>)</w:t>
      </w:r>
      <w:r w:rsidR="00E91605" w:rsidRPr="008B01F0">
        <w:rPr>
          <w:rFonts w:asciiTheme="minorHAnsi" w:eastAsiaTheme="minorHAnsi" w:hAnsiTheme="minorHAnsi" w:cstheme="minorHAnsi"/>
          <w:color w:val="000000" w:themeColor="text1"/>
          <w:sz w:val="20"/>
          <w:lang w:eastAsia="en-US"/>
        </w:rPr>
        <w:t xml:space="preserve"> accessed 10 Oc</w:t>
      </w:r>
      <w:r w:rsidR="003933E5" w:rsidRPr="008B01F0">
        <w:rPr>
          <w:rFonts w:asciiTheme="minorHAnsi" w:eastAsiaTheme="minorHAnsi" w:hAnsiTheme="minorHAnsi" w:cstheme="minorHAnsi"/>
          <w:color w:val="000000" w:themeColor="text1"/>
          <w:sz w:val="20"/>
          <w:lang w:eastAsia="en-US"/>
        </w:rPr>
        <w:t>t</w:t>
      </w:r>
      <w:r w:rsidR="00E91605" w:rsidRPr="008B01F0">
        <w:rPr>
          <w:rFonts w:asciiTheme="minorHAnsi" w:eastAsiaTheme="minorHAnsi" w:hAnsiTheme="minorHAnsi" w:cstheme="minorHAnsi"/>
          <w:color w:val="000000" w:themeColor="text1"/>
          <w:sz w:val="20"/>
          <w:lang w:eastAsia="en-US"/>
        </w:rPr>
        <w: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49E0" w14:textId="77777777" w:rsidR="0087233A" w:rsidRDefault="0087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862C" w14:textId="77777777" w:rsidR="0087233A" w:rsidRDefault="0087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387D" w14:textId="77777777" w:rsidR="0087233A" w:rsidRDefault="008723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92C3" w14:textId="0B78A08F" w:rsidR="00FA574B" w:rsidRDefault="00813DC3">
    <w:pPr>
      <w:pStyle w:val="Header"/>
    </w:pPr>
    <w:r>
      <w:rPr>
        <w:noProof/>
        <w:lang w:eastAsia="en-AU"/>
      </w:rPr>
      <mc:AlternateContent>
        <mc:Choice Requires="wps">
          <w:drawing>
            <wp:anchor distT="0" distB="0" distL="0" distR="0" simplePos="0" relativeHeight="251658245" behindDoc="0" locked="0" layoutInCell="1" allowOverlap="1" wp14:anchorId="2DB436F0" wp14:editId="53B12F67">
              <wp:simplePos x="635" y="635"/>
              <wp:positionH relativeFrom="page">
                <wp:align>center</wp:align>
              </wp:positionH>
              <wp:positionV relativeFrom="page">
                <wp:align>top</wp:align>
              </wp:positionV>
              <wp:extent cx="443865" cy="443865"/>
              <wp:effectExtent l="0" t="0" r="10160" b="8255"/>
              <wp:wrapNone/>
              <wp:docPr id="161791670" name="Text Box 161791670" descr="PROTECTED//CABINET">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A7BC3" w14:textId="48EACE6B" w:rsidR="00813DC3" w:rsidRPr="00813DC3" w:rsidRDefault="00813DC3" w:rsidP="00813DC3">
                          <w:pPr>
                            <w:spacing w:after="0"/>
                            <w:rPr>
                              <w:rFonts w:ascii="Arial" w:eastAsia="Arial" w:hAnsi="Arial" w:cs="Arial"/>
                              <w:noProof/>
                              <w:color w:val="FF0000"/>
                              <w:sz w:val="24"/>
                              <w:szCs w:val="24"/>
                            </w:rPr>
                          </w:pPr>
                          <w:r w:rsidRPr="00813DC3">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790D6F2D">
            <v:shapetype id="_x0000_t202" coordsize="21600,21600" o:spt="202" path="m,l,21600r21600,l21600,xe" w14:anchorId="2DB436F0">
              <v:stroke joinstyle="miter"/>
              <v:path gradientshapeok="t" o:connecttype="rect"/>
            </v:shapetype>
            <v:shape id="Text Box 161791670"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alt="PROTECTED//CABINE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813DC3" w:rsidR="00813DC3" w:rsidP="00813DC3" w:rsidRDefault="00813DC3" w14:paraId="6A312328" w14:textId="48EACE6B">
                    <w:pPr>
                      <w:spacing w:after="0"/>
                      <w:rPr>
                        <w:rFonts w:ascii="Arial" w:hAnsi="Arial" w:eastAsia="Arial" w:cs="Arial"/>
                        <w:noProof/>
                        <w:color w:val="FF0000"/>
                        <w:sz w:val="24"/>
                        <w:szCs w:val="24"/>
                      </w:rPr>
                    </w:pPr>
                    <w:r w:rsidRPr="00813DC3">
                      <w:rPr>
                        <w:rFonts w:ascii="Arial" w:hAnsi="Arial" w:eastAsia="Arial" w:cs="Arial"/>
                        <w:noProof/>
                        <w:color w:val="FF0000"/>
                        <w:sz w:val="24"/>
                        <w:szCs w:val="24"/>
                      </w:rPr>
                      <w:t>PROTECTED//CABINET</w:t>
                    </w:r>
                  </w:p>
                </w:txbxContent>
              </v:textbox>
              <w10:wrap anchorx="page" anchory="page"/>
            </v:shape>
          </w:pict>
        </mc:Fallback>
      </mc:AlternateContent>
    </w:r>
    <w:r w:rsidR="004A1685">
      <w:rPr>
        <w:noProof/>
        <w:lang w:eastAsia="en-AU"/>
      </w:rPr>
      <mc:AlternateContent>
        <mc:Choice Requires="wps">
          <w:drawing>
            <wp:anchor distT="0" distB="0" distL="0" distR="0" simplePos="0" relativeHeight="251658241" behindDoc="0" locked="0" layoutInCell="1" allowOverlap="1" wp14:anchorId="789448F6" wp14:editId="2285557C">
              <wp:simplePos x="0" y="0"/>
              <wp:positionH relativeFrom="page">
                <wp:align>center</wp:align>
              </wp:positionH>
              <wp:positionV relativeFrom="page">
                <wp:align>top</wp:align>
              </wp:positionV>
              <wp:extent cx="443865" cy="443865"/>
              <wp:effectExtent l="0" t="0" r="0" b="0"/>
              <wp:wrapNone/>
              <wp:docPr id="872471328" name="Text Box 872471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4B24BCC" w14:textId="2712B5F7" w:rsidR="00FA574B" w:rsidRPr="00FA574B" w:rsidRDefault="00FA574B" w:rsidP="00FA574B">
                          <w:pPr>
                            <w:spacing w:after="0"/>
                            <w:rPr>
                              <w:rFonts w:ascii="Arial" w:eastAsia="Arial" w:hAnsi="Arial" w:cs="Arial"/>
                              <w:noProof/>
                              <w:color w:val="FF0000"/>
                              <w:sz w:val="24"/>
                              <w:szCs w:val="24"/>
                            </w:rPr>
                          </w:pPr>
                          <w:r w:rsidRPr="00FA574B">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2C458D72">
            <v:shape id="Text Box 872471328"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w14:anchorId="789448F6">
              <v:textbox style="mso-fit-shape-to-text:t" inset="0,15pt,0,0">
                <w:txbxContent>
                  <w:p w:rsidRPr="00FA574B" w:rsidR="00FA574B" w:rsidP="00FA574B" w:rsidRDefault="00FA574B" w14:paraId="2A236F6B" w14:textId="2712B5F7">
                    <w:pPr>
                      <w:spacing w:after="0"/>
                      <w:rPr>
                        <w:rFonts w:ascii="Arial" w:hAnsi="Arial" w:eastAsia="Arial" w:cs="Arial"/>
                        <w:noProof/>
                        <w:color w:val="FF0000"/>
                        <w:sz w:val="24"/>
                        <w:szCs w:val="24"/>
                      </w:rPr>
                    </w:pPr>
                    <w:r w:rsidRPr="00FA574B">
                      <w:rPr>
                        <w:rFonts w:ascii="Arial" w:hAnsi="Arial" w:eastAsia="Arial" w:cs="Arial"/>
                        <w:noProof/>
                        <w:color w:val="FF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A351" w14:textId="02B26FCF" w:rsidR="00EA67FC" w:rsidRPr="0099126C" w:rsidRDefault="00EA67FC" w:rsidP="009912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BE24" w14:textId="206FFEF2" w:rsidR="00FA574B" w:rsidRDefault="00813DC3">
    <w:pPr>
      <w:pStyle w:val="Header"/>
    </w:pPr>
    <w:r>
      <w:rPr>
        <w:noProof/>
        <w:lang w:eastAsia="en-AU"/>
      </w:rPr>
      <mc:AlternateContent>
        <mc:Choice Requires="wps">
          <w:drawing>
            <wp:anchor distT="0" distB="0" distL="0" distR="0" simplePos="0" relativeHeight="251658244" behindDoc="0" locked="0" layoutInCell="1" allowOverlap="1" wp14:anchorId="03943DD8" wp14:editId="4C32FF2B">
              <wp:simplePos x="635" y="635"/>
              <wp:positionH relativeFrom="page">
                <wp:align>center</wp:align>
              </wp:positionH>
              <wp:positionV relativeFrom="page">
                <wp:align>top</wp:align>
              </wp:positionV>
              <wp:extent cx="443865" cy="443865"/>
              <wp:effectExtent l="0" t="0" r="10160" b="8255"/>
              <wp:wrapNone/>
              <wp:docPr id="1653948168" name="Text Box 1653948168" descr="PROTECTED//CABINET">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E0FBB" w14:textId="153E6FC6" w:rsidR="00813DC3" w:rsidRPr="00813DC3" w:rsidRDefault="00813DC3" w:rsidP="00813DC3">
                          <w:pPr>
                            <w:spacing w:after="0"/>
                            <w:rPr>
                              <w:rFonts w:ascii="Arial" w:eastAsia="Arial" w:hAnsi="Arial" w:cs="Arial"/>
                              <w:noProof/>
                              <w:color w:val="FF0000"/>
                              <w:sz w:val="24"/>
                              <w:szCs w:val="24"/>
                            </w:rPr>
                          </w:pPr>
                          <w:r w:rsidRPr="00813DC3">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7C49082C">
            <v:shapetype id="_x0000_t202" coordsize="21600,21600" o:spt="202" path="m,l,21600r21600,l21600,xe" w14:anchorId="03943DD8">
              <v:stroke joinstyle="miter"/>
              <v:path gradientshapeok="t" o:connecttype="rect"/>
            </v:shapetype>
            <v:shape id="Text Box 1653948168"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alt="PROTECTED//CABINE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813DC3" w:rsidR="00813DC3" w:rsidP="00813DC3" w:rsidRDefault="00813DC3" w14:paraId="23336A96" w14:textId="153E6FC6">
                    <w:pPr>
                      <w:spacing w:after="0"/>
                      <w:rPr>
                        <w:rFonts w:ascii="Arial" w:hAnsi="Arial" w:eastAsia="Arial" w:cs="Arial"/>
                        <w:noProof/>
                        <w:color w:val="FF0000"/>
                        <w:sz w:val="24"/>
                        <w:szCs w:val="24"/>
                      </w:rPr>
                    </w:pPr>
                    <w:r w:rsidRPr="00813DC3">
                      <w:rPr>
                        <w:rFonts w:ascii="Arial" w:hAnsi="Arial" w:eastAsia="Arial" w:cs="Arial"/>
                        <w:noProof/>
                        <w:color w:val="FF0000"/>
                        <w:sz w:val="24"/>
                        <w:szCs w:val="24"/>
                      </w:rPr>
                      <w:t>PROTECTED//CABINET</w:t>
                    </w:r>
                  </w:p>
                </w:txbxContent>
              </v:textbox>
              <w10:wrap anchorx="page" anchory="page"/>
            </v:shape>
          </w:pict>
        </mc:Fallback>
      </mc:AlternateContent>
    </w:r>
    <w:r w:rsidR="004A1685">
      <w:rPr>
        <w:noProof/>
        <w:lang w:eastAsia="en-AU"/>
      </w:rPr>
      <mc:AlternateContent>
        <mc:Choice Requires="wps">
          <w:drawing>
            <wp:anchor distT="0" distB="0" distL="0" distR="0" simplePos="0" relativeHeight="251658240" behindDoc="0" locked="0" layoutInCell="1" allowOverlap="1" wp14:anchorId="7170C41C" wp14:editId="18F24D1F">
              <wp:simplePos x="0" y="0"/>
              <wp:positionH relativeFrom="page">
                <wp:align>center</wp:align>
              </wp:positionH>
              <wp:positionV relativeFrom="page">
                <wp:align>top</wp:align>
              </wp:positionV>
              <wp:extent cx="443865" cy="443865"/>
              <wp:effectExtent l="0" t="0" r="0" b="0"/>
              <wp:wrapNone/>
              <wp:docPr id="1740131420" name="Text Box 174013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8273A2D" w14:textId="23EF9E46" w:rsidR="00FA574B" w:rsidRPr="00FA574B" w:rsidRDefault="00FA574B" w:rsidP="00FA574B">
                          <w:pPr>
                            <w:spacing w:after="0"/>
                            <w:rPr>
                              <w:rFonts w:ascii="Arial" w:eastAsia="Arial" w:hAnsi="Arial" w:cs="Arial"/>
                              <w:noProof/>
                              <w:color w:val="FF0000"/>
                              <w:sz w:val="24"/>
                              <w:szCs w:val="24"/>
                            </w:rPr>
                          </w:pPr>
                          <w:r w:rsidRPr="00FA574B">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196B3B54">
            <v:shape id="Text Box 1740131420"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z7hv&#10;DhcCAAA1BAAADgAAAAAAAAAAAAAAAAAuAgAAZHJzL2Uyb0RvYy54bWxQSwECLQAUAAYACAAAACEA&#10;1B4NR9gAAAADAQAADwAAAAAAAAAAAAAAAABxBAAAZHJzL2Rvd25yZXYueG1sUEsFBgAAAAAEAAQA&#10;8wAAAHYFAAAAAA==&#10;" w14:anchorId="7170C41C">
              <v:textbox style="mso-fit-shape-to-text:t" inset="0,15pt,0,0">
                <w:txbxContent>
                  <w:p w:rsidRPr="00FA574B" w:rsidR="00FA574B" w:rsidP="00FA574B" w:rsidRDefault="00FA574B" w14:paraId="19983DBB" w14:textId="23EF9E46">
                    <w:pPr>
                      <w:spacing w:after="0"/>
                      <w:rPr>
                        <w:rFonts w:ascii="Arial" w:hAnsi="Arial" w:eastAsia="Arial" w:cs="Arial"/>
                        <w:noProof/>
                        <w:color w:val="FF0000"/>
                        <w:sz w:val="24"/>
                        <w:szCs w:val="24"/>
                      </w:rPr>
                    </w:pPr>
                    <w:r w:rsidRPr="00FA574B">
                      <w:rPr>
                        <w:rFonts w:ascii="Arial" w:hAnsi="Arial" w:eastAsia="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420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9C0218"/>
    <w:multiLevelType w:val="hybridMultilevel"/>
    <w:tmpl w:val="154A4076"/>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7"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1868C3"/>
    <w:multiLevelType w:val="hybridMultilevel"/>
    <w:tmpl w:val="7862E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12526D"/>
    <w:multiLevelType w:val="hybridMultilevel"/>
    <w:tmpl w:val="EF5C3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3878C7"/>
    <w:multiLevelType w:val="multilevel"/>
    <w:tmpl w:val="CBE6B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96C7FF6"/>
    <w:multiLevelType w:val="hybridMultilevel"/>
    <w:tmpl w:val="223CA74C"/>
    <w:lvl w:ilvl="0" w:tplc="79B4897A">
      <w:start w:val="1"/>
      <w:numFmt w:val="decimal"/>
      <w:pStyle w:val="BOXNumberedList"/>
      <w:lvlText w:val="%1."/>
      <w:lvlJc w:val="left"/>
      <w:pPr>
        <w:ind w:left="840" w:hanging="360"/>
      </w:pPr>
      <w:rPr>
        <w:rFonts w:hint="default"/>
      </w:r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3" w15:restartNumberingAfterBreak="0">
    <w:nsid w:val="5ED01AA1"/>
    <w:multiLevelType w:val="hybridMultilevel"/>
    <w:tmpl w:val="73E800A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5F8B130F"/>
    <w:multiLevelType w:val="hybridMultilevel"/>
    <w:tmpl w:val="9AC4D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E02208"/>
    <w:multiLevelType w:val="hybridMultilevel"/>
    <w:tmpl w:val="74125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2"/>
  </w:num>
  <w:num w:numId="7">
    <w:abstractNumId w:val="16"/>
  </w:num>
  <w:num w:numId="8">
    <w:abstractNumId w:val="6"/>
  </w:num>
  <w:num w:numId="9">
    <w:abstractNumId w:val="13"/>
  </w:num>
  <w:num w:numId="10">
    <w:abstractNumId w:val="1"/>
  </w:num>
  <w:num w:numId="11">
    <w:abstractNumId w:val="11"/>
  </w:num>
  <w:num w:numId="12">
    <w:abstractNumId w:val="8"/>
  </w:num>
  <w:num w:numId="13">
    <w:abstractNumId w:val="10"/>
  </w:num>
  <w:num w:numId="14">
    <w:abstractNumId w:val="14"/>
  </w:num>
  <w:num w:numId="15">
    <w:abstractNumId w:val="15"/>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7E"/>
    <w:rsid w:val="000002D9"/>
    <w:rsid w:val="000007F9"/>
    <w:rsid w:val="000008F0"/>
    <w:rsid w:val="00000C58"/>
    <w:rsid w:val="00000C96"/>
    <w:rsid w:val="000013ED"/>
    <w:rsid w:val="000014DA"/>
    <w:rsid w:val="000015EB"/>
    <w:rsid w:val="00001AFF"/>
    <w:rsid w:val="00002185"/>
    <w:rsid w:val="000021EF"/>
    <w:rsid w:val="000022FB"/>
    <w:rsid w:val="0000296E"/>
    <w:rsid w:val="00002E78"/>
    <w:rsid w:val="0000305C"/>
    <w:rsid w:val="000030B3"/>
    <w:rsid w:val="000032DC"/>
    <w:rsid w:val="000038DB"/>
    <w:rsid w:val="000040BA"/>
    <w:rsid w:val="00004779"/>
    <w:rsid w:val="000048CC"/>
    <w:rsid w:val="000050AF"/>
    <w:rsid w:val="00005E04"/>
    <w:rsid w:val="00006128"/>
    <w:rsid w:val="000062DB"/>
    <w:rsid w:val="00006889"/>
    <w:rsid w:val="00006F7B"/>
    <w:rsid w:val="00006FAC"/>
    <w:rsid w:val="00007633"/>
    <w:rsid w:val="00007CA2"/>
    <w:rsid w:val="0001066C"/>
    <w:rsid w:val="000107BA"/>
    <w:rsid w:val="00010C95"/>
    <w:rsid w:val="00011F21"/>
    <w:rsid w:val="00011F28"/>
    <w:rsid w:val="0001222D"/>
    <w:rsid w:val="00012495"/>
    <w:rsid w:val="000130AA"/>
    <w:rsid w:val="00013199"/>
    <w:rsid w:val="0001384D"/>
    <w:rsid w:val="00014875"/>
    <w:rsid w:val="000164D8"/>
    <w:rsid w:val="000165DE"/>
    <w:rsid w:val="0001673D"/>
    <w:rsid w:val="000169CC"/>
    <w:rsid w:val="00017018"/>
    <w:rsid w:val="000173D3"/>
    <w:rsid w:val="00017B31"/>
    <w:rsid w:val="000204F4"/>
    <w:rsid w:val="0002067F"/>
    <w:rsid w:val="00020F7D"/>
    <w:rsid w:val="00021C5D"/>
    <w:rsid w:val="00021D49"/>
    <w:rsid w:val="00022083"/>
    <w:rsid w:val="000224F5"/>
    <w:rsid w:val="000228FE"/>
    <w:rsid w:val="00023656"/>
    <w:rsid w:val="00023664"/>
    <w:rsid w:val="00024CC3"/>
    <w:rsid w:val="00024CC8"/>
    <w:rsid w:val="00025119"/>
    <w:rsid w:val="000255FA"/>
    <w:rsid w:val="00025A55"/>
    <w:rsid w:val="0002646C"/>
    <w:rsid w:val="00026523"/>
    <w:rsid w:val="00026B41"/>
    <w:rsid w:val="000271AC"/>
    <w:rsid w:val="00027497"/>
    <w:rsid w:val="00027522"/>
    <w:rsid w:val="00030396"/>
    <w:rsid w:val="00030C10"/>
    <w:rsid w:val="00030DE6"/>
    <w:rsid w:val="00031985"/>
    <w:rsid w:val="00031A24"/>
    <w:rsid w:val="00032364"/>
    <w:rsid w:val="000331FD"/>
    <w:rsid w:val="00033AF4"/>
    <w:rsid w:val="00033B55"/>
    <w:rsid w:val="0003411F"/>
    <w:rsid w:val="0003488C"/>
    <w:rsid w:val="00034CD6"/>
    <w:rsid w:val="00034D01"/>
    <w:rsid w:val="000368C8"/>
    <w:rsid w:val="00036C6F"/>
    <w:rsid w:val="00036C9A"/>
    <w:rsid w:val="00037F62"/>
    <w:rsid w:val="0003D1B9"/>
    <w:rsid w:val="00040256"/>
    <w:rsid w:val="0004038F"/>
    <w:rsid w:val="00040806"/>
    <w:rsid w:val="000408B5"/>
    <w:rsid w:val="00040994"/>
    <w:rsid w:val="00040E96"/>
    <w:rsid w:val="00040EDA"/>
    <w:rsid w:val="0004127D"/>
    <w:rsid w:val="00041AB1"/>
    <w:rsid w:val="00041CD6"/>
    <w:rsid w:val="00042B23"/>
    <w:rsid w:val="00042F4E"/>
    <w:rsid w:val="0004331F"/>
    <w:rsid w:val="000435E1"/>
    <w:rsid w:val="00043990"/>
    <w:rsid w:val="00043CC2"/>
    <w:rsid w:val="00043DF8"/>
    <w:rsid w:val="00044F3F"/>
    <w:rsid w:val="00045B16"/>
    <w:rsid w:val="000460BA"/>
    <w:rsid w:val="000463C8"/>
    <w:rsid w:val="00046B95"/>
    <w:rsid w:val="00046CC8"/>
    <w:rsid w:val="00046FDB"/>
    <w:rsid w:val="0004754E"/>
    <w:rsid w:val="00047EED"/>
    <w:rsid w:val="00050B5B"/>
    <w:rsid w:val="00050FDA"/>
    <w:rsid w:val="0005130E"/>
    <w:rsid w:val="000513FE"/>
    <w:rsid w:val="00051848"/>
    <w:rsid w:val="000519C5"/>
    <w:rsid w:val="00051B34"/>
    <w:rsid w:val="00051F03"/>
    <w:rsid w:val="00052355"/>
    <w:rsid w:val="0005263C"/>
    <w:rsid w:val="000527DD"/>
    <w:rsid w:val="00052849"/>
    <w:rsid w:val="00052BBC"/>
    <w:rsid w:val="00052E49"/>
    <w:rsid w:val="000530FF"/>
    <w:rsid w:val="00053862"/>
    <w:rsid w:val="0005393E"/>
    <w:rsid w:val="0005416A"/>
    <w:rsid w:val="000544B0"/>
    <w:rsid w:val="00054E6B"/>
    <w:rsid w:val="00054EEC"/>
    <w:rsid w:val="0005521A"/>
    <w:rsid w:val="000555EE"/>
    <w:rsid w:val="00055AD5"/>
    <w:rsid w:val="00055B69"/>
    <w:rsid w:val="00055E66"/>
    <w:rsid w:val="00056A37"/>
    <w:rsid w:val="00056F08"/>
    <w:rsid w:val="000573A5"/>
    <w:rsid w:val="00057444"/>
    <w:rsid w:val="00057D8C"/>
    <w:rsid w:val="0006043F"/>
    <w:rsid w:val="00060C56"/>
    <w:rsid w:val="00060CB2"/>
    <w:rsid w:val="00060D6F"/>
    <w:rsid w:val="00060DEA"/>
    <w:rsid w:val="00060FE1"/>
    <w:rsid w:val="00061530"/>
    <w:rsid w:val="00061E04"/>
    <w:rsid w:val="0006223D"/>
    <w:rsid w:val="00062D12"/>
    <w:rsid w:val="00062E85"/>
    <w:rsid w:val="00063B8D"/>
    <w:rsid w:val="00063E41"/>
    <w:rsid w:val="00063EEA"/>
    <w:rsid w:val="00064714"/>
    <w:rsid w:val="00064907"/>
    <w:rsid w:val="00064C80"/>
    <w:rsid w:val="00064F46"/>
    <w:rsid w:val="000653B2"/>
    <w:rsid w:val="00065993"/>
    <w:rsid w:val="00065C49"/>
    <w:rsid w:val="00065D79"/>
    <w:rsid w:val="00065EB3"/>
    <w:rsid w:val="0006619E"/>
    <w:rsid w:val="0006628B"/>
    <w:rsid w:val="0006698B"/>
    <w:rsid w:val="00066A75"/>
    <w:rsid w:val="00066D2F"/>
    <w:rsid w:val="00067076"/>
    <w:rsid w:val="0006707A"/>
    <w:rsid w:val="00067593"/>
    <w:rsid w:val="0007005A"/>
    <w:rsid w:val="00070DCA"/>
    <w:rsid w:val="00071031"/>
    <w:rsid w:val="00071170"/>
    <w:rsid w:val="000715D2"/>
    <w:rsid w:val="000716F8"/>
    <w:rsid w:val="00071792"/>
    <w:rsid w:val="00071CB6"/>
    <w:rsid w:val="000725B7"/>
    <w:rsid w:val="00072707"/>
    <w:rsid w:val="000729CE"/>
    <w:rsid w:val="00072AF3"/>
    <w:rsid w:val="00072C6E"/>
    <w:rsid w:val="000730AA"/>
    <w:rsid w:val="000730D6"/>
    <w:rsid w:val="0007311F"/>
    <w:rsid w:val="00073C87"/>
    <w:rsid w:val="00073D47"/>
    <w:rsid w:val="00074839"/>
    <w:rsid w:val="00074A5A"/>
    <w:rsid w:val="00074B28"/>
    <w:rsid w:val="00074D54"/>
    <w:rsid w:val="00074DA2"/>
    <w:rsid w:val="00075596"/>
    <w:rsid w:val="00075D32"/>
    <w:rsid w:val="0007644E"/>
    <w:rsid w:val="00076702"/>
    <w:rsid w:val="00077095"/>
    <w:rsid w:val="00077537"/>
    <w:rsid w:val="00077777"/>
    <w:rsid w:val="00077C07"/>
    <w:rsid w:val="00080668"/>
    <w:rsid w:val="00080B4A"/>
    <w:rsid w:val="000810C4"/>
    <w:rsid w:val="00081526"/>
    <w:rsid w:val="0008183D"/>
    <w:rsid w:val="00082556"/>
    <w:rsid w:val="00083084"/>
    <w:rsid w:val="0008326F"/>
    <w:rsid w:val="000849D7"/>
    <w:rsid w:val="00084B09"/>
    <w:rsid w:val="00084FBB"/>
    <w:rsid w:val="0008513D"/>
    <w:rsid w:val="0008588A"/>
    <w:rsid w:val="00085D9E"/>
    <w:rsid w:val="00086230"/>
    <w:rsid w:val="00086D5D"/>
    <w:rsid w:val="00086F2D"/>
    <w:rsid w:val="00087401"/>
    <w:rsid w:val="00087A6D"/>
    <w:rsid w:val="000903C2"/>
    <w:rsid w:val="00090464"/>
    <w:rsid w:val="00090526"/>
    <w:rsid w:val="000909F5"/>
    <w:rsid w:val="00090B94"/>
    <w:rsid w:val="00090BC0"/>
    <w:rsid w:val="0009177B"/>
    <w:rsid w:val="00091A9B"/>
    <w:rsid w:val="00091C25"/>
    <w:rsid w:val="00091C96"/>
    <w:rsid w:val="00091EE8"/>
    <w:rsid w:val="000926C9"/>
    <w:rsid w:val="00092A12"/>
    <w:rsid w:val="00092C80"/>
    <w:rsid w:val="00093F1A"/>
    <w:rsid w:val="00094161"/>
    <w:rsid w:val="0009425D"/>
    <w:rsid w:val="000945F8"/>
    <w:rsid w:val="00095559"/>
    <w:rsid w:val="00095B1D"/>
    <w:rsid w:val="00095D79"/>
    <w:rsid w:val="00095D9B"/>
    <w:rsid w:val="00096F52"/>
    <w:rsid w:val="00096F65"/>
    <w:rsid w:val="0009760F"/>
    <w:rsid w:val="00097889"/>
    <w:rsid w:val="000978A2"/>
    <w:rsid w:val="0009794E"/>
    <w:rsid w:val="00097F9E"/>
    <w:rsid w:val="000A0477"/>
    <w:rsid w:val="000A0A39"/>
    <w:rsid w:val="000A0CBA"/>
    <w:rsid w:val="000A106F"/>
    <w:rsid w:val="000A136C"/>
    <w:rsid w:val="000A191D"/>
    <w:rsid w:val="000A2017"/>
    <w:rsid w:val="000A2CDB"/>
    <w:rsid w:val="000A2F64"/>
    <w:rsid w:val="000A2F9D"/>
    <w:rsid w:val="000A40EB"/>
    <w:rsid w:val="000A411F"/>
    <w:rsid w:val="000A453D"/>
    <w:rsid w:val="000A4CC0"/>
    <w:rsid w:val="000A4CF1"/>
    <w:rsid w:val="000A4DCA"/>
    <w:rsid w:val="000A51B7"/>
    <w:rsid w:val="000A51DB"/>
    <w:rsid w:val="000A6723"/>
    <w:rsid w:val="000A6A17"/>
    <w:rsid w:val="000A6B6C"/>
    <w:rsid w:val="000A7172"/>
    <w:rsid w:val="000A72F9"/>
    <w:rsid w:val="000A760F"/>
    <w:rsid w:val="000A76C4"/>
    <w:rsid w:val="000A7C4F"/>
    <w:rsid w:val="000B0356"/>
    <w:rsid w:val="000B04F9"/>
    <w:rsid w:val="000B0A42"/>
    <w:rsid w:val="000B14D6"/>
    <w:rsid w:val="000B195F"/>
    <w:rsid w:val="000B2380"/>
    <w:rsid w:val="000B254B"/>
    <w:rsid w:val="000B2AAD"/>
    <w:rsid w:val="000B2C0C"/>
    <w:rsid w:val="000B3117"/>
    <w:rsid w:val="000B4A8B"/>
    <w:rsid w:val="000B4D41"/>
    <w:rsid w:val="000B4F2A"/>
    <w:rsid w:val="000B5170"/>
    <w:rsid w:val="000B52F4"/>
    <w:rsid w:val="000B57FF"/>
    <w:rsid w:val="000B60C2"/>
    <w:rsid w:val="000B6CBD"/>
    <w:rsid w:val="000B6D56"/>
    <w:rsid w:val="000B6EAB"/>
    <w:rsid w:val="000B7CE6"/>
    <w:rsid w:val="000C06FF"/>
    <w:rsid w:val="000C1ED7"/>
    <w:rsid w:val="000C2053"/>
    <w:rsid w:val="000C274A"/>
    <w:rsid w:val="000C2799"/>
    <w:rsid w:val="000C296F"/>
    <w:rsid w:val="000C4124"/>
    <w:rsid w:val="000C4334"/>
    <w:rsid w:val="000C48E2"/>
    <w:rsid w:val="000C4B7A"/>
    <w:rsid w:val="000C5000"/>
    <w:rsid w:val="000C51AE"/>
    <w:rsid w:val="000C58BD"/>
    <w:rsid w:val="000C5B3B"/>
    <w:rsid w:val="000C5F48"/>
    <w:rsid w:val="000C63F4"/>
    <w:rsid w:val="000C649C"/>
    <w:rsid w:val="000C662E"/>
    <w:rsid w:val="000C6874"/>
    <w:rsid w:val="000C7625"/>
    <w:rsid w:val="000C76B4"/>
    <w:rsid w:val="000C77A5"/>
    <w:rsid w:val="000D0204"/>
    <w:rsid w:val="000D02C5"/>
    <w:rsid w:val="000D061F"/>
    <w:rsid w:val="000D07F0"/>
    <w:rsid w:val="000D0A87"/>
    <w:rsid w:val="000D157D"/>
    <w:rsid w:val="000D19B5"/>
    <w:rsid w:val="000D19D8"/>
    <w:rsid w:val="000D1AAA"/>
    <w:rsid w:val="000D1CB1"/>
    <w:rsid w:val="000D2600"/>
    <w:rsid w:val="000D2BC7"/>
    <w:rsid w:val="000D2E8A"/>
    <w:rsid w:val="000D2FC5"/>
    <w:rsid w:val="000D37FD"/>
    <w:rsid w:val="000D37FF"/>
    <w:rsid w:val="000D38A2"/>
    <w:rsid w:val="000D4001"/>
    <w:rsid w:val="000D5425"/>
    <w:rsid w:val="000D5F94"/>
    <w:rsid w:val="000D60C6"/>
    <w:rsid w:val="000D61E3"/>
    <w:rsid w:val="000D6337"/>
    <w:rsid w:val="000D711F"/>
    <w:rsid w:val="000D7638"/>
    <w:rsid w:val="000D7AC9"/>
    <w:rsid w:val="000D7AFE"/>
    <w:rsid w:val="000D7F14"/>
    <w:rsid w:val="000D7F43"/>
    <w:rsid w:val="000E0515"/>
    <w:rsid w:val="000E05FA"/>
    <w:rsid w:val="000E0893"/>
    <w:rsid w:val="000E092F"/>
    <w:rsid w:val="000E0CD0"/>
    <w:rsid w:val="000E151D"/>
    <w:rsid w:val="000E1DD8"/>
    <w:rsid w:val="000E1EA5"/>
    <w:rsid w:val="000E26B3"/>
    <w:rsid w:val="000E2D52"/>
    <w:rsid w:val="000E375C"/>
    <w:rsid w:val="000E3B01"/>
    <w:rsid w:val="000E3D80"/>
    <w:rsid w:val="000E4ABA"/>
    <w:rsid w:val="000E4DDD"/>
    <w:rsid w:val="000E527E"/>
    <w:rsid w:val="000E53F2"/>
    <w:rsid w:val="000E541E"/>
    <w:rsid w:val="000E5561"/>
    <w:rsid w:val="000E77AD"/>
    <w:rsid w:val="000E77EF"/>
    <w:rsid w:val="000E782E"/>
    <w:rsid w:val="000E7E85"/>
    <w:rsid w:val="000F0BF1"/>
    <w:rsid w:val="000F0C60"/>
    <w:rsid w:val="000F0D24"/>
    <w:rsid w:val="000F1213"/>
    <w:rsid w:val="000F15A0"/>
    <w:rsid w:val="000F1A3A"/>
    <w:rsid w:val="000F1AC4"/>
    <w:rsid w:val="000F2B12"/>
    <w:rsid w:val="000F2BD9"/>
    <w:rsid w:val="000F2D04"/>
    <w:rsid w:val="000F2E43"/>
    <w:rsid w:val="000F3151"/>
    <w:rsid w:val="000F31BC"/>
    <w:rsid w:val="000F33C1"/>
    <w:rsid w:val="000F3F99"/>
    <w:rsid w:val="000F412D"/>
    <w:rsid w:val="000F4508"/>
    <w:rsid w:val="000F5274"/>
    <w:rsid w:val="000F551B"/>
    <w:rsid w:val="000F5593"/>
    <w:rsid w:val="000F577C"/>
    <w:rsid w:val="000F581D"/>
    <w:rsid w:val="000F63AB"/>
    <w:rsid w:val="000F7D89"/>
    <w:rsid w:val="000F7E93"/>
    <w:rsid w:val="001004E2"/>
    <w:rsid w:val="00100BFC"/>
    <w:rsid w:val="00100FBA"/>
    <w:rsid w:val="00100FF0"/>
    <w:rsid w:val="00101086"/>
    <w:rsid w:val="001010E6"/>
    <w:rsid w:val="001015C7"/>
    <w:rsid w:val="001015F2"/>
    <w:rsid w:val="00101ED2"/>
    <w:rsid w:val="0010208C"/>
    <w:rsid w:val="00102C93"/>
    <w:rsid w:val="00102E89"/>
    <w:rsid w:val="0010300F"/>
    <w:rsid w:val="001039D6"/>
    <w:rsid w:val="00103B53"/>
    <w:rsid w:val="00103B9D"/>
    <w:rsid w:val="00104703"/>
    <w:rsid w:val="00104D0B"/>
    <w:rsid w:val="001051C9"/>
    <w:rsid w:val="00105C1A"/>
    <w:rsid w:val="00105EED"/>
    <w:rsid w:val="00106171"/>
    <w:rsid w:val="001063BB"/>
    <w:rsid w:val="00106B26"/>
    <w:rsid w:val="00107AB9"/>
    <w:rsid w:val="00110675"/>
    <w:rsid w:val="00110B17"/>
    <w:rsid w:val="00110D36"/>
    <w:rsid w:val="00110D9A"/>
    <w:rsid w:val="00110F5A"/>
    <w:rsid w:val="00111320"/>
    <w:rsid w:val="0011251B"/>
    <w:rsid w:val="001125AF"/>
    <w:rsid w:val="00113583"/>
    <w:rsid w:val="0011375F"/>
    <w:rsid w:val="00113EBE"/>
    <w:rsid w:val="00114154"/>
    <w:rsid w:val="001142E9"/>
    <w:rsid w:val="00114916"/>
    <w:rsid w:val="00114EB8"/>
    <w:rsid w:val="00115411"/>
    <w:rsid w:val="00115F42"/>
    <w:rsid w:val="001161FA"/>
    <w:rsid w:val="00116D57"/>
    <w:rsid w:val="00117319"/>
    <w:rsid w:val="001177E7"/>
    <w:rsid w:val="00117C83"/>
    <w:rsid w:val="001201C3"/>
    <w:rsid w:val="0012097F"/>
    <w:rsid w:val="00120A95"/>
    <w:rsid w:val="001219ED"/>
    <w:rsid w:val="00121C76"/>
    <w:rsid w:val="00121CAD"/>
    <w:rsid w:val="00122195"/>
    <w:rsid w:val="001227FE"/>
    <w:rsid w:val="0012299C"/>
    <w:rsid w:val="00122F67"/>
    <w:rsid w:val="00123319"/>
    <w:rsid w:val="00123E66"/>
    <w:rsid w:val="001242E6"/>
    <w:rsid w:val="0012454F"/>
    <w:rsid w:val="00125067"/>
    <w:rsid w:val="00125F09"/>
    <w:rsid w:val="00125F61"/>
    <w:rsid w:val="00126595"/>
    <w:rsid w:val="00126609"/>
    <w:rsid w:val="00126722"/>
    <w:rsid w:val="00126BA3"/>
    <w:rsid w:val="00126C2B"/>
    <w:rsid w:val="001271F4"/>
    <w:rsid w:val="0012779B"/>
    <w:rsid w:val="001277D7"/>
    <w:rsid w:val="00127D95"/>
    <w:rsid w:val="00127FB7"/>
    <w:rsid w:val="001305BD"/>
    <w:rsid w:val="00130B56"/>
    <w:rsid w:val="00130D02"/>
    <w:rsid w:val="00131129"/>
    <w:rsid w:val="00131141"/>
    <w:rsid w:val="0013125C"/>
    <w:rsid w:val="001319B0"/>
    <w:rsid w:val="001321EB"/>
    <w:rsid w:val="001326E4"/>
    <w:rsid w:val="00132F58"/>
    <w:rsid w:val="00133845"/>
    <w:rsid w:val="00133AA8"/>
    <w:rsid w:val="00133C3B"/>
    <w:rsid w:val="00133D74"/>
    <w:rsid w:val="00133EF7"/>
    <w:rsid w:val="001342F5"/>
    <w:rsid w:val="00134525"/>
    <w:rsid w:val="00134681"/>
    <w:rsid w:val="00135209"/>
    <w:rsid w:val="0013525E"/>
    <w:rsid w:val="001355DA"/>
    <w:rsid w:val="00135D7D"/>
    <w:rsid w:val="00135E5D"/>
    <w:rsid w:val="00135F2A"/>
    <w:rsid w:val="00136582"/>
    <w:rsid w:val="001366E9"/>
    <w:rsid w:val="00136D12"/>
    <w:rsid w:val="00137782"/>
    <w:rsid w:val="0014014E"/>
    <w:rsid w:val="00140199"/>
    <w:rsid w:val="00140234"/>
    <w:rsid w:val="00140938"/>
    <w:rsid w:val="00140C1D"/>
    <w:rsid w:val="00140D12"/>
    <w:rsid w:val="001411DC"/>
    <w:rsid w:val="00141397"/>
    <w:rsid w:val="001413C0"/>
    <w:rsid w:val="0014273B"/>
    <w:rsid w:val="001428E8"/>
    <w:rsid w:val="001429A5"/>
    <w:rsid w:val="00142F00"/>
    <w:rsid w:val="001432DE"/>
    <w:rsid w:val="00143F15"/>
    <w:rsid w:val="00143F9A"/>
    <w:rsid w:val="00144192"/>
    <w:rsid w:val="00144583"/>
    <w:rsid w:val="00146835"/>
    <w:rsid w:val="001468FC"/>
    <w:rsid w:val="0014699B"/>
    <w:rsid w:val="00146A35"/>
    <w:rsid w:val="00146A66"/>
    <w:rsid w:val="00146CB2"/>
    <w:rsid w:val="0015029C"/>
    <w:rsid w:val="0015053C"/>
    <w:rsid w:val="00151340"/>
    <w:rsid w:val="00151822"/>
    <w:rsid w:val="00151913"/>
    <w:rsid w:val="00151F55"/>
    <w:rsid w:val="0015209E"/>
    <w:rsid w:val="00153239"/>
    <w:rsid w:val="00153799"/>
    <w:rsid w:val="00153D6F"/>
    <w:rsid w:val="00153D9D"/>
    <w:rsid w:val="00153FEF"/>
    <w:rsid w:val="001546DD"/>
    <w:rsid w:val="00154903"/>
    <w:rsid w:val="00154A9F"/>
    <w:rsid w:val="00154F21"/>
    <w:rsid w:val="001552C2"/>
    <w:rsid w:val="00155348"/>
    <w:rsid w:val="00155597"/>
    <w:rsid w:val="001558B5"/>
    <w:rsid w:val="00155C4A"/>
    <w:rsid w:val="00156046"/>
    <w:rsid w:val="0015606D"/>
    <w:rsid w:val="001569A4"/>
    <w:rsid w:val="00156B69"/>
    <w:rsid w:val="00156C35"/>
    <w:rsid w:val="00156E8F"/>
    <w:rsid w:val="0015795A"/>
    <w:rsid w:val="00157B4B"/>
    <w:rsid w:val="00157C4A"/>
    <w:rsid w:val="00157DC0"/>
    <w:rsid w:val="00157F35"/>
    <w:rsid w:val="0016015E"/>
    <w:rsid w:val="00160322"/>
    <w:rsid w:val="00160676"/>
    <w:rsid w:val="00160D78"/>
    <w:rsid w:val="00161457"/>
    <w:rsid w:val="00161520"/>
    <w:rsid w:val="0016165F"/>
    <w:rsid w:val="001616A2"/>
    <w:rsid w:val="00161872"/>
    <w:rsid w:val="00161998"/>
    <w:rsid w:val="00161CE8"/>
    <w:rsid w:val="00161E52"/>
    <w:rsid w:val="00162092"/>
    <w:rsid w:val="001621B3"/>
    <w:rsid w:val="001622E8"/>
    <w:rsid w:val="00162464"/>
    <w:rsid w:val="00162AE8"/>
    <w:rsid w:val="00162B4F"/>
    <w:rsid w:val="00162BFE"/>
    <w:rsid w:val="0016355A"/>
    <w:rsid w:val="00163B5F"/>
    <w:rsid w:val="00164316"/>
    <w:rsid w:val="00164521"/>
    <w:rsid w:val="00164A10"/>
    <w:rsid w:val="00164D16"/>
    <w:rsid w:val="00164F1A"/>
    <w:rsid w:val="00164F1E"/>
    <w:rsid w:val="001651FD"/>
    <w:rsid w:val="0016525C"/>
    <w:rsid w:val="00165302"/>
    <w:rsid w:val="00165670"/>
    <w:rsid w:val="001665A3"/>
    <w:rsid w:val="001665F1"/>
    <w:rsid w:val="001669D0"/>
    <w:rsid w:val="00167076"/>
    <w:rsid w:val="001674A4"/>
    <w:rsid w:val="001674FC"/>
    <w:rsid w:val="001676C1"/>
    <w:rsid w:val="001676D9"/>
    <w:rsid w:val="0016772A"/>
    <w:rsid w:val="001677D7"/>
    <w:rsid w:val="001702A0"/>
    <w:rsid w:val="00170A3C"/>
    <w:rsid w:val="00170C9C"/>
    <w:rsid w:val="0017112B"/>
    <w:rsid w:val="0017132F"/>
    <w:rsid w:val="001715C7"/>
    <w:rsid w:val="00171710"/>
    <w:rsid w:val="00172237"/>
    <w:rsid w:val="001722BC"/>
    <w:rsid w:val="00172497"/>
    <w:rsid w:val="00172F95"/>
    <w:rsid w:val="00173200"/>
    <w:rsid w:val="001743F1"/>
    <w:rsid w:val="0017504C"/>
    <w:rsid w:val="001758BE"/>
    <w:rsid w:val="00175901"/>
    <w:rsid w:val="00175928"/>
    <w:rsid w:val="00175938"/>
    <w:rsid w:val="00175A99"/>
    <w:rsid w:val="00176092"/>
    <w:rsid w:val="00176253"/>
    <w:rsid w:val="0017637D"/>
    <w:rsid w:val="001765DC"/>
    <w:rsid w:val="001768CF"/>
    <w:rsid w:val="001774CC"/>
    <w:rsid w:val="001775E3"/>
    <w:rsid w:val="00177BAA"/>
    <w:rsid w:val="0018045B"/>
    <w:rsid w:val="00180890"/>
    <w:rsid w:val="00180D7A"/>
    <w:rsid w:val="0018135E"/>
    <w:rsid w:val="001813A4"/>
    <w:rsid w:val="00181AFD"/>
    <w:rsid w:val="0018209F"/>
    <w:rsid w:val="00183158"/>
    <w:rsid w:val="001834A9"/>
    <w:rsid w:val="00183582"/>
    <w:rsid w:val="00183BBE"/>
    <w:rsid w:val="00184377"/>
    <w:rsid w:val="00184B0C"/>
    <w:rsid w:val="00184B1E"/>
    <w:rsid w:val="001857F9"/>
    <w:rsid w:val="00185A5E"/>
    <w:rsid w:val="00185B35"/>
    <w:rsid w:val="00185B4C"/>
    <w:rsid w:val="00185BE8"/>
    <w:rsid w:val="00185C64"/>
    <w:rsid w:val="00185EAA"/>
    <w:rsid w:val="00185FB1"/>
    <w:rsid w:val="00186725"/>
    <w:rsid w:val="001901BF"/>
    <w:rsid w:val="00191124"/>
    <w:rsid w:val="001915BD"/>
    <w:rsid w:val="001916AA"/>
    <w:rsid w:val="001918E7"/>
    <w:rsid w:val="0019194E"/>
    <w:rsid w:val="00191F2D"/>
    <w:rsid w:val="00192805"/>
    <w:rsid w:val="00192A2B"/>
    <w:rsid w:val="00192C9F"/>
    <w:rsid w:val="00192D41"/>
    <w:rsid w:val="00192F6B"/>
    <w:rsid w:val="00193042"/>
    <w:rsid w:val="00193193"/>
    <w:rsid w:val="00193B44"/>
    <w:rsid w:val="00194726"/>
    <w:rsid w:val="0019498A"/>
    <w:rsid w:val="00194EA5"/>
    <w:rsid w:val="00195706"/>
    <w:rsid w:val="00195D0C"/>
    <w:rsid w:val="00195D8A"/>
    <w:rsid w:val="0019654D"/>
    <w:rsid w:val="00196BBE"/>
    <w:rsid w:val="001973BE"/>
    <w:rsid w:val="001975D5"/>
    <w:rsid w:val="001A08F5"/>
    <w:rsid w:val="001A09BF"/>
    <w:rsid w:val="001A0D1A"/>
    <w:rsid w:val="001A0F24"/>
    <w:rsid w:val="001A10FC"/>
    <w:rsid w:val="001A1364"/>
    <w:rsid w:val="001A1450"/>
    <w:rsid w:val="001A3375"/>
    <w:rsid w:val="001A397F"/>
    <w:rsid w:val="001A39C0"/>
    <w:rsid w:val="001A3A8C"/>
    <w:rsid w:val="001A3DAF"/>
    <w:rsid w:val="001A420A"/>
    <w:rsid w:val="001A434B"/>
    <w:rsid w:val="001A43DE"/>
    <w:rsid w:val="001A4D81"/>
    <w:rsid w:val="001A550C"/>
    <w:rsid w:val="001A578D"/>
    <w:rsid w:val="001A675C"/>
    <w:rsid w:val="001A73CD"/>
    <w:rsid w:val="001B012F"/>
    <w:rsid w:val="001B06A7"/>
    <w:rsid w:val="001B0806"/>
    <w:rsid w:val="001B08D3"/>
    <w:rsid w:val="001B0B62"/>
    <w:rsid w:val="001B0CA3"/>
    <w:rsid w:val="001B1012"/>
    <w:rsid w:val="001B1768"/>
    <w:rsid w:val="001B19C5"/>
    <w:rsid w:val="001B1AE0"/>
    <w:rsid w:val="001B1D95"/>
    <w:rsid w:val="001B41E8"/>
    <w:rsid w:val="001B4944"/>
    <w:rsid w:val="001B5AC4"/>
    <w:rsid w:val="001B5AEB"/>
    <w:rsid w:val="001B5DCF"/>
    <w:rsid w:val="001B615D"/>
    <w:rsid w:val="001B6551"/>
    <w:rsid w:val="001B66F7"/>
    <w:rsid w:val="001B6DE2"/>
    <w:rsid w:val="001B7186"/>
    <w:rsid w:val="001B7390"/>
    <w:rsid w:val="001B7B41"/>
    <w:rsid w:val="001B7DAC"/>
    <w:rsid w:val="001C0047"/>
    <w:rsid w:val="001C0789"/>
    <w:rsid w:val="001C0866"/>
    <w:rsid w:val="001C0BDB"/>
    <w:rsid w:val="001C158C"/>
    <w:rsid w:val="001C1710"/>
    <w:rsid w:val="001C17CC"/>
    <w:rsid w:val="001C1A0A"/>
    <w:rsid w:val="001C2094"/>
    <w:rsid w:val="001C429C"/>
    <w:rsid w:val="001C439D"/>
    <w:rsid w:val="001C44B4"/>
    <w:rsid w:val="001C480C"/>
    <w:rsid w:val="001C5365"/>
    <w:rsid w:val="001C5D7D"/>
    <w:rsid w:val="001C65BA"/>
    <w:rsid w:val="001C6BBD"/>
    <w:rsid w:val="001C7A25"/>
    <w:rsid w:val="001C7EBF"/>
    <w:rsid w:val="001C7FC3"/>
    <w:rsid w:val="001D055E"/>
    <w:rsid w:val="001D1637"/>
    <w:rsid w:val="001D176B"/>
    <w:rsid w:val="001D1EFC"/>
    <w:rsid w:val="001D209D"/>
    <w:rsid w:val="001D215C"/>
    <w:rsid w:val="001D28CF"/>
    <w:rsid w:val="001D29DD"/>
    <w:rsid w:val="001D2C6B"/>
    <w:rsid w:val="001D3479"/>
    <w:rsid w:val="001D3A10"/>
    <w:rsid w:val="001D3D85"/>
    <w:rsid w:val="001D3DE2"/>
    <w:rsid w:val="001D3F93"/>
    <w:rsid w:val="001D4EC6"/>
    <w:rsid w:val="001D53E4"/>
    <w:rsid w:val="001D54FF"/>
    <w:rsid w:val="001D5B5A"/>
    <w:rsid w:val="001D6939"/>
    <w:rsid w:val="001D7A14"/>
    <w:rsid w:val="001E0A57"/>
    <w:rsid w:val="001E116D"/>
    <w:rsid w:val="001E1567"/>
    <w:rsid w:val="001E1978"/>
    <w:rsid w:val="001E1C99"/>
    <w:rsid w:val="001E22A9"/>
    <w:rsid w:val="001E267F"/>
    <w:rsid w:val="001E2840"/>
    <w:rsid w:val="001E299B"/>
    <w:rsid w:val="001E3E35"/>
    <w:rsid w:val="001E46C6"/>
    <w:rsid w:val="001E4C3B"/>
    <w:rsid w:val="001E5367"/>
    <w:rsid w:val="001E5FAC"/>
    <w:rsid w:val="001E666A"/>
    <w:rsid w:val="001E6AFB"/>
    <w:rsid w:val="001E6FBA"/>
    <w:rsid w:val="001E7D70"/>
    <w:rsid w:val="001F07F1"/>
    <w:rsid w:val="001F0B69"/>
    <w:rsid w:val="001F1084"/>
    <w:rsid w:val="001F167C"/>
    <w:rsid w:val="001F1E34"/>
    <w:rsid w:val="001F1FA2"/>
    <w:rsid w:val="001F222E"/>
    <w:rsid w:val="001F2486"/>
    <w:rsid w:val="001F2747"/>
    <w:rsid w:val="001F279B"/>
    <w:rsid w:val="001F2969"/>
    <w:rsid w:val="001F2982"/>
    <w:rsid w:val="001F37D1"/>
    <w:rsid w:val="001F4071"/>
    <w:rsid w:val="001F40CE"/>
    <w:rsid w:val="001F4112"/>
    <w:rsid w:val="001F4178"/>
    <w:rsid w:val="001F430E"/>
    <w:rsid w:val="001F44C0"/>
    <w:rsid w:val="001F474B"/>
    <w:rsid w:val="001F5086"/>
    <w:rsid w:val="001F583B"/>
    <w:rsid w:val="001F596C"/>
    <w:rsid w:val="001F598D"/>
    <w:rsid w:val="001F6B10"/>
    <w:rsid w:val="001F7CF0"/>
    <w:rsid w:val="002002D0"/>
    <w:rsid w:val="002003B5"/>
    <w:rsid w:val="00200627"/>
    <w:rsid w:val="0020099D"/>
    <w:rsid w:val="00200AEA"/>
    <w:rsid w:val="00203161"/>
    <w:rsid w:val="002031E5"/>
    <w:rsid w:val="00203236"/>
    <w:rsid w:val="002033E5"/>
    <w:rsid w:val="00203709"/>
    <w:rsid w:val="002037B3"/>
    <w:rsid w:val="00204355"/>
    <w:rsid w:val="00204428"/>
    <w:rsid w:val="00204C0B"/>
    <w:rsid w:val="00204C1E"/>
    <w:rsid w:val="00204E6D"/>
    <w:rsid w:val="00205CD5"/>
    <w:rsid w:val="0020622A"/>
    <w:rsid w:val="002064C0"/>
    <w:rsid w:val="00206693"/>
    <w:rsid w:val="00206E87"/>
    <w:rsid w:val="0020706C"/>
    <w:rsid w:val="0020712D"/>
    <w:rsid w:val="00207415"/>
    <w:rsid w:val="00207579"/>
    <w:rsid w:val="00207600"/>
    <w:rsid w:val="0020761D"/>
    <w:rsid w:val="002079E2"/>
    <w:rsid w:val="00207C8B"/>
    <w:rsid w:val="00210710"/>
    <w:rsid w:val="00210A6F"/>
    <w:rsid w:val="00210B3A"/>
    <w:rsid w:val="00210D27"/>
    <w:rsid w:val="0021156C"/>
    <w:rsid w:val="002118E4"/>
    <w:rsid w:val="00211978"/>
    <w:rsid w:val="00211B61"/>
    <w:rsid w:val="00211E1E"/>
    <w:rsid w:val="00212862"/>
    <w:rsid w:val="00212A0B"/>
    <w:rsid w:val="00212C69"/>
    <w:rsid w:val="00213045"/>
    <w:rsid w:val="00213E54"/>
    <w:rsid w:val="00214287"/>
    <w:rsid w:val="0021442A"/>
    <w:rsid w:val="0021489B"/>
    <w:rsid w:val="00214932"/>
    <w:rsid w:val="00214C06"/>
    <w:rsid w:val="00214C29"/>
    <w:rsid w:val="0021505B"/>
    <w:rsid w:val="00215072"/>
    <w:rsid w:val="00215606"/>
    <w:rsid w:val="00215C9F"/>
    <w:rsid w:val="00216537"/>
    <w:rsid w:val="00216A27"/>
    <w:rsid w:val="002170A6"/>
    <w:rsid w:val="002171CF"/>
    <w:rsid w:val="00217B72"/>
    <w:rsid w:val="00217EAB"/>
    <w:rsid w:val="0022036C"/>
    <w:rsid w:val="0022056B"/>
    <w:rsid w:val="0022075D"/>
    <w:rsid w:val="002208D4"/>
    <w:rsid w:val="00220A71"/>
    <w:rsid w:val="00220AC7"/>
    <w:rsid w:val="00220D6A"/>
    <w:rsid w:val="0022133E"/>
    <w:rsid w:val="002221EA"/>
    <w:rsid w:val="00222AF9"/>
    <w:rsid w:val="00222FF4"/>
    <w:rsid w:val="00223E38"/>
    <w:rsid w:val="0022438A"/>
    <w:rsid w:val="0022498C"/>
    <w:rsid w:val="00224B0A"/>
    <w:rsid w:val="00224C33"/>
    <w:rsid w:val="00225953"/>
    <w:rsid w:val="00225B32"/>
    <w:rsid w:val="00225B93"/>
    <w:rsid w:val="00225DDA"/>
    <w:rsid w:val="002261EA"/>
    <w:rsid w:val="002265CB"/>
    <w:rsid w:val="00227172"/>
    <w:rsid w:val="0022758E"/>
    <w:rsid w:val="00227AE0"/>
    <w:rsid w:val="00227B0C"/>
    <w:rsid w:val="00227B30"/>
    <w:rsid w:val="002300B0"/>
    <w:rsid w:val="00230113"/>
    <w:rsid w:val="002303DB"/>
    <w:rsid w:val="002304FE"/>
    <w:rsid w:val="002307D5"/>
    <w:rsid w:val="00230F20"/>
    <w:rsid w:val="00231E36"/>
    <w:rsid w:val="00231F26"/>
    <w:rsid w:val="00231F63"/>
    <w:rsid w:val="00233724"/>
    <w:rsid w:val="00233905"/>
    <w:rsid w:val="00233A9D"/>
    <w:rsid w:val="00233EC5"/>
    <w:rsid w:val="00233FE8"/>
    <w:rsid w:val="00234121"/>
    <w:rsid w:val="0023418F"/>
    <w:rsid w:val="00234882"/>
    <w:rsid w:val="00234B3E"/>
    <w:rsid w:val="00234BBC"/>
    <w:rsid w:val="0023559D"/>
    <w:rsid w:val="00235888"/>
    <w:rsid w:val="00235C65"/>
    <w:rsid w:val="00235CFA"/>
    <w:rsid w:val="00237B96"/>
    <w:rsid w:val="002404EB"/>
    <w:rsid w:val="00241443"/>
    <w:rsid w:val="00241482"/>
    <w:rsid w:val="00241608"/>
    <w:rsid w:val="00241713"/>
    <w:rsid w:val="00241B96"/>
    <w:rsid w:val="00242842"/>
    <w:rsid w:val="00242DF6"/>
    <w:rsid w:val="0024336B"/>
    <w:rsid w:val="00243CA7"/>
    <w:rsid w:val="00243D7B"/>
    <w:rsid w:val="00243D83"/>
    <w:rsid w:val="00243E28"/>
    <w:rsid w:val="00246354"/>
    <w:rsid w:val="0024671B"/>
    <w:rsid w:val="00246720"/>
    <w:rsid w:val="0024685F"/>
    <w:rsid w:val="002468C8"/>
    <w:rsid w:val="00246C45"/>
    <w:rsid w:val="00246CD4"/>
    <w:rsid w:val="00246DF4"/>
    <w:rsid w:val="002476AA"/>
    <w:rsid w:val="00247858"/>
    <w:rsid w:val="00250019"/>
    <w:rsid w:val="0025027A"/>
    <w:rsid w:val="0025054B"/>
    <w:rsid w:val="00250593"/>
    <w:rsid w:val="002505D3"/>
    <w:rsid w:val="00250808"/>
    <w:rsid w:val="00250DC4"/>
    <w:rsid w:val="00250E74"/>
    <w:rsid w:val="00251882"/>
    <w:rsid w:val="0025278E"/>
    <w:rsid w:val="00252827"/>
    <w:rsid w:val="00253954"/>
    <w:rsid w:val="00254337"/>
    <w:rsid w:val="00254469"/>
    <w:rsid w:val="002545E1"/>
    <w:rsid w:val="00254705"/>
    <w:rsid w:val="00254D8E"/>
    <w:rsid w:val="002558F9"/>
    <w:rsid w:val="0025594B"/>
    <w:rsid w:val="00256243"/>
    <w:rsid w:val="00256A79"/>
    <w:rsid w:val="00256C15"/>
    <w:rsid w:val="00256D22"/>
    <w:rsid w:val="00256DA8"/>
    <w:rsid w:val="00256DCD"/>
    <w:rsid w:val="00257735"/>
    <w:rsid w:val="0025782F"/>
    <w:rsid w:val="0025797E"/>
    <w:rsid w:val="00260B7D"/>
    <w:rsid w:val="00260BFC"/>
    <w:rsid w:val="00260FAA"/>
    <w:rsid w:val="00260FEA"/>
    <w:rsid w:val="00261790"/>
    <w:rsid w:val="00261A58"/>
    <w:rsid w:val="002622F0"/>
    <w:rsid w:val="00262CA9"/>
    <w:rsid w:val="00263742"/>
    <w:rsid w:val="00263C20"/>
    <w:rsid w:val="00263F46"/>
    <w:rsid w:val="002641BD"/>
    <w:rsid w:val="002645D6"/>
    <w:rsid w:val="00264AD3"/>
    <w:rsid w:val="00264B8C"/>
    <w:rsid w:val="00265734"/>
    <w:rsid w:val="00265A9B"/>
    <w:rsid w:val="00265CD5"/>
    <w:rsid w:val="00265D20"/>
    <w:rsid w:val="0026621F"/>
    <w:rsid w:val="0026729D"/>
    <w:rsid w:val="002679D6"/>
    <w:rsid w:val="0027012A"/>
    <w:rsid w:val="0027014E"/>
    <w:rsid w:val="002702F6"/>
    <w:rsid w:val="0027044E"/>
    <w:rsid w:val="002705A5"/>
    <w:rsid w:val="0027090C"/>
    <w:rsid w:val="00270AB4"/>
    <w:rsid w:val="00270CA2"/>
    <w:rsid w:val="00270E4D"/>
    <w:rsid w:val="002724D0"/>
    <w:rsid w:val="0027288A"/>
    <w:rsid w:val="00273367"/>
    <w:rsid w:val="0027365A"/>
    <w:rsid w:val="00273AA0"/>
    <w:rsid w:val="00273E1B"/>
    <w:rsid w:val="00273FB2"/>
    <w:rsid w:val="00274673"/>
    <w:rsid w:val="00274C8F"/>
    <w:rsid w:val="002755E9"/>
    <w:rsid w:val="00276E90"/>
    <w:rsid w:val="0027720C"/>
    <w:rsid w:val="002772B4"/>
    <w:rsid w:val="002776B3"/>
    <w:rsid w:val="002778FF"/>
    <w:rsid w:val="00277DF3"/>
    <w:rsid w:val="00277E10"/>
    <w:rsid w:val="00280317"/>
    <w:rsid w:val="0028036F"/>
    <w:rsid w:val="00280656"/>
    <w:rsid w:val="00280A85"/>
    <w:rsid w:val="00281088"/>
    <w:rsid w:val="002810BE"/>
    <w:rsid w:val="002810EC"/>
    <w:rsid w:val="00282315"/>
    <w:rsid w:val="0028248B"/>
    <w:rsid w:val="002825B4"/>
    <w:rsid w:val="002826DB"/>
    <w:rsid w:val="002829AE"/>
    <w:rsid w:val="002833F4"/>
    <w:rsid w:val="00283588"/>
    <w:rsid w:val="002842B5"/>
    <w:rsid w:val="00285369"/>
    <w:rsid w:val="0028611F"/>
    <w:rsid w:val="0028624C"/>
    <w:rsid w:val="00286E39"/>
    <w:rsid w:val="00286F4F"/>
    <w:rsid w:val="002876C9"/>
    <w:rsid w:val="00287819"/>
    <w:rsid w:val="00287BFE"/>
    <w:rsid w:val="0029079F"/>
    <w:rsid w:val="00290F94"/>
    <w:rsid w:val="00291519"/>
    <w:rsid w:val="00291B16"/>
    <w:rsid w:val="00292475"/>
    <w:rsid w:val="00292612"/>
    <w:rsid w:val="002928D1"/>
    <w:rsid w:val="00292934"/>
    <w:rsid w:val="00292CEF"/>
    <w:rsid w:val="002932BE"/>
    <w:rsid w:val="002933BE"/>
    <w:rsid w:val="00293680"/>
    <w:rsid w:val="00293824"/>
    <w:rsid w:val="00293DA1"/>
    <w:rsid w:val="00293E57"/>
    <w:rsid w:val="0029446F"/>
    <w:rsid w:val="00294659"/>
    <w:rsid w:val="00294D71"/>
    <w:rsid w:val="002954BF"/>
    <w:rsid w:val="002954C8"/>
    <w:rsid w:val="00296719"/>
    <w:rsid w:val="002969D4"/>
    <w:rsid w:val="00296ECA"/>
    <w:rsid w:val="00297687"/>
    <w:rsid w:val="00297ACD"/>
    <w:rsid w:val="002A06EC"/>
    <w:rsid w:val="002A0892"/>
    <w:rsid w:val="002A09AD"/>
    <w:rsid w:val="002A0EE3"/>
    <w:rsid w:val="002A1FC2"/>
    <w:rsid w:val="002A22EC"/>
    <w:rsid w:val="002A230C"/>
    <w:rsid w:val="002A3811"/>
    <w:rsid w:val="002A3FE6"/>
    <w:rsid w:val="002A444D"/>
    <w:rsid w:val="002A45AC"/>
    <w:rsid w:val="002A4A35"/>
    <w:rsid w:val="002A4D4C"/>
    <w:rsid w:val="002A4E62"/>
    <w:rsid w:val="002A51E1"/>
    <w:rsid w:val="002A56AB"/>
    <w:rsid w:val="002A57AB"/>
    <w:rsid w:val="002A5F88"/>
    <w:rsid w:val="002A6565"/>
    <w:rsid w:val="002A6B94"/>
    <w:rsid w:val="002A6FD9"/>
    <w:rsid w:val="002A785C"/>
    <w:rsid w:val="002A7885"/>
    <w:rsid w:val="002B02A7"/>
    <w:rsid w:val="002B0F1C"/>
    <w:rsid w:val="002B14FB"/>
    <w:rsid w:val="002B1CE5"/>
    <w:rsid w:val="002B1E7F"/>
    <w:rsid w:val="002B2107"/>
    <w:rsid w:val="002B224C"/>
    <w:rsid w:val="002B2788"/>
    <w:rsid w:val="002B34A6"/>
    <w:rsid w:val="002B35AD"/>
    <w:rsid w:val="002B38D4"/>
    <w:rsid w:val="002B40CB"/>
    <w:rsid w:val="002B4C73"/>
    <w:rsid w:val="002B4CEC"/>
    <w:rsid w:val="002B555E"/>
    <w:rsid w:val="002B57C3"/>
    <w:rsid w:val="002B62BA"/>
    <w:rsid w:val="002B6392"/>
    <w:rsid w:val="002B6EF7"/>
    <w:rsid w:val="002B6F19"/>
    <w:rsid w:val="002B723C"/>
    <w:rsid w:val="002B748B"/>
    <w:rsid w:val="002B74B6"/>
    <w:rsid w:val="002B75A4"/>
    <w:rsid w:val="002B7A8E"/>
    <w:rsid w:val="002B7D04"/>
    <w:rsid w:val="002C0E22"/>
    <w:rsid w:val="002C0F2D"/>
    <w:rsid w:val="002C106E"/>
    <w:rsid w:val="002C15C0"/>
    <w:rsid w:val="002C16BE"/>
    <w:rsid w:val="002C1AFE"/>
    <w:rsid w:val="002C1B6E"/>
    <w:rsid w:val="002C27B3"/>
    <w:rsid w:val="002C2F09"/>
    <w:rsid w:val="002C3811"/>
    <w:rsid w:val="002C415C"/>
    <w:rsid w:val="002C4168"/>
    <w:rsid w:val="002C43A0"/>
    <w:rsid w:val="002C4820"/>
    <w:rsid w:val="002C488D"/>
    <w:rsid w:val="002C5731"/>
    <w:rsid w:val="002C5AC7"/>
    <w:rsid w:val="002C5CB8"/>
    <w:rsid w:val="002C5D7B"/>
    <w:rsid w:val="002C5DC9"/>
    <w:rsid w:val="002C63A6"/>
    <w:rsid w:val="002C654D"/>
    <w:rsid w:val="002C682F"/>
    <w:rsid w:val="002C709A"/>
    <w:rsid w:val="002C729F"/>
    <w:rsid w:val="002C7BC2"/>
    <w:rsid w:val="002C7EA0"/>
    <w:rsid w:val="002C7EB7"/>
    <w:rsid w:val="002D01C4"/>
    <w:rsid w:val="002D1A8A"/>
    <w:rsid w:val="002D1AE9"/>
    <w:rsid w:val="002D1DC7"/>
    <w:rsid w:val="002D291B"/>
    <w:rsid w:val="002D2EF3"/>
    <w:rsid w:val="002D2F57"/>
    <w:rsid w:val="002D2FBD"/>
    <w:rsid w:val="002D30A3"/>
    <w:rsid w:val="002D3562"/>
    <w:rsid w:val="002D367E"/>
    <w:rsid w:val="002D3B1D"/>
    <w:rsid w:val="002D3C5C"/>
    <w:rsid w:val="002D3DDB"/>
    <w:rsid w:val="002D4183"/>
    <w:rsid w:val="002D4431"/>
    <w:rsid w:val="002D4515"/>
    <w:rsid w:val="002D5100"/>
    <w:rsid w:val="002D5C84"/>
    <w:rsid w:val="002D5F07"/>
    <w:rsid w:val="002D60F8"/>
    <w:rsid w:val="002D619D"/>
    <w:rsid w:val="002D64FD"/>
    <w:rsid w:val="002D6984"/>
    <w:rsid w:val="002D6EAC"/>
    <w:rsid w:val="002D726E"/>
    <w:rsid w:val="002D749F"/>
    <w:rsid w:val="002D7640"/>
    <w:rsid w:val="002D79E7"/>
    <w:rsid w:val="002D7C16"/>
    <w:rsid w:val="002D7EC0"/>
    <w:rsid w:val="002D7FB8"/>
    <w:rsid w:val="002E001C"/>
    <w:rsid w:val="002E038F"/>
    <w:rsid w:val="002E0A43"/>
    <w:rsid w:val="002E1384"/>
    <w:rsid w:val="002E15DA"/>
    <w:rsid w:val="002E1ABC"/>
    <w:rsid w:val="002E1F2C"/>
    <w:rsid w:val="002E2F55"/>
    <w:rsid w:val="002E30B2"/>
    <w:rsid w:val="002E3162"/>
    <w:rsid w:val="002E3283"/>
    <w:rsid w:val="002E34FE"/>
    <w:rsid w:val="002E3726"/>
    <w:rsid w:val="002E3C45"/>
    <w:rsid w:val="002E3D8E"/>
    <w:rsid w:val="002E3ECF"/>
    <w:rsid w:val="002E4098"/>
    <w:rsid w:val="002E40CE"/>
    <w:rsid w:val="002E41DF"/>
    <w:rsid w:val="002E4262"/>
    <w:rsid w:val="002E468E"/>
    <w:rsid w:val="002E5100"/>
    <w:rsid w:val="002E51E7"/>
    <w:rsid w:val="002E5991"/>
    <w:rsid w:val="002E5D98"/>
    <w:rsid w:val="002E5FD4"/>
    <w:rsid w:val="002E5FE0"/>
    <w:rsid w:val="002E631A"/>
    <w:rsid w:val="002E6C04"/>
    <w:rsid w:val="002E6D6F"/>
    <w:rsid w:val="002E7587"/>
    <w:rsid w:val="002E78FB"/>
    <w:rsid w:val="002E7F6A"/>
    <w:rsid w:val="002F09D4"/>
    <w:rsid w:val="002F0F76"/>
    <w:rsid w:val="002F0F84"/>
    <w:rsid w:val="002F143C"/>
    <w:rsid w:val="002F16ED"/>
    <w:rsid w:val="002F1AFD"/>
    <w:rsid w:val="002F1B94"/>
    <w:rsid w:val="002F1D68"/>
    <w:rsid w:val="002F2CB8"/>
    <w:rsid w:val="002F3176"/>
    <w:rsid w:val="002F38B4"/>
    <w:rsid w:val="002F3E4F"/>
    <w:rsid w:val="002F4BA7"/>
    <w:rsid w:val="002F4D85"/>
    <w:rsid w:val="002F4DB3"/>
    <w:rsid w:val="002F4EA5"/>
    <w:rsid w:val="002F519B"/>
    <w:rsid w:val="002F5219"/>
    <w:rsid w:val="002F5594"/>
    <w:rsid w:val="002F61F5"/>
    <w:rsid w:val="002F629F"/>
    <w:rsid w:val="002F674E"/>
    <w:rsid w:val="002F6961"/>
    <w:rsid w:val="002F6B52"/>
    <w:rsid w:val="002F773E"/>
    <w:rsid w:val="002F7762"/>
    <w:rsid w:val="002F7810"/>
    <w:rsid w:val="002F79AD"/>
    <w:rsid w:val="002F7E43"/>
    <w:rsid w:val="002F7F3A"/>
    <w:rsid w:val="003005EA"/>
    <w:rsid w:val="003008C2"/>
    <w:rsid w:val="00300D19"/>
    <w:rsid w:val="003016E0"/>
    <w:rsid w:val="00301C4E"/>
    <w:rsid w:val="00301FF1"/>
    <w:rsid w:val="0030214E"/>
    <w:rsid w:val="003021EB"/>
    <w:rsid w:val="003024A5"/>
    <w:rsid w:val="00302DBF"/>
    <w:rsid w:val="0030340D"/>
    <w:rsid w:val="00303562"/>
    <w:rsid w:val="00303CF3"/>
    <w:rsid w:val="00303D5B"/>
    <w:rsid w:val="00303D9E"/>
    <w:rsid w:val="00304000"/>
    <w:rsid w:val="00304E79"/>
    <w:rsid w:val="00304FF4"/>
    <w:rsid w:val="00305400"/>
    <w:rsid w:val="00305509"/>
    <w:rsid w:val="00306466"/>
    <w:rsid w:val="00306A10"/>
    <w:rsid w:val="00307061"/>
    <w:rsid w:val="0030732E"/>
    <w:rsid w:val="00307E40"/>
    <w:rsid w:val="0031006A"/>
    <w:rsid w:val="00310871"/>
    <w:rsid w:val="0031149B"/>
    <w:rsid w:val="00311613"/>
    <w:rsid w:val="00311686"/>
    <w:rsid w:val="00311EC2"/>
    <w:rsid w:val="00312089"/>
    <w:rsid w:val="00312764"/>
    <w:rsid w:val="00312D94"/>
    <w:rsid w:val="00314999"/>
    <w:rsid w:val="003157A7"/>
    <w:rsid w:val="003157E5"/>
    <w:rsid w:val="00315EBA"/>
    <w:rsid w:val="0031630A"/>
    <w:rsid w:val="0031751F"/>
    <w:rsid w:val="0032071E"/>
    <w:rsid w:val="0032079B"/>
    <w:rsid w:val="003207B5"/>
    <w:rsid w:val="0032291D"/>
    <w:rsid w:val="00322E7F"/>
    <w:rsid w:val="0032339C"/>
    <w:rsid w:val="0032342C"/>
    <w:rsid w:val="00323AB5"/>
    <w:rsid w:val="00323F96"/>
    <w:rsid w:val="003250C9"/>
    <w:rsid w:val="003250F5"/>
    <w:rsid w:val="00325333"/>
    <w:rsid w:val="003260BB"/>
    <w:rsid w:val="00326453"/>
    <w:rsid w:val="0032676B"/>
    <w:rsid w:val="003268FA"/>
    <w:rsid w:val="00326C58"/>
    <w:rsid w:val="00326DD3"/>
    <w:rsid w:val="0032733E"/>
    <w:rsid w:val="0032769A"/>
    <w:rsid w:val="0032788A"/>
    <w:rsid w:val="00327F6A"/>
    <w:rsid w:val="003305FB"/>
    <w:rsid w:val="0033071E"/>
    <w:rsid w:val="00330827"/>
    <w:rsid w:val="00330D12"/>
    <w:rsid w:val="00330D7A"/>
    <w:rsid w:val="00330E8D"/>
    <w:rsid w:val="00332008"/>
    <w:rsid w:val="003320D5"/>
    <w:rsid w:val="00332814"/>
    <w:rsid w:val="00332BEE"/>
    <w:rsid w:val="00332C59"/>
    <w:rsid w:val="003334E0"/>
    <w:rsid w:val="00333847"/>
    <w:rsid w:val="003343FE"/>
    <w:rsid w:val="00335107"/>
    <w:rsid w:val="0033568E"/>
    <w:rsid w:val="003356EF"/>
    <w:rsid w:val="00335A2A"/>
    <w:rsid w:val="003369AD"/>
    <w:rsid w:val="00337830"/>
    <w:rsid w:val="00337B3C"/>
    <w:rsid w:val="00337D19"/>
    <w:rsid w:val="00337EE0"/>
    <w:rsid w:val="00340A8D"/>
    <w:rsid w:val="00341378"/>
    <w:rsid w:val="0034166B"/>
    <w:rsid w:val="00341A80"/>
    <w:rsid w:val="00341B12"/>
    <w:rsid w:val="00342849"/>
    <w:rsid w:val="0034293D"/>
    <w:rsid w:val="003429C5"/>
    <w:rsid w:val="00343494"/>
    <w:rsid w:val="00343622"/>
    <w:rsid w:val="003438B8"/>
    <w:rsid w:val="00344131"/>
    <w:rsid w:val="003442E9"/>
    <w:rsid w:val="003446A6"/>
    <w:rsid w:val="00344BA6"/>
    <w:rsid w:val="00344BCA"/>
    <w:rsid w:val="00344D18"/>
    <w:rsid w:val="00344EE8"/>
    <w:rsid w:val="00344EEF"/>
    <w:rsid w:val="0034502F"/>
    <w:rsid w:val="00345371"/>
    <w:rsid w:val="0034546D"/>
    <w:rsid w:val="003454EA"/>
    <w:rsid w:val="00345AB6"/>
    <w:rsid w:val="00345B2D"/>
    <w:rsid w:val="00345D26"/>
    <w:rsid w:val="00345D79"/>
    <w:rsid w:val="00345F55"/>
    <w:rsid w:val="00346247"/>
    <w:rsid w:val="00346381"/>
    <w:rsid w:val="0034644F"/>
    <w:rsid w:val="00346B7D"/>
    <w:rsid w:val="00346CBE"/>
    <w:rsid w:val="00347211"/>
    <w:rsid w:val="0034722A"/>
    <w:rsid w:val="0034777C"/>
    <w:rsid w:val="00347D59"/>
    <w:rsid w:val="00350127"/>
    <w:rsid w:val="00350514"/>
    <w:rsid w:val="00350533"/>
    <w:rsid w:val="00350FFA"/>
    <w:rsid w:val="003515C3"/>
    <w:rsid w:val="00351848"/>
    <w:rsid w:val="003518E6"/>
    <w:rsid w:val="00351C29"/>
    <w:rsid w:val="003522AC"/>
    <w:rsid w:val="0035232A"/>
    <w:rsid w:val="003526AC"/>
    <w:rsid w:val="003528E9"/>
    <w:rsid w:val="003529EF"/>
    <w:rsid w:val="003530AE"/>
    <w:rsid w:val="0035330A"/>
    <w:rsid w:val="0035379A"/>
    <w:rsid w:val="00354EBB"/>
    <w:rsid w:val="0035501C"/>
    <w:rsid w:val="00355189"/>
    <w:rsid w:val="003556B6"/>
    <w:rsid w:val="00355A9C"/>
    <w:rsid w:val="00355D4E"/>
    <w:rsid w:val="00355F44"/>
    <w:rsid w:val="00356307"/>
    <w:rsid w:val="003563C7"/>
    <w:rsid w:val="0035699E"/>
    <w:rsid w:val="00356C4E"/>
    <w:rsid w:val="0035711E"/>
    <w:rsid w:val="003572AD"/>
    <w:rsid w:val="00357A22"/>
    <w:rsid w:val="00360461"/>
    <w:rsid w:val="00360686"/>
    <w:rsid w:val="00360918"/>
    <w:rsid w:val="00360C55"/>
    <w:rsid w:val="00361452"/>
    <w:rsid w:val="00361713"/>
    <w:rsid w:val="003617EA"/>
    <w:rsid w:val="003619B4"/>
    <w:rsid w:val="003619DE"/>
    <w:rsid w:val="00361BEB"/>
    <w:rsid w:val="00361CBB"/>
    <w:rsid w:val="00362D23"/>
    <w:rsid w:val="00362E27"/>
    <w:rsid w:val="00362EBE"/>
    <w:rsid w:val="00363019"/>
    <w:rsid w:val="00363593"/>
    <w:rsid w:val="00363893"/>
    <w:rsid w:val="00363EB3"/>
    <w:rsid w:val="00364224"/>
    <w:rsid w:val="003646CA"/>
    <w:rsid w:val="0036493F"/>
    <w:rsid w:val="00364A55"/>
    <w:rsid w:val="00364E04"/>
    <w:rsid w:val="003653DD"/>
    <w:rsid w:val="00365857"/>
    <w:rsid w:val="00365DA1"/>
    <w:rsid w:val="0036615A"/>
    <w:rsid w:val="00366417"/>
    <w:rsid w:val="0036641E"/>
    <w:rsid w:val="00366B67"/>
    <w:rsid w:val="00366E82"/>
    <w:rsid w:val="003675FE"/>
    <w:rsid w:val="0036782B"/>
    <w:rsid w:val="003678F4"/>
    <w:rsid w:val="00367BC2"/>
    <w:rsid w:val="00367C1D"/>
    <w:rsid w:val="00367D85"/>
    <w:rsid w:val="00367F68"/>
    <w:rsid w:val="003705BB"/>
    <w:rsid w:val="00371DA8"/>
    <w:rsid w:val="00372ED4"/>
    <w:rsid w:val="00373042"/>
    <w:rsid w:val="00373201"/>
    <w:rsid w:val="00373D44"/>
    <w:rsid w:val="00374840"/>
    <w:rsid w:val="00374856"/>
    <w:rsid w:val="00375189"/>
    <w:rsid w:val="0037536C"/>
    <w:rsid w:val="003755CB"/>
    <w:rsid w:val="00375757"/>
    <w:rsid w:val="00375B48"/>
    <w:rsid w:val="0037675C"/>
    <w:rsid w:val="0037677A"/>
    <w:rsid w:val="00377740"/>
    <w:rsid w:val="003778A0"/>
    <w:rsid w:val="00380823"/>
    <w:rsid w:val="00380C60"/>
    <w:rsid w:val="00380CEE"/>
    <w:rsid w:val="00381CAC"/>
    <w:rsid w:val="00381D83"/>
    <w:rsid w:val="00381FB0"/>
    <w:rsid w:val="003825A0"/>
    <w:rsid w:val="003827F2"/>
    <w:rsid w:val="00382F07"/>
    <w:rsid w:val="00383148"/>
    <w:rsid w:val="0038496B"/>
    <w:rsid w:val="003849FD"/>
    <w:rsid w:val="00385F8B"/>
    <w:rsid w:val="0038603B"/>
    <w:rsid w:val="003862EB"/>
    <w:rsid w:val="003862F0"/>
    <w:rsid w:val="0038632C"/>
    <w:rsid w:val="00386458"/>
    <w:rsid w:val="00386508"/>
    <w:rsid w:val="0038699F"/>
    <w:rsid w:val="00386C4D"/>
    <w:rsid w:val="00386D81"/>
    <w:rsid w:val="003872AA"/>
    <w:rsid w:val="00387385"/>
    <w:rsid w:val="00387DBD"/>
    <w:rsid w:val="0039025F"/>
    <w:rsid w:val="003902C4"/>
    <w:rsid w:val="00390AC8"/>
    <w:rsid w:val="00391077"/>
    <w:rsid w:val="0039118E"/>
    <w:rsid w:val="0039151A"/>
    <w:rsid w:val="00391BDC"/>
    <w:rsid w:val="00391E69"/>
    <w:rsid w:val="00392934"/>
    <w:rsid w:val="003933E5"/>
    <w:rsid w:val="00394216"/>
    <w:rsid w:val="00394890"/>
    <w:rsid w:val="00394A6A"/>
    <w:rsid w:val="00394D34"/>
    <w:rsid w:val="00395360"/>
    <w:rsid w:val="0039554B"/>
    <w:rsid w:val="003955A9"/>
    <w:rsid w:val="00395655"/>
    <w:rsid w:val="00395A34"/>
    <w:rsid w:val="00395F09"/>
    <w:rsid w:val="003968C0"/>
    <w:rsid w:val="00396FA9"/>
    <w:rsid w:val="00396FC1"/>
    <w:rsid w:val="00397019"/>
    <w:rsid w:val="003970EE"/>
    <w:rsid w:val="0039713A"/>
    <w:rsid w:val="003A0070"/>
    <w:rsid w:val="003A0106"/>
    <w:rsid w:val="003A0AFB"/>
    <w:rsid w:val="003A1142"/>
    <w:rsid w:val="003A1966"/>
    <w:rsid w:val="003A2019"/>
    <w:rsid w:val="003A2198"/>
    <w:rsid w:val="003A289D"/>
    <w:rsid w:val="003A2D3E"/>
    <w:rsid w:val="003A3364"/>
    <w:rsid w:val="003A3F0D"/>
    <w:rsid w:val="003A4306"/>
    <w:rsid w:val="003A461D"/>
    <w:rsid w:val="003A4AF7"/>
    <w:rsid w:val="003A4BF6"/>
    <w:rsid w:val="003A4C53"/>
    <w:rsid w:val="003A4C93"/>
    <w:rsid w:val="003A50CF"/>
    <w:rsid w:val="003A52B4"/>
    <w:rsid w:val="003A5398"/>
    <w:rsid w:val="003A56D8"/>
    <w:rsid w:val="003A57D9"/>
    <w:rsid w:val="003A5F61"/>
    <w:rsid w:val="003A6616"/>
    <w:rsid w:val="003A687E"/>
    <w:rsid w:val="003A6E83"/>
    <w:rsid w:val="003A728D"/>
    <w:rsid w:val="003A74EC"/>
    <w:rsid w:val="003A79C9"/>
    <w:rsid w:val="003B00B7"/>
    <w:rsid w:val="003B0D6A"/>
    <w:rsid w:val="003B16F2"/>
    <w:rsid w:val="003B1B13"/>
    <w:rsid w:val="003B1F9A"/>
    <w:rsid w:val="003B24DB"/>
    <w:rsid w:val="003B2AEF"/>
    <w:rsid w:val="003B3239"/>
    <w:rsid w:val="003B3DEE"/>
    <w:rsid w:val="003B4166"/>
    <w:rsid w:val="003B42EB"/>
    <w:rsid w:val="003B4392"/>
    <w:rsid w:val="003B4642"/>
    <w:rsid w:val="003B557E"/>
    <w:rsid w:val="003B5D24"/>
    <w:rsid w:val="003B6243"/>
    <w:rsid w:val="003B672E"/>
    <w:rsid w:val="003B687B"/>
    <w:rsid w:val="003B7308"/>
    <w:rsid w:val="003B7AC7"/>
    <w:rsid w:val="003B7C4E"/>
    <w:rsid w:val="003B7FA8"/>
    <w:rsid w:val="003C055D"/>
    <w:rsid w:val="003C05E5"/>
    <w:rsid w:val="003C0B41"/>
    <w:rsid w:val="003C0B8F"/>
    <w:rsid w:val="003C0EA4"/>
    <w:rsid w:val="003C173D"/>
    <w:rsid w:val="003C1A4E"/>
    <w:rsid w:val="003C1FF5"/>
    <w:rsid w:val="003C2038"/>
    <w:rsid w:val="003C2240"/>
    <w:rsid w:val="003C24E2"/>
    <w:rsid w:val="003C2528"/>
    <w:rsid w:val="003C2592"/>
    <w:rsid w:val="003C3D5D"/>
    <w:rsid w:val="003C3EEE"/>
    <w:rsid w:val="003C4209"/>
    <w:rsid w:val="003C49E5"/>
    <w:rsid w:val="003C4AFC"/>
    <w:rsid w:val="003C4D67"/>
    <w:rsid w:val="003C5139"/>
    <w:rsid w:val="003C5AA0"/>
    <w:rsid w:val="003C5B20"/>
    <w:rsid w:val="003C5D7E"/>
    <w:rsid w:val="003C61FF"/>
    <w:rsid w:val="003C64CA"/>
    <w:rsid w:val="003C701C"/>
    <w:rsid w:val="003C7455"/>
    <w:rsid w:val="003C74B2"/>
    <w:rsid w:val="003C766C"/>
    <w:rsid w:val="003C7D59"/>
    <w:rsid w:val="003D091D"/>
    <w:rsid w:val="003D1A88"/>
    <w:rsid w:val="003D2647"/>
    <w:rsid w:val="003D29DF"/>
    <w:rsid w:val="003D31C8"/>
    <w:rsid w:val="003D31E0"/>
    <w:rsid w:val="003D3272"/>
    <w:rsid w:val="003D3987"/>
    <w:rsid w:val="003D3C19"/>
    <w:rsid w:val="003D3D21"/>
    <w:rsid w:val="003D3E36"/>
    <w:rsid w:val="003D41A0"/>
    <w:rsid w:val="003D4BE2"/>
    <w:rsid w:val="003D5169"/>
    <w:rsid w:val="003D57F0"/>
    <w:rsid w:val="003D60A1"/>
    <w:rsid w:val="003D60A9"/>
    <w:rsid w:val="003D6C0C"/>
    <w:rsid w:val="003D6FA0"/>
    <w:rsid w:val="003D7367"/>
    <w:rsid w:val="003D7568"/>
    <w:rsid w:val="003E0617"/>
    <w:rsid w:val="003E069B"/>
    <w:rsid w:val="003E06EB"/>
    <w:rsid w:val="003E081A"/>
    <w:rsid w:val="003E08BF"/>
    <w:rsid w:val="003E1310"/>
    <w:rsid w:val="003E1362"/>
    <w:rsid w:val="003E1937"/>
    <w:rsid w:val="003E1A77"/>
    <w:rsid w:val="003E26F4"/>
    <w:rsid w:val="003E33B8"/>
    <w:rsid w:val="003E3FE3"/>
    <w:rsid w:val="003E4410"/>
    <w:rsid w:val="003E4AB9"/>
    <w:rsid w:val="003E4DA3"/>
    <w:rsid w:val="003E5024"/>
    <w:rsid w:val="003E5111"/>
    <w:rsid w:val="003E67D2"/>
    <w:rsid w:val="003E6B80"/>
    <w:rsid w:val="003E6F3C"/>
    <w:rsid w:val="003E7450"/>
    <w:rsid w:val="003E7FA3"/>
    <w:rsid w:val="003F0782"/>
    <w:rsid w:val="003F1160"/>
    <w:rsid w:val="003F116A"/>
    <w:rsid w:val="003F1857"/>
    <w:rsid w:val="003F1D0A"/>
    <w:rsid w:val="003F20E3"/>
    <w:rsid w:val="003F225E"/>
    <w:rsid w:val="003F267A"/>
    <w:rsid w:val="003F2CCE"/>
    <w:rsid w:val="003F2D5E"/>
    <w:rsid w:val="003F2F31"/>
    <w:rsid w:val="003F2F79"/>
    <w:rsid w:val="003F3071"/>
    <w:rsid w:val="003F31B0"/>
    <w:rsid w:val="003F35DB"/>
    <w:rsid w:val="003F37B9"/>
    <w:rsid w:val="003F4504"/>
    <w:rsid w:val="003F457B"/>
    <w:rsid w:val="003F47F0"/>
    <w:rsid w:val="003F4A0E"/>
    <w:rsid w:val="003F4E06"/>
    <w:rsid w:val="003F52A8"/>
    <w:rsid w:val="003F56E1"/>
    <w:rsid w:val="003F5CB3"/>
    <w:rsid w:val="003F5E8C"/>
    <w:rsid w:val="003F62BB"/>
    <w:rsid w:val="003F6844"/>
    <w:rsid w:val="003F6860"/>
    <w:rsid w:val="003F6DFE"/>
    <w:rsid w:val="003F74C9"/>
    <w:rsid w:val="00400544"/>
    <w:rsid w:val="00400775"/>
    <w:rsid w:val="004007A7"/>
    <w:rsid w:val="00400B8E"/>
    <w:rsid w:val="00400DE5"/>
    <w:rsid w:val="00401A51"/>
    <w:rsid w:val="0040226A"/>
    <w:rsid w:val="004023FC"/>
    <w:rsid w:val="00402403"/>
    <w:rsid w:val="00402D11"/>
    <w:rsid w:val="004039D4"/>
    <w:rsid w:val="00404181"/>
    <w:rsid w:val="00404C5A"/>
    <w:rsid w:val="00405733"/>
    <w:rsid w:val="00405C28"/>
    <w:rsid w:val="004066D9"/>
    <w:rsid w:val="00406CAB"/>
    <w:rsid w:val="0040758F"/>
    <w:rsid w:val="00407C3F"/>
    <w:rsid w:val="00407E1A"/>
    <w:rsid w:val="004108D5"/>
    <w:rsid w:val="00410928"/>
    <w:rsid w:val="00410E27"/>
    <w:rsid w:val="00411976"/>
    <w:rsid w:val="00411DEA"/>
    <w:rsid w:val="00412466"/>
    <w:rsid w:val="004136B2"/>
    <w:rsid w:val="00413BCB"/>
    <w:rsid w:val="004147E2"/>
    <w:rsid w:val="00414836"/>
    <w:rsid w:val="004151C7"/>
    <w:rsid w:val="0041645F"/>
    <w:rsid w:val="00417250"/>
    <w:rsid w:val="004173D1"/>
    <w:rsid w:val="004176F3"/>
    <w:rsid w:val="00420259"/>
    <w:rsid w:val="0042051F"/>
    <w:rsid w:val="00420689"/>
    <w:rsid w:val="00420935"/>
    <w:rsid w:val="00420A7F"/>
    <w:rsid w:val="00420FF3"/>
    <w:rsid w:val="0042186A"/>
    <w:rsid w:val="004219AB"/>
    <w:rsid w:val="00421CFF"/>
    <w:rsid w:val="004222DC"/>
    <w:rsid w:val="004229E2"/>
    <w:rsid w:val="00422AF6"/>
    <w:rsid w:val="004232E3"/>
    <w:rsid w:val="0042341B"/>
    <w:rsid w:val="0042428E"/>
    <w:rsid w:val="004245B7"/>
    <w:rsid w:val="00424E1C"/>
    <w:rsid w:val="00425207"/>
    <w:rsid w:val="00425373"/>
    <w:rsid w:val="0042755B"/>
    <w:rsid w:val="00427C45"/>
    <w:rsid w:val="00427E08"/>
    <w:rsid w:val="00427E96"/>
    <w:rsid w:val="00427F80"/>
    <w:rsid w:val="004300A8"/>
    <w:rsid w:val="00430294"/>
    <w:rsid w:val="004310FA"/>
    <w:rsid w:val="004328CF"/>
    <w:rsid w:val="0043293E"/>
    <w:rsid w:val="00433085"/>
    <w:rsid w:val="00433541"/>
    <w:rsid w:val="004339AE"/>
    <w:rsid w:val="00433B24"/>
    <w:rsid w:val="00433B48"/>
    <w:rsid w:val="00433F1E"/>
    <w:rsid w:val="004346DC"/>
    <w:rsid w:val="00434860"/>
    <w:rsid w:val="004349B2"/>
    <w:rsid w:val="00434AA2"/>
    <w:rsid w:val="00434ADB"/>
    <w:rsid w:val="00434E95"/>
    <w:rsid w:val="00435ABA"/>
    <w:rsid w:val="004360C0"/>
    <w:rsid w:val="004365C7"/>
    <w:rsid w:val="00436A88"/>
    <w:rsid w:val="00436C8A"/>
    <w:rsid w:val="00436CEF"/>
    <w:rsid w:val="00437046"/>
    <w:rsid w:val="0043735C"/>
    <w:rsid w:val="00437488"/>
    <w:rsid w:val="004374C7"/>
    <w:rsid w:val="00437731"/>
    <w:rsid w:val="00437B38"/>
    <w:rsid w:val="00437EA0"/>
    <w:rsid w:val="00437FA9"/>
    <w:rsid w:val="00440189"/>
    <w:rsid w:val="00440284"/>
    <w:rsid w:val="0044110E"/>
    <w:rsid w:val="004412EF"/>
    <w:rsid w:val="00441820"/>
    <w:rsid w:val="00441911"/>
    <w:rsid w:val="00441E58"/>
    <w:rsid w:val="00442142"/>
    <w:rsid w:val="0044250F"/>
    <w:rsid w:val="00442582"/>
    <w:rsid w:val="004429F7"/>
    <w:rsid w:val="00442EF2"/>
    <w:rsid w:val="00443726"/>
    <w:rsid w:val="00444864"/>
    <w:rsid w:val="004448C4"/>
    <w:rsid w:val="00444B73"/>
    <w:rsid w:val="00444F11"/>
    <w:rsid w:val="00445577"/>
    <w:rsid w:val="00445831"/>
    <w:rsid w:val="0044590F"/>
    <w:rsid w:val="00445D8B"/>
    <w:rsid w:val="00445FB1"/>
    <w:rsid w:val="004460D8"/>
    <w:rsid w:val="0044638D"/>
    <w:rsid w:val="004467D2"/>
    <w:rsid w:val="00447239"/>
    <w:rsid w:val="0045015C"/>
    <w:rsid w:val="004504AB"/>
    <w:rsid w:val="00450570"/>
    <w:rsid w:val="004506D2"/>
    <w:rsid w:val="00450894"/>
    <w:rsid w:val="004512B0"/>
    <w:rsid w:val="00453C04"/>
    <w:rsid w:val="00453FE6"/>
    <w:rsid w:val="004547A7"/>
    <w:rsid w:val="00455A09"/>
    <w:rsid w:val="00455C1F"/>
    <w:rsid w:val="00456381"/>
    <w:rsid w:val="00456673"/>
    <w:rsid w:val="00456B53"/>
    <w:rsid w:val="0045745F"/>
    <w:rsid w:val="0045762D"/>
    <w:rsid w:val="00457C2B"/>
    <w:rsid w:val="0046030A"/>
    <w:rsid w:val="00460318"/>
    <w:rsid w:val="00460B63"/>
    <w:rsid w:val="00460C69"/>
    <w:rsid w:val="00461068"/>
    <w:rsid w:val="00461A62"/>
    <w:rsid w:val="00461C83"/>
    <w:rsid w:val="004620C6"/>
    <w:rsid w:val="00463362"/>
    <w:rsid w:val="004636E5"/>
    <w:rsid w:val="0046403A"/>
    <w:rsid w:val="00464115"/>
    <w:rsid w:val="004643CB"/>
    <w:rsid w:val="00465176"/>
    <w:rsid w:val="00465B9B"/>
    <w:rsid w:val="00465F0D"/>
    <w:rsid w:val="00466C74"/>
    <w:rsid w:val="00466EE7"/>
    <w:rsid w:val="00466FBB"/>
    <w:rsid w:val="00467152"/>
    <w:rsid w:val="00470988"/>
    <w:rsid w:val="00470E6B"/>
    <w:rsid w:val="00470F1C"/>
    <w:rsid w:val="00470F36"/>
    <w:rsid w:val="004710AB"/>
    <w:rsid w:val="00471D4D"/>
    <w:rsid w:val="00471DEF"/>
    <w:rsid w:val="00472A7E"/>
    <w:rsid w:val="00472A99"/>
    <w:rsid w:val="00473FDA"/>
    <w:rsid w:val="00474898"/>
    <w:rsid w:val="00474AB0"/>
    <w:rsid w:val="00474E6A"/>
    <w:rsid w:val="004750AB"/>
    <w:rsid w:val="004752DA"/>
    <w:rsid w:val="0047606F"/>
    <w:rsid w:val="00476521"/>
    <w:rsid w:val="0047695A"/>
    <w:rsid w:val="00476AFD"/>
    <w:rsid w:val="00477248"/>
    <w:rsid w:val="004774A5"/>
    <w:rsid w:val="004775CB"/>
    <w:rsid w:val="00477CE9"/>
    <w:rsid w:val="00477D9C"/>
    <w:rsid w:val="0047A968"/>
    <w:rsid w:val="004800D9"/>
    <w:rsid w:val="00480D3B"/>
    <w:rsid w:val="004814E8"/>
    <w:rsid w:val="00481E91"/>
    <w:rsid w:val="00482146"/>
    <w:rsid w:val="00482A68"/>
    <w:rsid w:val="0048308A"/>
    <w:rsid w:val="004836E5"/>
    <w:rsid w:val="00484141"/>
    <w:rsid w:val="00484271"/>
    <w:rsid w:val="004844B5"/>
    <w:rsid w:val="004848CF"/>
    <w:rsid w:val="00484973"/>
    <w:rsid w:val="00484E27"/>
    <w:rsid w:val="00484FA2"/>
    <w:rsid w:val="0048509F"/>
    <w:rsid w:val="004850C1"/>
    <w:rsid w:val="0048523C"/>
    <w:rsid w:val="004853B2"/>
    <w:rsid w:val="0048608A"/>
    <w:rsid w:val="004866DC"/>
    <w:rsid w:val="0048747A"/>
    <w:rsid w:val="00487A3D"/>
    <w:rsid w:val="004902AB"/>
    <w:rsid w:val="00490872"/>
    <w:rsid w:val="00491278"/>
    <w:rsid w:val="00491684"/>
    <w:rsid w:val="00491B32"/>
    <w:rsid w:val="0049233E"/>
    <w:rsid w:val="00492FF6"/>
    <w:rsid w:val="00493843"/>
    <w:rsid w:val="0049392B"/>
    <w:rsid w:val="00493D1A"/>
    <w:rsid w:val="0049475C"/>
    <w:rsid w:val="0049487A"/>
    <w:rsid w:val="00495094"/>
    <w:rsid w:val="0049536E"/>
    <w:rsid w:val="0049565E"/>
    <w:rsid w:val="00495C58"/>
    <w:rsid w:val="00495D3B"/>
    <w:rsid w:val="004962A1"/>
    <w:rsid w:val="00496ACB"/>
    <w:rsid w:val="00497764"/>
    <w:rsid w:val="004A0086"/>
    <w:rsid w:val="004A0473"/>
    <w:rsid w:val="004A072B"/>
    <w:rsid w:val="004A0C7D"/>
    <w:rsid w:val="004A0E24"/>
    <w:rsid w:val="004A154C"/>
    <w:rsid w:val="004A1685"/>
    <w:rsid w:val="004A1FF1"/>
    <w:rsid w:val="004A28B4"/>
    <w:rsid w:val="004A2DB4"/>
    <w:rsid w:val="004A33E4"/>
    <w:rsid w:val="004A34DE"/>
    <w:rsid w:val="004A34F2"/>
    <w:rsid w:val="004A3F2D"/>
    <w:rsid w:val="004A3F59"/>
    <w:rsid w:val="004A4213"/>
    <w:rsid w:val="004A44B8"/>
    <w:rsid w:val="004A54E6"/>
    <w:rsid w:val="004A5A5E"/>
    <w:rsid w:val="004A5B4A"/>
    <w:rsid w:val="004A605F"/>
    <w:rsid w:val="004A61C4"/>
    <w:rsid w:val="004A6AC3"/>
    <w:rsid w:val="004A6C8A"/>
    <w:rsid w:val="004A6E2F"/>
    <w:rsid w:val="004A6FE9"/>
    <w:rsid w:val="004A7014"/>
    <w:rsid w:val="004A7154"/>
    <w:rsid w:val="004A720B"/>
    <w:rsid w:val="004A73EF"/>
    <w:rsid w:val="004A7BB7"/>
    <w:rsid w:val="004A7D55"/>
    <w:rsid w:val="004A7F65"/>
    <w:rsid w:val="004A7FB3"/>
    <w:rsid w:val="004B013E"/>
    <w:rsid w:val="004B0525"/>
    <w:rsid w:val="004B0613"/>
    <w:rsid w:val="004B0A06"/>
    <w:rsid w:val="004B0C21"/>
    <w:rsid w:val="004B1492"/>
    <w:rsid w:val="004B1EB2"/>
    <w:rsid w:val="004B2329"/>
    <w:rsid w:val="004B2980"/>
    <w:rsid w:val="004B2BE1"/>
    <w:rsid w:val="004B3616"/>
    <w:rsid w:val="004B3BFC"/>
    <w:rsid w:val="004B3FD7"/>
    <w:rsid w:val="004B4646"/>
    <w:rsid w:val="004B49C3"/>
    <w:rsid w:val="004B5279"/>
    <w:rsid w:val="004B5926"/>
    <w:rsid w:val="004B5B57"/>
    <w:rsid w:val="004B5ECF"/>
    <w:rsid w:val="004B606D"/>
    <w:rsid w:val="004B6151"/>
    <w:rsid w:val="004B673C"/>
    <w:rsid w:val="004B695A"/>
    <w:rsid w:val="004B6B07"/>
    <w:rsid w:val="004B77E9"/>
    <w:rsid w:val="004C0035"/>
    <w:rsid w:val="004C04B5"/>
    <w:rsid w:val="004C0B16"/>
    <w:rsid w:val="004C0BAC"/>
    <w:rsid w:val="004C13D7"/>
    <w:rsid w:val="004C14CF"/>
    <w:rsid w:val="004C1BB4"/>
    <w:rsid w:val="004C20D5"/>
    <w:rsid w:val="004C212D"/>
    <w:rsid w:val="004C23EE"/>
    <w:rsid w:val="004C2A3E"/>
    <w:rsid w:val="004C3291"/>
    <w:rsid w:val="004C417F"/>
    <w:rsid w:val="004C428A"/>
    <w:rsid w:val="004C43F6"/>
    <w:rsid w:val="004C4459"/>
    <w:rsid w:val="004C44CC"/>
    <w:rsid w:val="004C4580"/>
    <w:rsid w:val="004C49AB"/>
    <w:rsid w:val="004C4C74"/>
    <w:rsid w:val="004C4FF4"/>
    <w:rsid w:val="004C50EB"/>
    <w:rsid w:val="004C51F9"/>
    <w:rsid w:val="004C5527"/>
    <w:rsid w:val="004C6374"/>
    <w:rsid w:val="004C63E5"/>
    <w:rsid w:val="004C6F5A"/>
    <w:rsid w:val="004C713B"/>
    <w:rsid w:val="004C7588"/>
    <w:rsid w:val="004C79D1"/>
    <w:rsid w:val="004D0053"/>
    <w:rsid w:val="004D0461"/>
    <w:rsid w:val="004D09CF"/>
    <w:rsid w:val="004D0D25"/>
    <w:rsid w:val="004D0E6A"/>
    <w:rsid w:val="004D134B"/>
    <w:rsid w:val="004D141D"/>
    <w:rsid w:val="004D15F8"/>
    <w:rsid w:val="004D15FB"/>
    <w:rsid w:val="004D190E"/>
    <w:rsid w:val="004D26A9"/>
    <w:rsid w:val="004D308E"/>
    <w:rsid w:val="004D43B3"/>
    <w:rsid w:val="004D4740"/>
    <w:rsid w:val="004D4C01"/>
    <w:rsid w:val="004D500E"/>
    <w:rsid w:val="004D5065"/>
    <w:rsid w:val="004D5243"/>
    <w:rsid w:val="004D552C"/>
    <w:rsid w:val="004D578C"/>
    <w:rsid w:val="004D5795"/>
    <w:rsid w:val="004D5B43"/>
    <w:rsid w:val="004D5E74"/>
    <w:rsid w:val="004D5EC0"/>
    <w:rsid w:val="004D683E"/>
    <w:rsid w:val="004D68F8"/>
    <w:rsid w:val="004D695C"/>
    <w:rsid w:val="004D69AD"/>
    <w:rsid w:val="004D7148"/>
    <w:rsid w:val="004D7808"/>
    <w:rsid w:val="004D7F11"/>
    <w:rsid w:val="004E0264"/>
    <w:rsid w:val="004E1657"/>
    <w:rsid w:val="004E1972"/>
    <w:rsid w:val="004E1B50"/>
    <w:rsid w:val="004E2106"/>
    <w:rsid w:val="004E21C8"/>
    <w:rsid w:val="004E21CB"/>
    <w:rsid w:val="004E36B8"/>
    <w:rsid w:val="004E3A42"/>
    <w:rsid w:val="004E401B"/>
    <w:rsid w:val="004E4754"/>
    <w:rsid w:val="004E4A6B"/>
    <w:rsid w:val="004E4D5F"/>
    <w:rsid w:val="004E5F5A"/>
    <w:rsid w:val="004E6223"/>
    <w:rsid w:val="004E64B4"/>
    <w:rsid w:val="004E67EA"/>
    <w:rsid w:val="004E6871"/>
    <w:rsid w:val="004E6D7C"/>
    <w:rsid w:val="004E77F2"/>
    <w:rsid w:val="004F05C4"/>
    <w:rsid w:val="004F078C"/>
    <w:rsid w:val="004F1904"/>
    <w:rsid w:val="004F1AC1"/>
    <w:rsid w:val="004F1EB3"/>
    <w:rsid w:val="004F20DC"/>
    <w:rsid w:val="004F3131"/>
    <w:rsid w:val="004F43D5"/>
    <w:rsid w:val="004F45F6"/>
    <w:rsid w:val="004F46F7"/>
    <w:rsid w:val="004F4AB3"/>
    <w:rsid w:val="004F5404"/>
    <w:rsid w:val="004F5770"/>
    <w:rsid w:val="004F58AC"/>
    <w:rsid w:val="004F5EC8"/>
    <w:rsid w:val="004F6509"/>
    <w:rsid w:val="004F6E49"/>
    <w:rsid w:val="00500A30"/>
    <w:rsid w:val="00500FB2"/>
    <w:rsid w:val="00501B7C"/>
    <w:rsid w:val="00502512"/>
    <w:rsid w:val="0050296F"/>
    <w:rsid w:val="00502C9B"/>
    <w:rsid w:val="00502D66"/>
    <w:rsid w:val="00502F2E"/>
    <w:rsid w:val="00503CB6"/>
    <w:rsid w:val="00503D1E"/>
    <w:rsid w:val="0050420A"/>
    <w:rsid w:val="005043BE"/>
    <w:rsid w:val="0050443F"/>
    <w:rsid w:val="0050452F"/>
    <w:rsid w:val="005045B6"/>
    <w:rsid w:val="0050462C"/>
    <w:rsid w:val="00505075"/>
    <w:rsid w:val="00505248"/>
    <w:rsid w:val="00505275"/>
    <w:rsid w:val="00505D9B"/>
    <w:rsid w:val="00506A51"/>
    <w:rsid w:val="00507253"/>
    <w:rsid w:val="00507A02"/>
    <w:rsid w:val="005104C7"/>
    <w:rsid w:val="00510907"/>
    <w:rsid w:val="00510F33"/>
    <w:rsid w:val="005118E1"/>
    <w:rsid w:val="00511AA9"/>
    <w:rsid w:val="00511BFE"/>
    <w:rsid w:val="00512A5B"/>
    <w:rsid w:val="00512D14"/>
    <w:rsid w:val="00512D6E"/>
    <w:rsid w:val="0051352E"/>
    <w:rsid w:val="00513B51"/>
    <w:rsid w:val="00513CDA"/>
    <w:rsid w:val="005141AE"/>
    <w:rsid w:val="00514D29"/>
    <w:rsid w:val="005152A2"/>
    <w:rsid w:val="005157D1"/>
    <w:rsid w:val="00515F47"/>
    <w:rsid w:val="005162AA"/>
    <w:rsid w:val="00516F7B"/>
    <w:rsid w:val="0051756A"/>
    <w:rsid w:val="0051760E"/>
    <w:rsid w:val="005176A2"/>
    <w:rsid w:val="005179B6"/>
    <w:rsid w:val="00517DA7"/>
    <w:rsid w:val="00517FC3"/>
    <w:rsid w:val="00520A33"/>
    <w:rsid w:val="00520A4D"/>
    <w:rsid w:val="00520B31"/>
    <w:rsid w:val="00521058"/>
    <w:rsid w:val="005217DE"/>
    <w:rsid w:val="00521A84"/>
    <w:rsid w:val="00522B5A"/>
    <w:rsid w:val="00522E3B"/>
    <w:rsid w:val="005235ED"/>
    <w:rsid w:val="00523741"/>
    <w:rsid w:val="0052393E"/>
    <w:rsid w:val="00523A20"/>
    <w:rsid w:val="00524078"/>
    <w:rsid w:val="005242E0"/>
    <w:rsid w:val="00524864"/>
    <w:rsid w:val="00524F5E"/>
    <w:rsid w:val="00525A3B"/>
    <w:rsid w:val="00526151"/>
    <w:rsid w:val="0052677F"/>
    <w:rsid w:val="00526C16"/>
    <w:rsid w:val="00526D36"/>
    <w:rsid w:val="00527051"/>
    <w:rsid w:val="00527262"/>
    <w:rsid w:val="00527542"/>
    <w:rsid w:val="00527749"/>
    <w:rsid w:val="00527AE1"/>
    <w:rsid w:val="00527AE4"/>
    <w:rsid w:val="00527BD6"/>
    <w:rsid w:val="005300F4"/>
    <w:rsid w:val="00530272"/>
    <w:rsid w:val="005303E7"/>
    <w:rsid w:val="0053084B"/>
    <w:rsid w:val="00530BBB"/>
    <w:rsid w:val="00530EA8"/>
    <w:rsid w:val="00530F1D"/>
    <w:rsid w:val="00531B7A"/>
    <w:rsid w:val="00531D23"/>
    <w:rsid w:val="0053221B"/>
    <w:rsid w:val="005325F1"/>
    <w:rsid w:val="00532D45"/>
    <w:rsid w:val="005330BA"/>
    <w:rsid w:val="005330D8"/>
    <w:rsid w:val="0053392F"/>
    <w:rsid w:val="00533BFD"/>
    <w:rsid w:val="00533DF2"/>
    <w:rsid w:val="00533EB2"/>
    <w:rsid w:val="00533EE5"/>
    <w:rsid w:val="00533F37"/>
    <w:rsid w:val="00534BB5"/>
    <w:rsid w:val="00534E71"/>
    <w:rsid w:val="00535460"/>
    <w:rsid w:val="00535BC1"/>
    <w:rsid w:val="005372A2"/>
    <w:rsid w:val="005372DA"/>
    <w:rsid w:val="005374C1"/>
    <w:rsid w:val="00537AAF"/>
    <w:rsid w:val="005410C0"/>
    <w:rsid w:val="00541956"/>
    <w:rsid w:val="00541E75"/>
    <w:rsid w:val="00541FBA"/>
    <w:rsid w:val="00542339"/>
    <w:rsid w:val="00543487"/>
    <w:rsid w:val="00543833"/>
    <w:rsid w:val="005439F9"/>
    <w:rsid w:val="00544283"/>
    <w:rsid w:val="005442F4"/>
    <w:rsid w:val="00544381"/>
    <w:rsid w:val="00544F9B"/>
    <w:rsid w:val="00545019"/>
    <w:rsid w:val="00545477"/>
    <w:rsid w:val="00545A3F"/>
    <w:rsid w:val="0054618A"/>
    <w:rsid w:val="0054650E"/>
    <w:rsid w:val="005468E7"/>
    <w:rsid w:val="00546A72"/>
    <w:rsid w:val="00546AA6"/>
    <w:rsid w:val="00546E34"/>
    <w:rsid w:val="005472B1"/>
    <w:rsid w:val="00547320"/>
    <w:rsid w:val="005474B2"/>
    <w:rsid w:val="00550721"/>
    <w:rsid w:val="005508ED"/>
    <w:rsid w:val="00550C3E"/>
    <w:rsid w:val="00550C57"/>
    <w:rsid w:val="00550FBC"/>
    <w:rsid w:val="00551103"/>
    <w:rsid w:val="00551A18"/>
    <w:rsid w:val="00551B96"/>
    <w:rsid w:val="00552769"/>
    <w:rsid w:val="005527CF"/>
    <w:rsid w:val="00553662"/>
    <w:rsid w:val="0055372B"/>
    <w:rsid w:val="0055376D"/>
    <w:rsid w:val="00553979"/>
    <w:rsid w:val="005543A1"/>
    <w:rsid w:val="00554948"/>
    <w:rsid w:val="00554D5C"/>
    <w:rsid w:val="0055524C"/>
    <w:rsid w:val="00555A27"/>
    <w:rsid w:val="00555DD5"/>
    <w:rsid w:val="005561A9"/>
    <w:rsid w:val="00556DE5"/>
    <w:rsid w:val="00557487"/>
    <w:rsid w:val="0055793B"/>
    <w:rsid w:val="00557C33"/>
    <w:rsid w:val="00557D6E"/>
    <w:rsid w:val="005602C1"/>
    <w:rsid w:val="00560BA5"/>
    <w:rsid w:val="00560FA5"/>
    <w:rsid w:val="00561853"/>
    <w:rsid w:val="00561B7C"/>
    <w:rsid w:val="005621F0"/>
    <w:rsid w:val="0056278C"/>
    <w:rsid w:val="00562DA7"/>
    <w:rsid w:val="005634DD"/>
    <w:rsid w:val="005634EC"/>
    <w:rsid w:val="00563542"/>
    <w:rsid w:val="00564921"/>
    <w:rsid w:val="00564947"/>
    <w:rsid w:val="00564DF2"/>
    <w:rsid w:val="00564E1B"/>
    <w:rsid w:val="00565A9C"/>
    <w:rsid w:val="00566621"/>
    <w:rsid w:val="0056691F"/>
    <w:rsid w:val="00566D65"/>
    <w:rsid w:val="00566E39"/>
    <w:rsid w:val="0057084C"/>
    <w:rsid w:val="00570CCD"/>
    <w:rsid w:val="0057174E"/>
    <w:rsid w:val="005717F0"/>
    <w:rsid w:val="005718EC"/>
    <w:rsid w:val="00571BB3"/>
    <w:rsid w:val="00571DA6"/>
    <w:rsid w:val="00572EC6"/>
    <w:rsid w:val="005731C6"/>
    <w:rsid w:val="00573273"/>
    <w:rsid w:val="0057358F"/>
    <w:rsid w:val="00573C07"/>
    <w:rsid w:val="0057412A"/>
    <w:rsid w:val="005742B8"/>
    <w:rsid w:val="00574346"/>
    <w:rsid w:val="00574362"/>
    <w:rsid w:val="005744FA"/>
    <w:rsid w:val="005747E3"/>
    <w:rsid w:val="005750B1"/>
    <w:rsid w:val="00575387"/>
    <w:rsid w:val="005753E2"/>
    <w:rsid w:val="005760BB"/>
    <w:rsid w:val="005763E4"/>
    <w:rsid w:val="005765D6"/>
    <w:rsid w:val="0057680B"/>
    <w:rsid w:val="00576EFC"/>
    <w:rsid w:val="0057714F"/>
    <w:rsid w:val="0057748B"/>
    <w:rsid w:val="005775DF"/>
    <w:rsid w:val="00577AE2"/>
    <w:rsid w:val="005800CE"/>
    <w:rsid w:val="00580E1E"/>
    <w:rsid w:val="005818C8"/>
    <w:rsid w:val="00581E48"/>
    <w:rsid w:val="0058215C"/>
    <w:rsid w:val="005831EA"/>
    <w:rsid w:val="00583585"/>
    <w:rsid w:val="00583BDD"/>
    <w:rsid w:val="00583CCB"/>
    <w:rsid w:val="005842CC"/>
    <w:rsid w:val="00584B43"/>
    <w:rsid w:val="00585326"/>
    <w:rsid w:val="0058535E"/>
    <w:rsid w:val="005854E0"/>
    <w:rsid w:val="00585603"/>
    <w:rsid w:val="0058585A"/>
    <w:rsid w:val="00585E76"/>
    <w:rsid w:val="0058681A"/>
    <w:rsid w:val="00586AF0"/>
    <w:rsid w:val="00586ED7"/>
    <w:rsid w:val="00586F0A"/>
    <w:rsid w:val="005873AF"/>
    <w:rsid w:val="005873F6"/>
    <w:rsid w:val="00590A82"/>
    <w:rsid w:val="00590BCA"/>
    <w:rsid w:val="00591363"/>
    <w:rsid w:val="00591421"/>
    <w:rsid w:val="00591EAA"/>
    <w:rsid w:val="005924AE"/>
    <w:rsid w:val="00592869"/>
    <w:rsid w:val="00592C68"/>
    <w:rsid w:val="00592CA9"/>
    <w:rsid w:val="00593279"/>
    <w:rsid w:val="005936F5"/>
    <w:rsid w:val="00593C9D"/>
    <w:rsid w:val="00593D96"/>
    <w:rsid w:val="00594095"/>
    <w:rsid w:val="00594316"/>
    <w:rsid w:val="00594AB6"/>
    <w:rsid w:val="00594DD4"/>
    <w:rsid w:val="00594F86"/>
    <w:rsid w:val="005953B8"/>
    <w:rsid w:val="00595629"/>
    <w:rsid w:val="00595698"/>
    <w:rsid w:val="00595E07"/>
    <w:rsid w:val="00596371"/>
    <w:rsid w:val="005969DE"/>
    <w:rsid w:val="0059749B"/>
    <w:rsid w:val="005978D1"/>
    <w:rsid w:val="00597A47"/>
    <w:rsid w:val="00597A7C"/>
    <w:rsid w:val="005A015C"/>
    <w:rsid w:val="005A0953"/>
    <w:rsid w:val="005A0D9C"/>
    <w:rsid w:val="005A0E1E"/>
    <w:rsid w:val="005A1731"/>
    <w:rsid w:val="005A1F20"/>
    <w:rsid w:val="005A2DBA"/>
    <w:rsid w:val="005A2EC5"/>
    <w:rsid w:val="005A43F5"/>
    <w:rsid w:val="005A4835"/>
    <w:rsid w:val="005A4848"/>
    <w:rsid w:val="005A4B39"/>
    <w:rsid w:val="005A4C54"/>
    <w:rsid w:val="005A4C63"/>
    <w:rsid w:val="005A59DD"/>
    <w:rsid w:val="005A5C6C"/>
    <w:rsid w:val="005A5C72"/>
    <w:rsid w:val="005A5D41"/>
    <w:rsid w:val="005A5D6D"/>
    <w:rsid w:val="005A6611"/>
    <w:rsid w:val="005A6796"/>
    <w:rsid w:val="005A6A86"/>
    <w:rsid w:val="005A6D83"/>
    <w:rsid w:val="005A744E"/>
    <w:rsid w:val="005A7882"/>
    <w:rsid w:val="005A7AB5"/>
    <w:rsid w:val="005A7E6B"/>
    <w:rsid w:val="005B025A"/>
    <w:rsid w:val="005B03A7"/>
    <w:rsid w:val="005B0413"/>
    <w:rsid w:val="005B139D"/>
    <w:rsid w:val="005B285F"/>
    <w:rsid w:val="005B2B1A"/>
    <w:rsid w:val="005B3471"/>
    <w:rsid w:val="005B3EDA"/>
    <w:rsid w:val="005B4302"/>
    <w:rsid w:val="005B4368"/>
    <w:rsid w:val="005B47BA"/>
    <w:rsid w:val="005B4E7D"/>
    <w:rsid w:val="005B51B9"/>
    <w:rsid w:val="005B5393"/>
    <w:rsid w:val="005B56CE"/>
    <w:rsid w:val="005B6552"/>
    <w:rsid w:val="005B6944"/>
    <w:rsid w:val="005B6A11"/>
    <w:rsid w:val="005B6F53"/>
    <w:rsid w:val="005B77A7"/>
    <w:rsid w:val="005B7E01"/>
    <w:rsid w:val="005C0349"/>
    <w:rsid w:val="005C0568"/>
    <w:rsid w:val="005C0C59"/>
    <w:rsid w:val="005C1837"/>
    <w:rsid w:val="005C188C"/>
    <w:rsid w:val="005C213A"/>
    <w:rsid w:val="005C21DA"/>
    <w:rsid w:val="005C21E6"/>
    <w:rsid w:val="005C23FD"/>
    <w:rsid w:val="005C2F43"/>
    <w:rsid w:val="005C32D7"/>
    <w:rsid w:val="005C33B1"/>
    <w:rsid w:val="005C35EE"/>
    <w:rsid w:val="005C36FA"/>
    <w:rsid w:val="005C394D"/>
    <w:rsid w:val="005C41EF"/>
    <w:rsid w:val="005C4214"/>
    <w:rsid w:val="005C4304"/>
    <w:rsid w:val="005C452A"/>
    <w:rsid w:val="005C470F"/>
    <w:rsid w:val="005C5207"/>
    <w:rsid w:val="005C52FB"/>
    <w:rsid w:val="005C5A34"/>
    <w:rsid w:val="005C5C80"/>
    <w:rsid w:val="005C62B4"/>
    <w:rsid w:val="005C6896"/>
    <w:rsid w:val="005C6E42"/>
    <w:rsid w:val="005C71A3"/>
    <w:rsid w:val="005C7B69"/>
    <w:rsid w:val="005C7BD7"/>
    <w:rsid w:val="005C7C70"/>
    <w:rsid w:val="005C7F61"/>
    <w:rsid w:val="005D0322"/>
    <w:rsid w:val="005D035C"/>
    <w:rsid w:val="005D0380"/>
    <w:rsid w:val="005D077F"/>
    <w:rsid w:val="005D11EB"/>
    <w:rsid w:val="005D14BD"/>
    <w:rsid w:val="005D1EAC"/>
    <w:rsid w:val="005D3323"/>
    <w:rsid w:val="005D36A8"/>
    <w:rsid w:val="005D4312"/>
    <w:rsid w:val="005D4389"/>
    <w:rsid w:val="005D440C"/>
    <w:rsid w:val="005D4413"/>
    <w:rsid w:val="005D465B"/>
    <w:rsid w:val="005D4AC2"/>
    <w:rsid w:val="005D4F56"/>
    <w:rsid w:val="005D5AE3"/>
    <w:rsid w:val="005D5DAC"/>
    <w:rsid w:val="005D5E76"/>
    <w:rsid w:val="005D6ADE"/>
    <w:rsid w:val="005D74AC"/>
    <w:rsid w:val="005D7A63"/>
    <w:rsid w:val="005E03E8"/>
    <w:rsid w:val="005E0448"/>
    <w:rsid w:val="005E0562"/>
    <w:rsid w:val="005E0977"/>
    <w:rsid w:val="005E09AE"/>
    <w:rsid w:val="005E0AB9"/>
    <w:rsid w:val="005E0BBC"/>
    <w:rsid w:val="005E12A9"/>
    <w:rsid w:val="005E13F5"/>
    <w:rsid w:val="005E1427"/>
    <w:rsid w:val="005E156B"/>
    <w:rsid w:val="005E165F"/>
    <w:rsid w:val="005E2076"/>
    <w:rsid w:val="005E27ED"/>
    <w:rsid w:val="005E2823"/>
    <w:rsid w:val="005E2977"/>
    <w:rsid w:val="005E2E21"/>
    <w:rsid w:val="005E3117"/>
    <w:rsid w:val="005E32E0"/>
    <w:rsid w:val="005E357D"/>
    <w:rsid w:val="005E3839"/>
    <w:rsid w:val="005E3AC7"/>
    <w:rsid w:val="005E3C0F"/>
    <w:rsid w:val="005E3D06"/>
    <w:rsid w:val="005E3EDA"/>
    <w:rsid w:val="005E406A"/>
    <w:rsid w:val="005E43C1"/>
    <w:rsid w:val="005E441F"/>
    <w:rsid w:val="005E4B99"/>
    <w:rsid w:val="005E5020"/>
    <w:rsid w:val="005E509E"/>
    <w:rsid w:val="005E532B"/>
    <w:rsid w:val="005E5812"/>
    <w:rsid w:val="005E5EAF"/>
    <w:rsid w:val="005E6459"/>
    <w:rsid w:val="005E651D"/>
    <w:rsid w:val="005E6ADA"/>
    <w:rsid w:val="005E6EC5"/>
    <w:rsid w:val="005E706C"/>
    <w:rsid w:val="005E737D"/>
    <w:rsid w:val="005E7AC9"/>
    <w:rsid w:val="005E7F2C"/>
    <w:rsid w:val="005E7FA0"/>
    <w:rsid w:val="005F070E"/>
    <w:rsid w:val="005F0B00"/>
    <w:rsid w:val="005F1440"/>
    <w:rsid w:val="005F1505"/>
    <w:rsid w:val="005F16FE"/>
    <w:rsid w:val="005F1994"/>
    <w:rsid w:val="005F1A29"/>
    <w:rsid w:val="005F242D"/>
    <w:rsid w:val="005F250D"/>
    <w:rsid w:val="005F2846"/>
    <w:rsid w:val="005F3B00"/>
    <w:rsid w:val="005F3B52"/>
    <w:rsid w:val="005F5411"/>
    <w:rsid w:val="005F5B69"/>
    <w:rsid w:val="005F6632"/>
    <w:rsid w:val="005F6768"/>
    <w:rsid w:val="005F6847"/>
    <w:rsid w:val="005F695A"/>
    <w:rsid w:val="005F69F8"/>
    <w:rsid w:val="005F70FA"/>
    <w:rsid w:val="005F75E1"/>
    <w:rsid w:val="005F7E25"/>
    <w:rsid w:val="005F7F29"/>
    <w:rsid w:val="00600A09"/>
    <w:rsid w:val="00600BEC"/>
    <w:rsid w:val="00600CC5"/>
    <w:rsid w:val="00600D8B"/>
    <w:rsid w:val="00600EB3"/>
    <w:rsid w:val="00601B38"/>
    <w:rsid w:val="006024C7"/>
    <w:rsid w:val="00602712"/>
    <w:rsid w:val="0060293E"/>
    <w:rsid w:val="00602A2E"/>
    <w:rsid w:val="00602E65"/>
    <w:rsid w:val="00602EDE"/>
    <w:rsid w:val="00603A7D"/>
    <w:rsid w:val="00603A8E"/>
    <w:rsid w:val="00604283"/>
    <w:rsid w:val="00604925"/>
    <w:rsid w:val="00605797"/>
    <w:rsid w:val="006059E4"/>
    <w:rsid w:val="00605E7E"/>
    <w:rsid w:val="00606179"/>
    <w:rsid w:val="00606371"/>
    <w:rsid w:val="0060667C"/>
    <w:rsid w:val="00606ECF"/>
    <w:rsid w:val="006075F6"/>
    <w:rsid w:val="00607B18"/>
    <w:rsid w:val="00607E09"/>
    <w:rsid w:val="006101AC"/>
    <w:rsid w:val="00610569"/>
    <w:rsid w:val="00610772"/>
    <w:rsid w:val="00610B67"/>
    <w:rsid w:val="00610F09"/>
    <w:rsid w:val="00611724"/>
    <w:rsid w:val="00611E12"/>
    <w:rsid w:val="00611E30"/>
    <w:rsid w:val="006148DA"/>
    <w:rsid w:val="00614E8D"/>
    <w:rsid w:val="0061509E"/>
    <w:rsid w:val="00616ACE"/>
    <w:rsid w:val="00616E45"/>
    <w:rsid w:val="00617564"/>
    <w:rsid w:val="0061782F"/>
    <w:rsid w:val="00617D3B"/>
    <w:rsid w:val="00620312"/>
    <w:rsid w:val="00620E69"/>
    <w:rsid w:val="00621009"/>
    <w:rsid w:val="00621372"/>
    <w:rsid w:val="00621482"/>
    <w:rsid w:val="00621917"/>
    <w:rsid w:val="00621FBB"/>
    <w:rsid w:val="00622257"/>
    <w:rsid w:val="0062258B"/>
    <w:rsid w:val="0062263A"/>
    <w:rsid w:val="006229C8"/>
    <w:rsid w:val="00623244"/>
    <w:rsid w:val="00623BA7"/>
    <w:rsid w:val="006241C4"/>
    <w:rsid w:val="006242C9"/>
    <w:rsid w:val="00624321"/>
    <w:rsid w:val="00624777"/>
    <w:rsid w:val="00624BA3"/>
    <w:rsid w:val="00624C7D"/>
    <w:rsid w:val="006251EA"/>
    <w:rsid w:val="0062559C"/>
    <w:rsid w:val="00625791"/>
    <w:rsid w:val="006258B9"/>
    <w:rsid w:val="00625A4F"/>
    <w:rsid w:val="00625CF7"/>
    <w:rsid w:val="00626303"/>
    <w:rsid w:val="0062696E"/>
    <w:rsid w:val="00626C38"/>
    <w:rsid w:val="00626CE3"/>
    <w:rsid w:val="0062765D"/>
    <w:rsid w:val="00630DDF"/>
    <w:rsid w:val="00630FA2"/>
    <w:rsid w:val="00630FC8"/>
    <w:rsid w:val="00631EA3"/>
    <w:rsid w:val="00632037"/>
    <w:rsid w:val="00632511"/>
    <w:rsid w:val="00632CC6"/>
    <w:rsid w:val="00632EF0"/>
    <w:rsid w:val="00633410"/>
    <w:rsid w:val="00633595"/>
    <w:rsid w:val="00633991"/>
    <w:rsid w:val="00633E4A"/>
    <w:rsid w:val="00634049"/>
    <w:rsid w:val="00634144"/>
    <w:rsid w:val="006342C2"/>
    <w:rsid w:val="00634741"/>
    <w:rsid w:val="00634B2C"/>
    <w:rsid w:val="00635346"/>
    <w:rsid w:val="006356E9"/>
    <w:rsid w:val="0063624F"/>
    <w:rsid w:val="006362D1"/>
    <w:rsid w:val="006364B9"/>
    <w:rsid w:val="006373A0"/>
    <w:rsid w:val="00637674"/>
    <w:rsid w:val="00637AC4"/>
    <w:rsid w:val="00640004"/>
    <w:rsid w:val="006400B3"/>
    <w:rsid w:val="00640175"/>
    <w:rsid w:val="00640A68"/>
    <w:rsid w:val="00640A84"/>
    <w:rsid w:val="00640AEA"/>
    <w:rsid w:val="00641CC2"/>
    <w:rsid w:val="00642287"/>
    <w:rsid w:val="00642BCE"/>
    <w:rsid w:val="006435CC"/>
    <w:rsid w:val="0064365C"/>
    <w:rsid w:val="0064370C"/>
    <w:rsid w:val="006438A5"/>
    <w:rsid w:val="00643AA7"/>
    <w:rsid w:val="006442A2"/>
    <w:rsid w:val="006442E1"/>
    <w:rsid w:val="0064440B"/>
    <w:rsid w:val="006447AF"/>
    <w:rsid w:val="0064520B"/>
    <w:rsid w:val="00645319"/>
    <w:rsid w:val="00645915"/>
    <w:rsid w:val="0064596B"/>
    <w:rsid w:val="00645BE4"/>
    <w:rsid w:val="00645D76"/>
    <w:rsid w:val="00646285"/>
    <w:rsid w:val="006471D9"/>
    <w:rsid w:val="00647F5F"/>
    <w:rsid w:val="00650A25"/>
    <w:rsid w:val="00650B53"/>
    <w:rsid w:val="00650D48"/>
    <w:rsid w:val="00650DFF"/>
    <w:rsid w:val="00650E43"/>
    <w:rsid w:val="00650E47"/>
    <w:rsid w:val="00651FCF"/>
    <w:rsid w:val="006522B9"/>
    <w:rsid w:val="006522C4"/>
    <w:rsid w:val="006527B9"/>
    <w:rsid w:val="00652E4B"/>
    <w:rsid w:val="0065525A"/>
    <w:rsid w:val="00656A91"/>
    <w:rsid w:val="00656B6F"/>
    <w:rsid w:val="006571D3"/>
    <w:rsid w:val="00657383"/>
    <w:rsid w:val="00657837"/>
    <w:rsid w:val="00657EE5"/>
    <w:rsid w:val="0066022D"/>
    <w:rsid w:val="00660B8E"/>
    <w:rsid w:val="00661451"/>
    <w:rsid w:val="00661B95"/>
    <w:rsid w:val="00662BD9"/>
    <w:rsid w:val="0066416B"/>
    <w:rsid w:val="00664232"/>
    <w:rsid w:val="006642CB"/>
    <w:rsid w:val="00664345"/>
    <w:rsid w:val="00665BB2"/>
    <w:rsid w:val="00665FEA"/>
    <w:rsid w:val="00666442"/>
    <w:rsid w:val="00666880"/>
    <w:rsid w:val="00666C32"/>
    <w:rsid w:val="006672E5"/>
    <w:rsid w:val="006672F4"/>
    <w:rsid w:val="006676D0"/>
    <w:rsid w:val="00667B83"/>
    <w:rsid w:val="0067005F"/>
    <w:rsid w:val="0067045D"/>
    <w:rsid w:val="00670642"/>
    <w:rsid w:val="006712C8"/>
    <w:rsid w:val="00671986"/>
    <w:rsid w:val="00671987"/>
    <w:rsid w:val="00672101"/>
    <w:rsid w:val="00672130"/>
    <w:rsid w:val="00672442"/>
    <w:rsid w:val="0067367E"/>
    <w:rsid w:val="006737C2"/>
    <w:rsid w:val="00673A89"/>
    <w:rsid w:val="00673AA5"/>
    <w:rsid w:val="00674523"/>
    <w:rsid w:val="00674C93"/>
    <w:rsid w:val="006750B0"/>
    <w:rsid w:val="00675B4F"/>
    <w:rsid w:val="006767EA"/>
    <w:rsid w:val="006769D7"/>
    <w:rsid w:val="00677519"/>
    <w:rsid w:val="0068051C"/>
    <w:rsid w:val="00680BA8"/>
    <w:rsid w:val="00680CAA"/>
    <w:rsid w:val="00680D0F"/>
    <w:rsid w:val="00680DBB"/>
    <w:rsid w:val="006812FD"/>
    <w:rsid w:val="00681303"/>
    <w:rsid w:val="006815AD"/>
    <w:rsid w:val="006818AF"/>
    <w:rsid w:val="0068198B"/>
    <w:rsid w:val="00681A8E"/>
    <w:rsid w:val="00681CC8"/>
    <w:rsid w:val="00682C73"/>
    <w:rsid w:val="00682D68"/>
    <w:rsid w:val="00683154"/>
    <w:rsid w:val="00683C8E"/>
    <w:rsid w:val="00683F15"/>
    <w:rsid w:val="00684992"/>
    <w:rsid w:val="00684ABE"/>
    <w:rsid w:val="00684B2A"/>
    <w:rsid w:val="00684B8B"/>
    <w:rsid w:val="00684C20"/>
    <w:rsid w:val="00684DCF"/>
    <w:rsid w:val="00685835"/>
    <w:rsid w:val="006859C5"/>
    <w:rsid w:val="00686500"/>
    <w:rsid w:val="00686DD0"/>
    <w:rsid w:val="0068719B"/>
    <w:rsid w:val="0068775B"/>
    <w:rsid w:val="00687C4D"/>
    <w:rsid w:val="00687D95"/>
    <w:rsid w:val="006905BB"/>
    <w:rsid w:val="00690E69"/>
    <w:rsid w:val="00690ED7"/>
    <w:rsid w:val="00691026"/>
    <w:rsid w:val="00691E59"/>
    <w:rsid w:val="00691FDB"/>
    <w:rsid w:val="006927AF"/>
    <w:rsid w:val="00692D4D"/>
    <w:rsid w:val="0069314C"/>
    <w:rsid w:val="00693171"/>
    <w:rsid w:val="0069328A"/>
    <w:rsid w:val="006939F5"/>
    <w:rsid w:val="00693F47"/>
    <w:rsid w:val="00693FA2"/>
    <w:rsid w:val="00694A29"/>
    <w:rsid w:val="00694B3F"/>
    <w:rsid w:val="00694BC1"/>
    <w:rsid w:val="00694ECB"/>
    <w:rsid w:val="0069531B"/>
    <w:rsid w:val="006958C2"/>
    <w:rsid w:val="006963CA"/>
    <w:rsid w:val="006965A4"/>
    <w:rsid w:val="006974A8"/>
    <w:rsid w:val="00697E8D"/>
    <w:rsid w:val="006A00CD"/>
    <w:rsid w:val="006A0150"/>
    <w:rsid w:val="006A0BDF"/>
    <w:rsid w:val="006A0F1C"/>
    <w:rsid w:val="006A124B"/>
    <w:rsid w:val="006A1414"/>
    <w:rsid w:val="006A19E7"/>
    <w:rsid w:val="006A2212"/>
    <w:rsid w:val="006A2D43"/>
    <w:rsid w:val="006A2DE9"/>
    <w:rsid w:val="006A2FB5"/>
    <w:rsid w:val="006A3470"/>
    <w:rsid w:val="006A3D08"/>
    <w:rsid w:val="006A3FD7"/>
    <w:rsid w:val="006A4159"/>
    <w:rsid w:val="006A437D"/>
    <w:rsid w:val="006A48FC"/>
    <w:rsid w:val="006A4962"/>
    <w:rsid w:val="006A4D80"/>
    <w:rsid w:val="006A558E"/>
    <w:rsid w:val="006A5C86"/>
    <w:rsid w:val="006A5CF3"/>
    <w:rsid w:val="006A6184"/>
    <w:rsid w:val="006A61DF"/>
    <w:rsid w:val="006A6206"/>
    <w:rsid w:val="006A6925"/>
    <w:rsid w:val="006A6CFC"/>
    <w:rsid w:val="006A6E8B"/>
    <w:rsid w:val="006A74E3"/>
    <w:rsid w:val="006A763F"/>
    <w:rsid w:val="006A7701"/>
    <w:rsid w:val="006B0052"/>
    <w:rsid w:val="006B027E"/>
    <w:rsid w:val="006B1083"/>
    <w:rsid w:val="006B12C3"/>
    <w:rsid w:val="006B14C0"/>
    <w:rsid w:val="006B1B1F"/>
    <w:rsid w:val="006B1E6E"/>
    <w:rsid w:val="006B3216"/>
    <w:rsid w:val="006B3312"/>
    <w:rsid w:val="006B3610"/>
    <w:rsid w:val="006B399F"/>
    <w:rsid w:val="006B3BE3"/>
    <w:rsid w:val="006B3C4F"/>
    <w:rsid w:val="006B44AA"/>
    <w:rsid w:val="006B47CF"/>
    <w:rsid w:val="006B4833"/>
    <w:rsid w:val="006B4D62"/>
    <w:rsid w:val="006B5202"/>
    <w:rsid w:val="006B5576"/>
    <w:rsid w:val="006B5587"/>
    <w:rsid w:val="006B5D2B"/>
    <w:rsid w:val="006B5D32"/>
    <w:rsid w:val="006B5EEE"/>
    <w:rsid w:val="006B6068"/>
    <w:rsid w:val="006B60FD"/>
    <w:rsid w:val="006B6BF9"/>
    <w:rsid w:val="006B7137"/>
    <w:rsid w:val="006B7439"/>
    <w:rsid w:val="006C08E3"/>
    <w:rsid w:val="006C0BB7"/>
    <w:rsid w:val="006C12AB"/>
    <w:rsid w:val="006C12DC"/>
    <w:rsid w:val="006C13BD"/>
    <w:rsid w:val="006C27D8"/>
    <w:rsid w:val="006C28E0"/>
    <w:rsid w:val="006C2C7A"/>
    <w:rsid w:val="006C32BA"/>
    <w:rsid w:val="006C38B7"/>
    <w:rsid w:val="006C3CA9"/>
    <w:rsid w:val="006C3CE7"/>
    <w:rsid w:val="006C3D4C"/>
    <w:rsid w:val="006C4411"/>
    <w:rsid w:val="006C49E2"/>
    <w:rsid w:val="006C5E14"/>
    <w:rsid w:val="006C673E"/>
    <w:rsid w:val="006C69F8"/>
    <w:rsid w:val="006C6AD2"/>
    <w:rsid w:val="006C6B2F"/>
    <w:rsid w:val="006C6E7A"/>
    <w:rsid w:val="006C747B"/>
    <w:rsid w:val="006C74FE"/>
    <w:rsid w:val="006C78AE"/>
    <w:rsid w:val="006D0340"/>
    <w:rsid w:val="006D0517"/>
    <w:rsid w:val="006D0FEB"/>
    <w:rsid w:val="006D1D31"/>
    <w:rsid w:val="006D231F"/>
    <w:rsid w:val="006D24DB"/>
    <w:rsid w:val="006D25C6"/>
    <w:rsid w:val="006D2ACF"/>
    <w:rsid w:val="006D3A03"/>
    <w:rsid w:val="006D3A5B"/>
    <w:rsid w:val="006D3BFF"/>
    <w:rsid w:val="006D4630"/>
    <w:rsid w:val="006D464D"/>
    <w:rsid w:val="006D4748"/>
    <w:rsid w:val="006D49ED"/>
    <w:rsid w:val="006D4ACC"/>
    <w:rsid w:val="006D528C"/>
    <w:rsid w:val="006D57D0"/>
    <w:rsid w:val="006D587A"/>
    <w:rsid w:val="006D5A81"/>
    <w:rsid w:val="006D5D67"/>
    <w:rsid w:val="006D62E3"/>
    <w:rsid w:val="006D644C"/>
    <w:rsid w:val="006D6462"/>
    <w:rsid w:val="006D6791"/>
    <w:rsid w:val="006D68BC"/>
    <w:rsid w:val="006D7D65"/>
    <w:rsid w:val="006E0660"/>
    <w:rsid w:val="006E0A27"/>
    <w:rsid w:val="006E0A56"/>
    <w:rsid w:val="006E0AEA"/>
    <w:rsid w:val="006E1016"/>
    <w:rsid w:val="006E1158"/>
    <w:rsid w:val="006E1609"/>
    <w:rsid w:val="006E1C4D"/>
    <w:rsid w:val="006E1FAA"/>
    <w:rsid w:val="006E2F69"/>
    <w:rsid w:val="006E325F"/>
    <w:rsid w:val="006E36D0"/>
    <w:rsid w:val="006E3C58"/>
    <w:rsid w:val="006E3F33"/>
    <w:rsid w:val="006E435E"/>
    <w:rsid w:val="006E4486"/>
    <w:rsid w:val="006E4603"/>
    <w:rsid w:val="006E58BA"/>
    <w:rsid w:val="006E5D37"/>
    <w:rsid w:val="006E5D6E"/>
    <w:rsid w:val="006E5F3F"/>
    <w:rsid w:val="006E63B0"/>
    <w:rsid w:val="006E6550"/>
    <w:rsid w:val="006E6654"/>
    <w:rsid w:val="006E69E6"/>
    <w:rsid w:val="006E6EC4"/>
    <w:rsid w:val="006E7AE3"/>
    <w:rsid w:val="006F0650"/>
    <w:rsid w:val="006F09A8"/>
    <w:rsid w:val="006F0B22"/>
    <w:rsid w:val="006F0FFE"/>
    <w:rsid w:val="006F18F9"/>
    <w:rsid w:val="006F2110"/>
    <w:rsid w:val="006F26E6"/>
    <w:rsid w:val="006F284F"/>
    <w:rsid w:val="006F32B9"/>
    <w:rsid w:val="006F3364"/>
    <w:rsid w:val="006F44A2"/>
    <w:rsid w:val="006F4579"/>
    <w:rsid w:val="006F5539"/>
    <w:rsid w:val="006F5782"/>
    <w:rsid w:val="006F5F2D"/>
    <w:rsid w:val="006F6211"/>
    <w:rsid w:val="006F67F7"/>
    <w:rsid w:val="006F6C9F"/>
    <w:rsid w:val="007001BC"/>
    <w:rsid w:val="0070080F"/>
    <w:rsid w:val="0070097D"/>
    <w:rsid w:val="007009DB"/>
    <w:rsid w:val="007013A9"/>
    <w:rsid w:val="00701AC9"/>
    <w:rsid w:val="007021FA"/>
    <w:rsid w:val="007024AA"/>
    <w:rsid w:val="00702C9D"/>
    <w:rsid w:val="00704009"/>
    <w:rsid w:val="007043CB"/>
    <w:rsid w:val="007043EC"/>
    <w:rsid w:val="00704920"/>
    <w:rsid w:val="00704FC8"/>
    <w:rsid w:val="00705485"/>
    <w:rsid w:val="00705524"/>
    <w:rsid w:val="00705F1D"/>
    <w:rsid w:val="007062B4"/>
    <w:rsid w:val="00706332"/>
    <w:rsid w:val="007063F5"/>
    <w:rsid w:val="00706752"/>
    <w:rsid w:val="00706B2D"/>
    <w:rsid w:val="00706CCF"/>
    <w:rsid w:val="00706EF9"/>
    <w:rsid w:val="0070707F"/>
    <w:rsid w:val="007076C3"/>
    <w:rsid w:val="00707AF0"/>
    <w:rsid w:val="00707D82"/>
    <w:rsid w:val="00710225"/>
    <w:rsid w:val="007102D0"/>
    <w:rsid w:val="00710933"/>
    <w:rsid w:val="0071138F"/>
    <w:rsid w:val="007119B9"/>
    <w:rsid w:val="00712019"/>
    <w:rsid w:val="00712191"/>
    <w:rsid w:val="00712220"/>
    <w:rsid w:val="0071240C"/>
    <w:rsid w:val="00712BC1"/>
    <w:rsid w:val="00712D0C"/>
    <w:rsid w:val="007133D0"/>
    <w:rsid w:val="00713567"/>
    <w:rsid w:val="0071367D"/>
    <w:rsid w:val="00713683"/>
    <w:rsid w:val="0071399A"/>
    <w:rsid w:val="007140D8"/>
    <w:rsid w:val="00714172"/>
    <w:rsid w:val="0071473A"/>
    <w:rsid w:val="00714A5F"/>
    <w:rsid w:val="00714CF9"/>
    <w:rsid w:val="007154BA"/>
    <w:rsid w:val="00715AF2"/>
    <w:rsid w:val="00715D45"/>
    <w:rsid w:val="00715E98"/>
    <w:rsid w:val="007166B0"/>
    <w:rsid w:val="00716AB8"/>
    <w:rsid w:val="00717446"/>
    <w:rsid w:val="00717EAF"/>
    <w:rsid w:val="00720046"/>
    <w:rsid w:val="00720B9E"/>
    <w:rsid w:val="00720BE8"/>
    <w:rsid w:val="00721B03"/>
    <w:rsid w:val="00721F9A"/>
    <w:rsid w:val="00722A87"/>
    <w:rsid w:val="007236C0"/>
    <w:rsid w:val="0072392A"/>
    <w:rsid w:val="00723AB9"/>
    <w:rsid w:val="00723FFC"/>
    <w:rsid w:val="0072442C"/>
    <w:rsid w:val="0072461A"/>
    <w:rsid w:val="00724A47"/>
    <w:rsid w:val="00724E02"/>
    <w:rsid w:val="00724F81"/>
    <w:rsid w:val="00725583"/>
    <w:rsid w:val="007267F2"/>
    <w:rsid w:val="00726A65"/>
    <w:rsid w:val="00726CDD"/>
    <w:rsid w:val="0072773B"/>
    <w:rsid w:val="007277AD"/>
    <w:rsid w:val="00727F10"/>
    <w:rsid w:val="007306AE"/>
    <w:rsid w:val="00730F28"/>
    <w:rsid w:val="00731DCE"/>
    <w:rsid w:val="0073245D"/>
    <w:rsid w:val="00732D03"/>
    <w:rsid w:val="00733298"/>
    <w:rsid w:val="0073387A"/>
    <w:rsid w:val="00733BB9"/>
    <w:rsid w:val="00733E9F"/>
    <w:rsid w:val="00734009"/>
    <w:rsid w:val="00734339"/>
    <w:rsid w:val="00734BD2"/>
    <w:rsid w:val="00734EE5"/>
    <w:rsid w:val="007350EA"/>
    <w:rsid w:val="00735620"/>
    <w:rsid w:val="00735E44"/>
    <w:rsid w:val="0073607A"/>
    <w:rsid w:val="007363C2"/>
    <w:rsid w:val="00736792"/>
    <w:rsid w:val="00736E42"/>
    <w:rsid w:val="00737893"/>
    <w:rsid w:val="00737C3C"/>
    <w:rsid w:val="00741265"/>
    <w:rsid w:val="00741348"/>
    <w:rsid w:val="00741BA3"/>
    <w:rsid w:val="00742441"/>
    <w:rsid w:val="00742E76"/>
    <w:rsid w:val="00742EA8"/>
    <w:rsid w:val="007435DA"/>
    <w:rsid w:val="0074383E"/>
    <w:rsid w:val="00744E28"/>
    <w:rsid w:val="0074519B"/>
    <w:rsid w:val="007452B0"/>
    <w:rsid w:val="007454DE"/>
    <w:rsid w:val="00745609"/>
    <w:rsid w:val="007460C2"/>
    <w:rsid w:val="007464D6"/>
    <w:rsid w:val="007464F8"/>
    <w:rsid w:val="00746BF2"/>
    <w:rsid w:val="00746C6F"/>
    <w:rsid w:val="00747147"/>
    <w:rsid w:val="007475FA"/>
    <w:rsid w:val="00747907"/>
    <w:rsid w:val="00747D35"/>
    <w:rsid w:val="00747D95"/>
    <w:rsid w:val="0075017C"/>
    <w:rsid w:val="00750202"/>
    <w:rsid w:val="00750305"/>
    <w:rsid w:val="00750494"/>
    <w:rsid w:val="00750607"/>
    <w:rsid w:val="00750678"/>
    <w:rsid w:val="00750CEE"/>
    <w:rsid w:val="00750E12"/>
    <w:rsid w:val="00750E99"/>
    <w:rsid w:val="007510A2"/>
    <w:rsid w:val="0075153D"/>
    <w:rsid w:val="0075154E"/>
    <w:rsid w:val="007516C1"/>
    <w:rsid w:val="00751B5E"/>
    <w:rsid w:val="00752C93"/>
    <w:rsid w:val="007532A0"/>
    <w:rsid w:val="00753AE5"/>
    <w:rsid w:val="00754ED5"/>
    <w:rsid w:val="00755F65"/>
    <w:rsid w:val="007568CE"/>
    <w:rsid w:val="00756BB4"/>
    <w:rsid w:val="00756F65"/>
    <w:rsid w:val="00757448"/>
    <w:rsid w:val="007574E6"/>
    <w:rsid w:val="00757CA5"/>
    <w:rsid w:val="00757DE5"/>
    <w:rsid w:val="00757F79"/>
    <w:rsid w:val="00760B23"/>
    <w:rsid w:val="00760B2D"/>
    <w:rsid w:val="00760CFE"/>
    <w:rsid w:val="00761D96"/>
    <w:rsid w:val="00761F47"/>
    <w:rsid w:val="007624E3"/>
    <w:rsid w:val="007625B1"/>
    <w:rsid w:val="007628DF"/>
    <w:rsid w:val="00762922"/>
    <w:rsid w:val="00762A77"/>
    <w:rsid w:val="00762BFE"/>
    <w:rsid w:val="007634B9"/>
    <w:rsid w:val="007637D2"/>
    <w:rsid w:val="00764175"/>
    <w:rsid w:val="00764546"/>
    <w:rsid w:val="00764780"/>
    <w:rsid w:val="00764B85"/>
    <w:rsid w:val="00765102"/>
    <w:rsid w:val="00765231"/>
    <w:rsid w:val="007653A1"/>
    <w:rsid w:val="00767727"/>
    <w:rsid w:val="00767915"/>
    <w:rsid w:val="00767C39"/>
    <w:rsid w:val="0077002F"/>
    <w:rsid w:val="00770840"/>
    <w:rsid w:val="007708B1"/>
    <w:rsid w:val="00770BED"/>
    <w:rsid w:val="007712BD"/>
    <w:rsid w:val="007716F0"/>
    <w:rsid w:val="00771DA8"/>
    <w:rsid w:val="00772055"/>
    <w:rsid w:val="007726D6"/>
    <w:rsid w:val="00772C25"/>
    <w:rsid w:val="0077329C"/>
    <w:rsid w:val="00773666"/>
    <w:rsid w:val="00773747"/>
    <w:rsid w:val="0077395D"/>
    <w:rsid w:val="00773A72"/>
    <w:rsid w:val="00773C8D"/>
    <w:rsid w:val="00774338"/>
    <w:rsid w:val="00774524"/>
    <w:rsid w:val="00774CF8"/>
    <w:rsid w:val="007751ED"/>
    <w:rsid w:val="00775AF6"/>
    <w:rsid w:val="00775DFA"/>
    <w:rsid w:val="007769E8"/>
    <w:rsid w:val="007770EF"/>
    <w:rsid w:val="00777190"/>
    <w:rsid w:val="0077757D"/>
    <w:rsid w:val="00777619"/>
    <w:rsid w:val="00777687"/>
    <w:rsid w:val="00777F2F"/>
    <w:rsid w:val="007802D5"/>
    <w:rsid w:val="007809B4"/>
    <w:rsid w:val="00780CFD"/>
    <w:rsid w:val="00780EAC"/>
    <w:rsid w:val="0078143A"/>
    <w:rsid w:val="007815C2"/>
    <w:rsid w:val="0078174E"/>
    <w:rsid w:val="00781AE0"/>
    <w:rsid w:val="00781D11"/>
    <w:rsid w:val="007828AB"/>
    <w:rsid w:val="00782BBB"/>
    <w:rsid w:val="007835F8"/>
    <w:rsid w:val="00783654"/>
    <w:rsid w:val="00783776"/>
    <w:rsid w:val="007839C4"/>
    <w:rsid w:val="00783ABF"/>
    <w:rsid w:val="00783E79"/>
    <w:rsid w:val="007840DF"/>
    <w:rsid w:val="007844FB"/>
    <w:rsid w:val="00784843"/>
    <w:rsid w:val="007855CC"/>
    <w:rsid w:val="00785AB3"/>
    <w:rsid w:val="00785CB0"/>
    <w:rsid w:val="007864AB"/>
    <w:rsid w:val="007864BF"/>
    <w:rsid w:val="00786C1C"/>
    <w:rsid w:val="00787164"/>
    <w:rsid w:val="00787748"/>
    <w:rsid w:val="007905A4"/>
    <w:rsid w:val="00790A02"/>
    <w:rsid w:val="00791253"/>
    <w:rsid w:val="00792C3A"/>
    <w:rsid w:val="00792E4B"/>
    <w:rsid w:val="007938AD"/>
    <w:rsid w:val="00793A43"/>
    <w:rsid w:val="00793ADB"/>
    <w:rsid w:val="00793D86"/>
    <w:rsid w:val="00794933"/>
    <w:rsid w:val="00794BFF"/>
    <w:rsid w:val="00795A23"/>
    <w:rsid w:val="00795F77"/>
    <w:rsid w:val="007966F3"/>
    <w:rsid w:val="0079680B"/>
    <w:rsid w:val="007968C0"/>
    <w:rsid w:val="007969C2"/>
    <w:rsid w:val="00796D32"/>
    <w:rsid w:val="007971C2"/>
    <w:rsid w:val="007973AE"/>
    <w:rsid w:val="00797861"/>
    <w:rsid w:val="007A038E"/>
    <w:rsid w:val="007A0AFD"/>
    <w:rsid w:val="007A0F9A"/>
    <w:rsid w:val="007A22D1"/>
    <w:rsid w:val="007A28D0"/>
    <w:rsid w:val="007A3537"/>
    <w:rsid w:val="007A3828"/>
    <w:rsid w:val="007A3E0B"/>
    <w:rsid w:val="007A3F1E"/>
    <w:rsid w:val="007A4726"/>
    <w:rsid w:val="007A4A7D"/>
    <w:rsid w:val="007A4B37"/>
    <w:rsid w:val="007A5138"/>
    <w:rsid w:val="007A52A7"/>
    <w:rsid w:val="007A5486"/>
    <w:rsid w:val="007A6225"/>
    <w:rsid w:val="007A6330"/>
    <w:rsid w:val="007A6BE1"/>
    <w:rsid w:val="007A70A3"/>
    <w:rsid w:val="007A7461"/>
    <w:rsid w:val="007A779C"/>
    <w:rsid w:val="007A7853"/>
    <w:rsid w:val="007A7BDC"/>
    <w:rsid w:val="007A7D19"/>
    <w:rsid w:val="007B0274"/>
    <w:rsid w:val="007B0A1D"/>
    <w:rsid w:val="007B0EEB"/>
    <w:rsid w:val="007B117D"/>
    <w:rsid w:val="007B14C3"/>
    <w:rsid w:val="007B150A"/>
    <w:rsid w:val="007B19B7"/>
    <w:rsid w:val="007B1ABA"/>
    <w:rsid w:val="007B1D39"/>
    <w:rsid w:val="007B242A"/>
    <w:rsid w:val="007B2581"/>
    <w:rsid w:val="007B276D"/>
    <w:rsid w:val="007B2B58"/>
    <w:rsid w:val="007B2BCC"/>
    <w:rsid w:val="007B3019"/>
    <w:rsid w:val="007B3169"/>
    <w:rsid w:val="007B31A6"/>
    <w:rsid w:val="007B31CD"/>
    <w:rsid w:val="007B392D"/>
    <w:rsid w:val="007B3F7E"/>
    <w:rsid w:val="007B562D"/>
    <w:rsid w:val="007B563E"/>
    <w:rsid w:val="007B5DD6"/>
    <w:rsid w:val="007B67C6"/>
    <w:rsid w:val="007B68AC"/>
    <w:rsid w:val="007B6949"/>
    <w:rsid w:val="007B6E9C"/>
    <w:rsid w:val="007B6FFB"/>
    <w:rsid w:val="007B7316"/>
    <w:rsid w:val="007B74C5"/>
    <w:rsid w:val="007C0218"/>
    <w:rsid w:val="007C07FB"/>
    <w:rsid w:val="007C083F"/>
    <w:rsid w:val="007C0984"/>
    <w:rsid w:val="007C0CCA"/>
    <w:rsid w:val="007C127F"/>
    <w:rsid w:val="007C161B"/>
    <w:rsid w:val="007C163E"/>
    <w:rsid w:val="007C194D"/>
    <w:rsid w:val="007C1DDE"/>
    <w:rsid w:val="007C304D"/>
    <w:rsid w:val="007C3687"/>
    <w:rsid w:val="007C394E"/>
    <w:rsid w:val="007C395D"/>
    <w:rsid w:val="007C3DFE"/>
    <w:rsid w:val="007C45AB"/>
    <w:rsid w:val="007C46FD"/>
    <w:rsid w:val="007C4C49"/>
    <w:rsid w:val="007C4DB9"/>
    <w:rsid w:val="007C522D"/>
    <w:rsid w:val="007C5B97"/>
    <w:rsid w:val="007C61E5"/>
    <w:rsid w:val="007C62EF"/>
    <w:rsid w:val="007C6341"/>
    <w:rsid w:val="007C70F2"/>
    <w:rsid w:val="007C794F"/>
    <w:rsid w:val="007C797E"/>
    <w:rsid w:val="007C7FC7"/>
    <w:rsid w:val="007D08FC"/>
    <w:rsid w:val="007D180B"/>
    <w:rsid w:val="007D1EBB"/>
    <w:rsid w:val="007D217D"/>
    <w:rsid w:val="007D2660"/>
    <w:rsid w:val="007D27D1"/>
    <w:rsid w:val="007D3179"/>
    <w:rsid w:val="007D3623"/>
    <w:rsid w:val="007D37D6"/>
    <w:rsid w:val="007D4627"/>
    <w:rsid w:val="007D49CC"/>
    <w:rsid w:val="007D4E7B"/>
    <w:rsid w:val="007D5396"/>
    <w:rsid w:val="007D5A81"/>
    <w:rsid w:val="007D62AC"/>
    <w:rsid w:val="007D62E3"/>
    <w:rsid w:val="007D630A"/>
    <w:rsid w:val="007D64FA"/>
    <w:rsid w:val="007D68BA"/>
    <w:rsid w:val="007D6BB8"/>
    <w:rsid w:val="007D6BE3"/>
    <w:rsid w:val="007D6D4C"/>
    <w:rsid w:val="007D7064"/>
    <w:rsid w:val="007D7402"/>
    <w:rsid w:val="007D7CC2"/>
    <w:rsid w:val="007E006C"/>
    <w:rsid w:val="007E0119"/>
    <w:rsid w:val="007E0C35"/>
    <w:rsid w:val="007E0E23"/>
    <w:rsid w:val="007E100E"/>
    <w:rsid w:val="007E1501"/>
    <w:rsid w:val="007E1AAD"/>
    <w:rsid w:val="007E1D62"/>
    <w:rsid w:val="007E2097"/>
    <w:rsid w:val="007E210F"/>
    <w:rsid w:val="007E2FB4"/>
    <w:rsid w:val="007E32BE"/>
    <w:rsid w:val="007E39A8"/>
    <w:rsid w:val="007E3E81"/>
    <w:rsid w:val="007E4ABE"/>
    <w:rsid w:val="007E4D5F"/>
    <w:rsid w:val="007E53B8"/>
    <w:rsid w:val="007E557F"/>
    <w:rsid w:val="007E55A4"/>
    <w:rsid w:val="007E5A72"/>
    <w:rsid w:val="007E5AB6"/>
    <w:rsid w:val="007E62E2"/>
    <w:rsid w:val="007E6755"/>
    <w:rsid w:val="007E6BF7"/>
    <w:rsid w:val="007E7835"/>
    <w:rsid w:val="007E785B"/>
    <w:rsid w:val="007E7DC6"/>
    <w:rsid w:val="007F0070"/>
    <w:rsid w:val="007F03CD"/>
    <w:rsid w:val="007F16D2"/>
    <w:rsid w:val="007F187F"/>
    <w:rsid w:val="007F21B3"/>
    <w:rsid w:val="007F2449"/>
    <w:rsid w:val="007F3261"/>
    <w:rsid w:val="007F32D4"/>
    <w:rsid w:val="007F331F"/>
    <w:rsid w:val="007F358F"/>
    <w:rsid w:val="007F3772"/>
    <w:rsid w:val="007F39C4"/>
    <w:rsid w:val="007F3A82"/>
    <w:rsid w:val="007F3B78"/>
    <w:rsid w:val="007F3CE1"/>
    <w:rsid w:val="007F42E1"/>
    <w:rsid w:val="007F56F8"/>
    <w:rsid w:val="007F5F56"/>
    <w:rsid w:val="007F6967"/>
    <w:rsid w:val="007F6992"/>
    <w:rsid w:val="007F6AC0"/>
    <w:rsid w:val="007F79FD"/>
    <w:rsid w:val="007F7B21"/>
    <w:rsid w:val="007F7F5B"/>
    <w:rsid w:val="00800010"/>
    <w:rsid w:val="00800559"/>
    <w:rsid w:val="008005BD"/>
    <w:rsid w:val="008007BE"/>
    <w:rsid w:val="00800B66"/>
    <w:rsid w:val="00800D88"/>
    <w:rsid w:val="0080105C"/>
    <w:rsid w:val="00801085"/>
    <w:rsid w:val="0080166B"/>
    <w:rsid w:val="008018DC"/>
    <w:rsid w:val="008019A9"/>
    <w:rsid w:val="008019C9"/>
    <w:rsid w:val="00801B96"/>
    <w:rsid w:val="008027D6"/>
    <w:rsid w:val="0080283E"/>
    <w:rsid w:val="008028DE"/>
    <w:rsid w:val="00802C9D"/>
    <w:rsid w:val="00803DA5"/>
    <w:rsid w:val="00803EC6"/>
    <w:rsid w:val="0080403C"/>
    <w:rsid w:val="0080462B"/>
    <w:rsid w:val="00804894"/>
    <w:rsid w:val="00804CCF"/>
    <w:rsid w:val="008054BE"/>
    <w:rsid w:val="008058C4"/>
    <w:rsid w:val="00805D2E"/>
    <w:rsid w:val="00805E05"/>
    <w:rsid w:val="008063B1"/>
    <w:rsid w:val="00806886"/>
    <w:rsid w:val="008069B7"/>
    <w:rsid w:val="00806EB2"/>
    <w:rsid w:val="008070EB"/>
    <w:rsid w:val="0080710A"/>
    <w:rsid w:val="00807415"/>
    <w:rsid w:val="0080797E"/>
    <w:rsid w:val="008079CA"/>
    <w:rsid w:val="0080B893"/>
    <w:rsid w:val="00810CC7"/>
    <w:rsid w:val="00810D0A"/>
    <w:rsid w:val="00811557"/>
    <w:rsid w:val="00811CBA"/>
    <w:rsid w:val="00811D7B"/>
    <w:rsid w:val="00812501"/>
    <w:rsid w:val="00812595"/>
    <w:rsid w:val="0081271B"/>
    <w:rsid w:val="0081288F"/>
    <w:rsid w:val="00812A97"/>
    <w:rsid w:val="00812D8C"/>
    <w:rsid w:val="00813DC3"/>
    <w:rsid w:val="008146D6"/>
    <w:rsid w:val="00814E9B"/>
    <w:rsid w:val="00815E2C"/>
    <w:rsid w:val="0081616A"/>
    <w:rsid w:val="00816367"/>
    <w:rsid w:val="00816771"/>
    <w:rsid w:val="00816812"/>
    <w:rsid w:val="00816B34"/>
    <w:rsid w:val="00816BE5"/>
    <w:rsid w:val="00816D47"/>
    <w:rsid w:val="00817172"/>
    <w:rsid w:val="00817306"/>
    <w:rsid w:val="008173EB"/>
    <w:rsid w:val="008174B5"/>
    <w:rsid w:val="00817DB0"/>
    <w:rsid w:val="00817FE4"/>
    <w:rsid w:val="00820110"/>
    <w:rsid w:val="00820C9D"/>
    <w:rsid w:val="00821896"/>
    <w:rsid w:val="00821AD5"/>
    <w:rsid w:val="00822491"/>
    <w:rsid w:val="008225D9"/>
    <w:rsid w:val="008226E3"/>
    <w:rsid w:val="00822D12"/>
    <w:rsid w:val="0082363F"/>
    <w:rsid w:val="0082427F"/>
    <w:rsid w:val="00824526"/>
    <w:rsid w:val="00824A69"/>
    <w:rsid w:val="00825E05"/>
    <w:rsid w:val="008264F3"/>
    <w:rsid w:val="00826697"/>
    <w:rsid w:val="00826B5F"/>
    <w:rsid w:val="00826D85"/>
    <w:rsid w:val="00827584"/>
    <w:rsid w:val="00827636"/>
    <w:rsid w:val="00827BE9"/>
    <w:rsid w:val="00827E71"/>
    <w:rsid w:val="0083087E"/>
    <w:rsid w:val="00831032"/>
    <w:rsid w:val="00831E5B"/>
    <w:rsid w:val="00831EF5"/>
    <w:rsid w:val="00831FB7"/>
    <w:rsid w:val="008321BB"/>
    <w:rsid w:val="00832641"/>
    <w:rsid w:val="0083268D"/>
    <w:rsid w:val="008326E5"/>
    <w:rsid w:val="00833860"/>
    <w:rsid w:val="008338CD"/>
    <w:rsid w:val="00833EB9"/>
    <w:rsid w:val="00834758"/>
    <w:rsid w:val="008347F3"/>
    <w:rsid w:val="00834E16"/>
    <w:rsid w:val="008352F7"/>
    <w:rsid w:val="00835622"/>
    <w:rsid w:val="008357E2"/>
    <w:rsid w:val="008358FA"/>
    <w:rsid w:val="008359EC"/>
    <w:rsid w:val="00836998"/>
    <w:rsid w:val="00837130"/>
    <w:rsid w:val="0083731B"/>
    <w:rsid w:val="00837505"/>
    <w:rsid w:val="0083774F"/>
    <w:rsid w:val="008377BE"/>
    <w:rsid w:val="00837955"/>
    <w:rsid w:val="00840028"/>
    <w:rsid w:val="0084027B"/>
    <w:rsid w:val="008402E1"/>
    <w:rsid w:val="00840421"/>
    <w:rsid w:val="00840717"/>
    <w:rsid w:val="00840978"/>
    <w:rsid w:val="00841506"/>
    <w:rsid w:val="008417C9"/>
    <w:rsid w:val="00842317"/>
    <w:rsid w:val="008427D1"/>
    <w:rsid w:val="008428CD"/>
    <w:rsid w:val="00842C49"/>
    <w:rsid w:val="00842D44"/>
    <w:rsid w:val="00842EEB"/>
    <w:rsid w:val="008430A3"/>
    <w:rsid w:val="00843817"/>
    <w:rsid w:val="008439D6"/>
    <w:rsid w:val="008444A1"/>
    <w:rsid w:val="00844D40"/>
    <w:rsid w:val="00844F7A"/>
    <w:rsid w:val="00845012"/>
    <w:rsid w:val="008452D7"/>
    <w:rsid w:val="008456DC"/>
    <w:rsid w:val="00845B51"/>
    <w:rsid w:val="00845E39"/>
    <w:rsid w:val="00845E69"/>
    <w:rsid w:val="00846199"/>
    <w:rsid w:val="0084641D"/>
    <w:rsid w:val="00846A5E"/>
    <w:rsid w:val="00846FE9"/>
    <w:rsid w:val="008470F0"/>
    <w:rsid w:val="00847198"/>
    <w:rsid w:val="0084764F"/>
    <w:rsid w:val="0085053B"/>
    <w:rsid w:val="008507C1"/>
    <w:rsid w:val="00850B4E"/>
    <w:rsid w:val="00850F3B"/>
    <w:rsid w:val="00850F9E"/>
    <w:rsid w:val="00851AF2"/>
    <w:rsid w:val="00851ED3"/>
    <w:rsid w:val="00851F20"/>
    <w:rsid w:val="008529D0"/>
    <w:rsid w:val="00853C94"/>
    <w:rsid w:val="00854080"/>
    <w:rsid w:val="008540DC"/>
    <w:rsid w:val="00854879"/>
    <w:rsid w:val="00854A85"/>
    <w:rsid w:val="00854C67"/>
    <w:rsid w:val="00855227"/>
    <w:rsid w:val="008553FE"/>
    <w:rsid w:val="008554D9"/>
    <w:rsid w:val="0085552F"/>
    <w:rsid w:val="00855689"/>
    <w:rsid w:val="0085601A"/>
    <w:rsid w:val="008560F5"/>
    <w:rsid w:val="008566D5"/>
    <w:rsid w:val="008567D8"/>
    <w:rsid w:val="008569F8"/>
    <w:rsid w:val="0085756B"/>
    <w:rsid w:val="00857659"/>
    <w:rsid w:val="008579E4"/>
    <w:rsid w:val="00857A70"/>
    <w:rsid w:val="0086053F"/>
    <w:rsid w:val="008607B7"/>
    <w:rsid w:val="00860D85"/>
    <w:rsid w:val="00860EE2"/>
    <w:rsid w:val="008610C1"/>
    <w:rsid w:val="00861934"/>
    <w:rsid w:val="0086200E"/>
    <w:rsid w:val="0086280D"/>
    <w:rsid w:val="00862E1C"/>
    <w:rsid w:val="0086316C"/>
    <w:rsid w:val="0086318A"/>
    <w:rsid w:val="008635BE"/>
    <w:rsid w:val="00863759"/>
    <w:rsid w:val="008637D7"/>
    <w:rsid w:val="00863C9F"/>
    <w:rsid w:val="00863E1C"/>
    <w:rsid w:val="008642DF"/>
    <w:rsid w:val="0086448E"/>
    <w:rsid w:val="008644C0"/>
    <w:rsid w:val="008644E2"/>
    <w:rsid w:val="008645F0"/>
    <w:rsid w:val="008646A8"/>
    <w:rsid w:val="00864A93"/>
    <w:rsid w:val="0086519B"/>
    <w:rsid w:val="0086646D"/>
    <w:rsid w:val="00866C5B"/>
    <w:rsid w:val="00867223"/>
    <w:rsid w:val="00867CD3"/>
    <w:rsid w:val="00867FB6"/>
    <w:rsid w:val="0087000E"/>
    <w:rsid w:val="0087014A"/>
    <w:rsid w:val="00870540"/>
    <w:rsid w:val="00870805"/>
    <w:rsid w:val="0087092B"/>
    <w:rsid w:val="00870B43"/>
    <w:rsid w:val="00870D53"/>
    <w:rsid w:val="00870E4F"/>
    <w:rsid w:val="00871041"/>
    <w:rsid w:val="008711EB"/>
    <w:rsid w:val="008714D2"/>
    <w:rsid w:val="008716B0"/>
    <w:rsid w:val="00871BD7"/>
    <w:rsid w:val="00871FE4"/>
    <w:rsid w:val="0087233A"/>
    <w:rsid w:val="008726B5"/>
    <w:rsid w:val="00872C14"/>
    <w:rsid w:val="0087317C"/>
    <w:rsid w:val="008731CE"/>
    <w:rsid w:val="008731D8"/>
    <w:rsid w:val="00873484"/>
    <w:rsid w:val="00873B2F"/>
    <w:rsid w:val="00873C8C"/>
    <w:rsid w:val="00874057"/>
    <w:rsid w:val="0087474E"/>
    <w:rsid w:val="0087494E"/>
    <w:rsid w:val="00874C27"/>
    <w:rsid w:val="00875703"/>
    <w:rsid w:val="008759BF"/>
    <w:rsid w:val="00875C27"/>
    <w:rsid w:val="00876086"/>
    <w:rsid w:val="008760B4"/>
    <w:rsid w:val="008762D0"/>
    <w:rsid w:val="0087687C"/>
    <w:rsid w:val="0087738C"/>
    <w:rsid w:val="00880403"/>
    <w:rsid w:val="0088044D"/>
    <w:rsid w:val="0088063F"/>
    <w:rsid w:val="00880906"/>
    <w:rsid w:val="00880DE4"/>
    <w:rsid w:val="00881CF9"/>
    <w:rsid w:val="00881F85"/>
    <w:rsid w:val="00882184"/>
    <w:rsid w:val="008825A2"/>
    <w:rsid w:val="00882896"/>
    <w:rsid w:val="00882AE1"/>
    <w:rsid w:val="00882C1D"/>
    <w:rsid w:val="00882CFA"/>
    <w:rsid w:val="00883841"/>
    <w:rsid w:val="008839E0"/>
    <w:rsid w:val="00883A37"/>
    <w:rsid w:val="00883C0A"/>
    <w:rsid w:val="008843B9"/>
    <w:rsid w:val="008844D8"/>
    <w:rsid w:val="00884501"/>
    <w:rsid w:val="00884650"/>
    <w:rsid w:val="0088483E"/>
    <w:rsid w:val="00884A30"/>
    <w:rsid w:val="00884D2C"/>
    <w:rsid w:val="00884F35"/>
    <w:rsid w:val="00884FD9"/>
    <w:rsid w:val="00885044"/>
    <w:rsid w:val="00885493"/>
    <w:rsid w:val="008861CD"/>
    <w:rsid w:val="00886702"/>
    <w:rsid w:val="0088673D"/>
    <w:rsid w:val="00886885"/>
    <w:rsid w:val="00886F60"/>
    <w:rsid w:val="00887712"/>
    <w:rsid w:val="00887743"/>
    <w:rsid w:val="00887822"/>
    <w:rsid w:val="00887D17"/>
    <w:rsid w:val="00890450"/>
    <w:rsid w:val="008904CD"/>
    <w:rsid w:val="0089069B"/>
    <w:rsid w:val="00890E90"/>
    <w:rsid w:val="00891A1A"/>
    <w:rsid w:val="00891D79"/>
    <w:rsid w:val="00891E02"/>
    <w:rsid w:val="00891F50"/>
    <w:rsid w:val="00892B3D"/>
    <w:rsid w:val="00892ED4"/>
    <w:rsid w:val="008944D3"/>
    <w:rsid w:val="008949E5"/>
    <w:rsid w:val="00894C30"/>
    <w:rsid w:val="00894FD3"/>
    <w:rsid w:val="0089521F"/>
    <w:rsid w:val="00896291"/>
    <w:rsid w:val="008974A7"/>
    <w:rsid w:val="008975D5"/>
    <w:rsid w:val="00897EF1"/>
    <w:rsid w:val="008A07B9"/>
    <w:rsid w:val="008A091F"/>
    <w:rsid w:val="008A0937"/>
    <w:rsid w:val="008A0A52"/>
    <w:rsid w:val="008A1723"/>
    <w:rsid w:val="008A1CE2"/>
    <w:rsid w:val="008A2075"/>
    <w:rsid w:val="008A2303"/>
    <w:rsid w:val="008A3053"/>
    <w:rsid w:val="008A38A5"/>
    <w:rsid w:val="008A3A88"/>
    <w:rsid w:val="008A3D77"/>
    <w:rsid w:val="008A4081"/>
    <w:rsid w:val="008A4128"/>
    <w:rsid w:val="008A4475"/>
    <w:rsid w:val="008A456E"/>
    <w:rsid w:val="008A4612"/>
    <w:rsid w:val="008A4699"/>
    <w:rsid w:val="008A4A34"/>
    <w:rsid w:val="008A590F"/>
    <w:rsid w:val="008A5D2F"/>
    <w:rsid w:val="008A5F2D"/>
    <w:rsid w:val="008A5F8E"/>
    <w:rsid w:val="008A6071"/>
    <w:rsid w:val="008A62AA"/>
    <w:rsid w:val="008A6342"/>
    <w:rsid w:val="008A6B6C"/>
    <w:rsid w:val="008A6F35"/>
    <w:rsid w:val="008A77EB"/>
    <w:rsid w:val="008A79A0"/>
    <w:rsid w:val="008A7A7E"/>
    <w:rsid w:val="008A7AF9"/>
    <w:rsid w:val="008A7B40"/>
    <w:rsid w:val="008A7BA0"/>
    <w:rsid w:val="008B0179"/>
    <w:rsid w:val="008B01F0"/>
    <w:rsid w:val="008B0884"/>
    <w:rsid w:val="008B0EE9"/>
    <w:rsid w:val="008B10D1"/>
    <w:rsid w:val="008B14B4"/>
    <w:rsid w:val="008B1FC5"/>
    <w:rsid w:val="008B2177"/>
    <w:rsid w:val="008B22D0"/>
    <w:rsid w:val="008B244A"/>
    <w:rsid w:val="008B2978"/>
    <w:rsid w:val="008B3523"/>
    <w:rsid w:val="008B3592"/>
    <w:rsid w:val="008B379A"/>
    <w:rsid w:val="008B3B52"/>
    <w:rsid w:val="008B419A"/>
    <w:rsid w:val="008B432A"/>
    <w:rsid w:val="008B4443"/>
    <w:rsid w:val="008B4A0D"/>
    <w:rsid w:val="008B56A1"/>
    <w:rsid w:val="008B573F"/>
    <w:rsid w:val="008B6803"/>
    <w:rsid w:val="008B6C93"/>
    <w:rsid w:val="008B6ECF"/>
    <w:rsid w:val="008B7126"/>
    <w:rsid w:val="008B7419"/>
    <w:rsid w:val="008B7C22"/>
    <w:rsid w:val="008C1B4D"/>
    <w:rsid w:val="008C1C81"/>
    <w:rsid w:val="008C1E04"/>
    <w:rsid w:val="008C2DEF"/>
    <w:rsid w:val="008C300A"/>
    <w:rsid w:val="008C31F3"/>
    <w:rsid w:val="008C36C5"/>
    <w:rsid w:val="008C3745"/>
    <w:rsid w:val="008C3D24"/>
    <w:rsid w:val="008C4006"/>
    <w:rsid w:val="008C40AB"/>
    <w:rsid w:val="008C4BD3"/>
    <w:rsid w:val="008C4E09"/>
    <w:rsid w:val="008C50B2"/>
    <w:rsid w:val="008C5510"/>
    <w:rsid w:val="008C5A26"/>
    <w:rsid w:val="008C5D89"/>
    <w:rsid w:val="008C5DF2"/>
    <w:rsid w:val="008C6158"/>
    <w:rsid w:val="008C616F"/>
    <w:rsid w:val="008C6273"/>
    <w:rsid w:val="008C67D4"/>
    <w:rsid w:val="008C697F"/>
    <w:rsid w:val="008C6B2D"/>
    <w:rsid w:val="008C712E"/>
    <w:rsid w:val="008C790B"/>
    <w:rsid w:val="008C79A3"/>
    <w:rsid w:val="008D0016"/>
    <w:rsid w:val="008D0820"/>
    <w:rsid w:val="008D0A92"/>
    <w:rsid w:val="008D0FB1"/>
    <w:rsid w:val="008D1604"/>
    <w:rsid w:val="008D16A1"/>
    <w:rsid w:val="008D1857"/>
    <w:rsid w:val="008D217C"/>
    <w:rsid w:val="008D2283"/>
    <w:rsid w:val="008D26F8"/>
    <w:rsid w:val="008D281C"/>
    <w:rsid w:val="008D2BA5"/>
    <w:rsid w:val="008D30E3"/>
    <w:rsid w:val="008D3422"/>
    <w:rsid w:val="008D3539"/>
    <w:rsid w:val="008D3ABE"/>
    <w:rsid w:val="008D3EE2"/>
    <w:rsid w:val="008D469E"/>
    <w:rsid w:val="008D5128"/>
    <w:rsid w:val="008D5607"/>
    <w:rsid w:val="008D610B"/>
    <w:rsid w:val="008D6753"/>
    <w:rsid w:val="008D6CB7"/>
    <w:rsid w:val="008D6F8C"/>
    <w:rsid w:val="008E00E9"/>
    <w:rsid w:val="008E0C30"/>
    <w:rsid w:val="008E1496"/>
    <w:rsid w:val="008E194C"/>
    <w:rsid w:val="008E21A5"/>
    <w:rsid w:val="008E2262"/>
    <w:rsid w:val="008E244C"/>
    <w:rsid w:val="008E24BA"/>
    <w:rsid w:val="008E2854"/>
    <w:rsid w:val="008E385F"/>
    <w:rsid w:val="008E38C5"/>
    <w:rsid w:val="008E39BD"/>
    <w:rsid w:val="008E3E7A"/>
    <w:rsid w:val="008E4A63"/>
    <w:rsid w:val="008E4E13"/>
    <w:rsid w:val="008E5A27"/>
    <w:rsid w:val="008E5F4F"/>
    <w:rsid w:val="008E5F5F"/>
    <w:rsid w:val="008E61CB"/>
    <w:rsid w:val="008E6357"/>
    <w:rsid w:val="008E6475"/>
    <w:rsid w:val="008E77CC"/>
    <w:rsid w:val="008E7CD4"/>
    <w:rsid w:val="008E7DC7"/>
    <w:rsid w:val="008E7E75"/>
    <w:rsid w:val="008F04C0"/>
    <w:rsid w:val="008F051B"/>
    <w:rsid w:val="008F05E0"/>
    <w:rsid w:val="008F077D"/>
    <w:rsid w:val="008F0AA7"/>
    <w:rsid w:val="008F0AC9"/>
    <w:rsid w:val="008F1002"/>
    <w:rsid w:val="008F12A3"/>
    <w:rsid w:val="008F1B52"/>
    <w:rsid w:val="008F1B91"/>
    <w:rsid w:val="008F1FE8"/>
    <w:rsid w:val="008F208C"/>
    <w:rsid w:val="008F3037"/>
    <w:rsid w:val="008F3A2E"/>
    <w:rsid w:val="008F3C96"/>
    <w:rsid w:val="008F457F"/>
    <w:rsid w:val="008F566C"/>
    <w:rsid w:val="008F583F"/>
    <w:rsid w:val="008F5BBD"/>
    <w:rsid w:val="008F5D36"/>
    <w:rsid w:val="008F6460"/>
    <w:rsid w:val="008F6945"/>
    <w:rsid w:val="008F6AD5"/>
    <w:rsid w:val="008F6FF1"/>
    <w:rsid w:val="008F71EF"/>
    <w:rsid w:val="008F7D78"/>
    <w:rsid w:val="008F7F58"/>
    <w:rsid w:val="009003EB"/>
    <w:rsid w:val="009007EC"/>
    <w:rsid w:val="0090184B"/>
    <w:rsid w:val="00902361"/>
    <w:rsid w:val="009030D0"/>
    <w:rsid w:val="0090310A"/>
    <w:rsid w:val="0090361B"/>
    <w:rsid w:val="00903A5E"/>
    <w:rsid w:val="00904480"/>
    <w:rsid w:val="00904B03"/>
    <w:rsid w:val="00904FC8"/>
    <w:rsid w:val="0090579E"/>
    <w:rsid w:val="0090594D"/>
    <w:rsid w:val="00905CFD"/>
    <w:rsid w:val="009063D3"/>
    <w:rsid w:val="00906B09"/>
    <w:rsid w:val="009072B7"/>
    <w:rsid w:val="009075BC"/>
    <w:rsid w:val="009077CF"/>
    <w:rsid w:val="0091019D"/>
    <w:rsid w:val="00910BE4"/>
    <w:rsid w:val="00910FA8"/>
    <w:rsid w:val="0091167D"/>
    <w:rsid w:val="00911D87"/>
    <w:rsid w:val="00911FA7"/>
    <w:rsid w:val="00912313"/>
    <w:rsid w:val="0091242A"/>
    <w:rsid w:val="009126AF"/>
    <w:rsid w:val="00912879"/>
    <w:rsid w:val="00912EEE"/>
    <w:rsid w:val="0091351A"/>
    <w:rsid w:val="0091385F"/>
    <w:rsid w:val="00913F3B"/>
    <w:rsid w:val="0091429F"/>
    <w:rsid w:val="00914368"/>
    <w:rsid w:val="0091512E"/>
    <w:rsid w:val="009157ED"/>
    <w:rsid w:val="00915A71"/>
    <w:rsid w:val="00915DFD"/>
    <w:rsid w:val="009165C2"/>
    <w:rsid w:val="00916DDE"/>
    <w:rsid w:val="00917094"/>
    <w:rsid w:val="009175E6"/>
    <w:rsid w:val="00917BAF"/>
    <w:rsid w:val="009201E9"/>
    <w:rsid w:val="009204AD"/>
    <w:rsid w:val="009206B9"/>
    <w:rsid w:val="009207C9"/>
    <w:rsid w:val="00920866"/>
    <w:rsid w:val="009208CC"/>
    <w:rsid w:val="00920EFC"/>
    <w:rsid w:val="009212B4"/>
    <w:rsid w:val="009216A5"/>
    <w:rsid w:val="00921841"/>
    <w:rsid w:val="00921C47"/>
    <w:rsid w:val="00922040"/>
    <w:rsid w:val="00922989"/>
    <w:rsid w:val="00922F10"/>
    <w:rsid w:val="00923482"/>
    <w:rsid w:val="00923911"/>
    <w:rsid w:val="009239D0"/>
    <w:rsid w:val="00923A5C"/>
    <w:rsid w:val="00923C53"/>
    <w:rsid w:val="009244E6"/>
    <w:rsid w:val="009253A8"/>
    <w:rsid w:val="009258CA"/>
    <w:rsid w:val="009260E4"/>
    <w:rsid w:val="0092618B"/>
    <w:rsid w:val="00926347"/>
    <w:rsid w:val="00926A08"/>
    <w:rsid w:val="00926FE5"/>
    <w:rsid w:val="009270E6"/>
    <w:rsid w:val="009272A5"/>
    <w:rsid w:val="009274B5"/>
    <w:rsid w:val="00927E93"/>
    <w:rsid w:val="00927ECD"/>
    <w:rsid w:val="00930501"/>
    <w:rsid w:val="00930BAE"/>
    <w:rsid w:val="00930CDA"/>
    <w:rsid w:val="0093113F"/>
    <w:rsid w:val="00931447"/>
    <w:rsid w:val="009314C0"/>
    <w:rsid w:val="00931A35"/>
    <w:rsid w:val="00932115"/>
    <w:rsid w:val="0093215A"/>
    <w:rsid w:val="00932446"/>
    <w:rsid w:val="00932716"/>
    <w:rsid w:val="00932E41"/>
    <w:rsid w:val="00933347"/>
    <w:rsid w:val="00933472"/>
    <w:rsid w:val="009337A2"/>
    <w:rsid w:val="00933A1A"/>
    <w:rsid w:val="00933A36"/>
    <w:rsid w:val="00933D12"/>
    <w:rsid w:val="00933EA0"/>
    <w:rsid w:val="009340B6"/>
    <w:rsid w:val="00934352"/>
    <w:rsid w:val="0093473D"/>
    <w:rsid w:val="009348C5"/>
    <w:rsid w:val="009349F6"/>
    <w:rsid w:val="00935ACE"/>
    <w:rsid w:val="00935B3D"/>
    <w:rsid w:val="00935C11"/>
    <w:rsid w:val="0093754C"/>
    <w:rsid w:val="00937683"/>
    <w:rsid w:val="0094094E"/>
    <w:rsid w:val="00940CEE"/>
    <w:rsid w:val="00940F47"/>
    <w:rsid w:val="00941006"/>
    <w:rsid w:val="00941AC9"/>
    <w:rsid w:val="00942325"/>
    <w:rsid w:val="009425E6"/>
    <w:rsid w:val="00942A27"/>
    <w:rsid w:val="0094369E"/>
    <w:rsid w:val="00943EAD"/>
    <w:rsid w:val="009448B8"/>
    <w:rsid w:val="00945460"/>
    <w:rsid w:val="00945A0B"/>
    <w:rsid w:val="00945CEE"/>
    <w:rsid w:val="00945F96"/>
    <w:rsid w:val="00946CB1"/>
    <w:rsid w:val="00946F98"/>
    <w:rsid w:val="00947345"/>
    <w:rsid w:val="009504CB"/>
    <w:rsid w:val="00950D9D"/>
    <w:rsid w:val="009514C2"/>
    <w:rsid w:val="00951DBF"/>
    <w:rsid w:val="00951E70"/>
    <w:rsid w:val="0095224E"/>
    <w:rsid w:val="009523AA"/>
    <w:rsid w:val="00952479"/>
    <w:rsid w:val="00952657"/>
    <w:rsid w:val="0095359A"/>
    <w:rsid w:val="00953F92"/>
    <w:rsid w:val="0095411A"/>
    <w:rsid w:val="00954335"/>
    <w:rsid w:val="00954CA4"/>
    <w:rsid w:val="009550B8"/>
    <w:rsid w:val="00955616"/>
    <w:rsid w:val="0095563A"/>
    <w:rsid w:val="00955683"/>
    <w:rsid w:val="00955765"/>
    <w:rsid w:val="0095577B"/>
    <w:rsid w:val="00955FA0"/>
    <w:rsid w:val="00956089"/>
    <w:rsid w:val="0095620C"/>
    <w:rsid w:val="0095636C"/>
    <w:rsid w:val="0095653E"/>
    <w:rsid w:val="0095685B"/>
    <w:rsid w:val="0095708B"/>
    <w:rsid w:val="009577DA"/>
    <w:rsid w:val="009606FF"/>
    <w:rsid w:val="00960BB9"/>
    <w:rsid w:val="00960C29"/>
    <w:rsid w:val="00960E15"/>
    <w:rsid w:val="00961031"/>
    <w:rsid w:val="0096130D"/>
    <w:rsid w:val="00961DB0"/>
    <w:rsid w:val="00962057"/>
    <w:rsid w:val="009626F1"/>
    <w:rsid w:val="00963559"/>
    <w:rsid w:val="00964284"/>
    <w:rsid w:val="0096484D"/>
    <w:rsid w:val="00965724"/>
    <w:rsid w:val="009657FB"/>
    <w:rsid w:val="00965853"/>
    <w:rsid w:val="00965BEE"/>
    <w:rsid w:val="00966757"/>
    <w:rsid w:val="0096680C"/>
    <w:rsid w:val="00966D58"/>
    <w:rsid w:val="009670AC"/>
    <w:rsid w:val="00967688"/>
    <w:rsid w:val="009678F8"/>
    <w:rsid w:val="0097068D"/>
    <w:rsid w:val="00970A1F"/>
    <w:rsid w:val="0097162D"/>
    <w:rsid w:val="0097163E"/>
    <w:rsid w:val="009718FE"/>
    <w:rsid w:val="00971A6E"/>
    <w:rsid w:val="00971A97"/>
    <w:rsid w:val="00971DF7"/>
    <w:rsid w:val="00972040"/>
    <w:rsid w:val="00972106"/>
    <w:rsid w:val="009729EA"/>
    <w:rsid w:val="00972F57"/>
    <w:rsid w:val="009733CE"/>
    <w:rsid w:val="0097343D"/>
    <w:rsid w:val="00973663"/>
    <w:rsid w:val="009739B6"/>
    <w:rsid w:val="00974571"/>
    <w:rsid w:val="0097474E"/>
    <w:rsid w:val="00974844"/>
    <w:rsid w:val="00974C78"/>
    <w:rsid w:val="00975281"/>
    <w:rsid w:val="00975490"/>
    <w:rsid w:val="0097563C"/>
    <w:rsid w:val="0097590F"/>
    <w:rsid w:val="00975B10"/>
    <w:rsid w:val="00976902"/>
    <w:rsid w:val="00976B9B"/>
    <w:rsid w:val="00976E26"/>
    <w:rsid w:val="00977073"/>
    <w:rsid w:val="0097744D"/>
    <w:rsid w:val="00977689"/>
    <w:rsid w:val="00977797"/>
    <w:rsid w:val="00977A31"/>
    <w:rsid w:val="00980348"/>
    <w:rsid w:val="009804D5"/>
    <w:rsid w:val="00980EB4"/>
    <w:rsid w:val="0098146B"/>
    <w:rsid w:val="00981612"/>
    <w:rsid w:val="00981775"/>
    <w:rsid w:val="009822BC"/>
    <w:rsid w:val="00982465"/>
    <w:rsid w:val="00982627"/>
    <w:rsid w:val="00982C4C"/>
    <w:rsid w:val="00982E6A"/>
    <w:rsid w:val="009836C4"/>
    <w:rsid w:val="009845E0"/>
    <w:rsid w:val="00984726"/>
    <w:rsid w:val="00984A70"/>
    <w:rsid w:val="00984CA2"/>
    <w:rsid w:val="00986502"/>
    <w:rsid w:val="00986796"/>
    <w:rsid w:val="00986AF7"/>
    <w:rsid w:val="009876D6"/>
    <w:rsid w:val="00987D3E"/>
    <w:rsid w:val="0099045C"/>
    <w:rsid w:val="0099095A"/>
    <w:rsid w:val="00990960"/>
    <w:rsid w:val="00990A00"/>
    <w:rsid w:val="00990B2B"/>
    <w:rsid w:val="00990FB0"/>
    <w:rsid w:val="00990FDC"/>
    <w:rsid w:val="0099126C"/>
    <w:rsid w:val="0099133D"/>
    <w:rsid w:val="00992018"/>
    <w:rsid w:val="00992230"/>
    <w:rsid w:val="00992402"/>
    <w:rsid w:val="0099272F"/>
    <w:rsid w:val="009931BE"/>
    <w:rsid w:val="0099334F"/>
    <w:rsid w:val="009934C9"/>
    <w:rsid w:val="009943F3"/>
    <w:rsid w:val="00994491"/>
    <w:rsid w:val="00994727"/>
    <w:rsid w:val="009949A5"/>
    <w:rsid w:val="00994AF0"/>
    <w:rsid w:val="00994CEF"/>
    <w:rsid w:val="00994D84"/>
    <w:rsid w:val="00994F04"/>
    <w:rsid w:val="00995280"/>
    <w:rsid w:val="009956E5"/>
    <w:rsid w:val="00995A7E"/>
    <w:rsid w:val="009963EF"/>
    <w:rsid w:val="00996583"/>
    <w:rsid w:val="0099658F"/>
    <w:rsid w:val="00996653"/>
    <w:rsid w:val="009967BF"/>
    <w:rsid w:val="0099696B"/>
    <w:rsid w:val="0099707F"/>
    <w:rsid w:val="009978B5"/>
    <w:rsid w:val="009A0091"/>
    <w:rsid w:val="009A0457"/>
    <w:rsid w:val="009A0520"/>
    <w:rsid w:val="009A05EC"/>
    <w:rsid w:val="009A0A16"/>
    <w:rsid w:val="009A0ADA"/>
    <w:rsid w:val="009A193D"/>
    <w:rsid w:val="009A1F60"/>
    <w:rsid w:val="009A226C"/>
    <w:rsid w:val="009A26C7"/>
    <w:rsid w:val="009A30CF"/>
    <w:rsid w:val="009A32DF"/>
    <w:rsid w:val="009A337F"/>
    <w:rsid w:val="009A3896"/>
    <w:rsid w:val="009A46D0"/>
    <w:rsid w:val="009A4D83"/>
    <w:rsid w:val="009A4F74"/>
    <w:rsid w:val="009A4FDD"/>
    <w:rsid w:val="009A555B"/>
    <w:rsid w:val="009A5900"/>
    <w:rsid w:val="009A5CB2"/>
    <w:rsid w:val="009A655C"/>
    <w:rsid w:val="009A6A4A"/>
    <w:rsid w:val="009A72AA"/>
    <w:rsid w:val="009A7E73"/>
    <w:rsid w:val="009B052C"/>
    <w:rsid w:val="009B071E"/>
    <w:rsid w:val="009B09A3"/>
    <w:rsid w:val="009B0FEE"/>
    <w:rsid w:val="009B11DE"/>
    <w:rsid w:val="009B133D"/>
    <w:rsid w:val="009B133E"/>
    <w:rsid w:val="009B1369"/>
    <w:rsid w:val="009B15CF"/>
    <w:rsid w:val="009B170D"/>
    <w:rsid w:val="009B22A1"/>
    <w:rsid w:val="009B234A"/>
    <w:rsid w:val="009B2B5D"/>
    <w:rsid w:val="009B2C26"/>
    <w:rsid w:val="009B2F05"/>
    <w:rsid w:val="009B3249"/>
    <w:rsid w:val="009B3AFB"/>
    <w:rsid w:val="009B3D26"/>
    <w:rsid w:val="009B402B"/>
    <w:rsid w:val="009B42A4"/>
    <w:rsid w:val="009B4872"/>
    <w:rsid w:val="009B4B1C"/>
    <w:rsid w:val="009B55CE"/>
    <w:rsid w:val="009B5983"/>
    <w:rsid w:val="009B640C"/>
    <w:rsid w:val="009B67B7"/>
    <w:rsid w:val="009B6DA6"/>
    <w:rsid w:val="009B7148"/>
    <w:rsid w:val="009B755A"/>
    <w:rsid w:val="009B7A2B"/>
    <w:rsid w:val="009B7D67"/>
    <w:rsid w:val="009C00D9"/>
    <w:rsid w:val="009C04BF"/>
    <w:rsid w:val="009C0F0B"/>
    <w:rsid w:val="009C12F3"/>
    <w:rsid w:val="009C2423"/>
    <w:rsid w:val="009C2EAF"/>
    <w:rsid w:val="009C362A"/>
    <w:rsid w:val="009C3B11"/>
    <w:rsid w:val="009C4194"/>
    <w:rsid w:val="009C42DC"/>
    <w:rsid w:val="009C4CFF"/>
    <w:rsid w:val="009C4D96"/>
    <w:rsid w:val="009C526E"/>
    <w:rsid w:val="009C5E91"/>
    <w:rsid w:val="009C6272"/>
    <w:rsid w:val="009C702F"/>
    <w:rsid w:val="009C71EF"/>
    <w:rsid w:val="009C721D"/>
    <w:rsid w:val="009C7848"/>
    <w:rsid w:val="009C7A1C"/>
    <w:rsid w:val="009C7EF7"/>
    <w:rsid w:val="009D05A2"/>
    <w:rsid w:val="009D08C4"/>
    <w:rsid w:val="009D0B4F"/>
    <w:rsid w:val="009D1BE9"/>
    <w:rsid w:val="009D2113"/>
    <w:rsid w:val="009D2381"/>
    <w:rsid w:val="009D2752"/>
    <w:rsid w:val="009D2818"/>
    <w:rsid w:val="009D30EE"/>
    <w:rsid w:val="009D3448"/>
    <w:rsid w:val="009D39EC"/>
    <w:rsid w:val="009D3CD6"/>
    <w:rsid w:val="009D3CEB"/>
    <w:rsid w:val="009D3F29"/>
    <w:rsid w:val="009D3F56"/>
    <w:rsid w:val="009D3F78"/>
    <w:rsid w:val="009D3F7F"/>
    <w:rsid w:val="009D4054"/>
    <w:rsid w:val="009D4207"/>
    <w:rsid w:val="009D44FD"/>
    <w:rsid w:val="009D4924"/>
    <w:rsid w:val="009D5904"/>
    <w:rsid w:val="009D5C5E"/>
    <w:rsid w:val="009D66A5"/>
    <w:rsid w:val="009D6AED"/>
    <w:rsid w:val="009D7D5F"/>
    <w:rsid w:val="009E01D8"/>
    <w:rsid w:val="009E044D"/>
    <w:rsid w:val="009E080E"/>
    <w:rsid w:val="009E0A90"/>
    <w:rsid w:val="009E0F23"/>
    <w:rsid w:val="009E176C"/>
    <w:rsid w:val="009E1C09"/>
    <w:rsid w:val="009E2282"/>
    <w:rsid w:val="009E240A"/>
    <w:rsid w:val="009E4242"/>
    <w:rsid w:val="009E4DB1"/>
    <w:rsid w:val="009E528D"/>
    <w:rsid w:val="009E560C"/>
    <w:rsid w:val="009E58C4"/>
    <w:rsid w:val="009E6844"/>
    <w:rsid w:val="009E6867"/>
    <w:rsid w:val="009E6D6B"/>
    <w:rsid w:val="009E728E"/>
    <w:rsid w:val="009F0936"/>
    <w:rsid w:val="009F0EF7"/>
    <w:rsid w:val="009F1184"/>
    <w:rsid w:val="009F118C"/>
    <w:rsid w:val="009F13C7"/>
    <w:rsid w:val="009F1A8F"/>
    <w:rsid w:val="009F1EFF"/>
    <w:rsid w:val="009F21C4"/>
    <w:rsid w:val="009F24CD"/>
    <w:rsid w:val="009F2861"/>
    <w:rsid w:val="009F2921"/>
    <w:rsid w:val="009F2A00"/>
    <w:rsid w:val="009F31E0"/>
    <w:rsid w:val="009F354A"/>
    <w:rsid w:val="009F35F8"/>
    <w:rsid w:val="009F396A"/>
    <w:rsid w:val="009F3B04"/>
    <w:rsid w:val="009F3D43"/>
    <w:rsid w:val="009F408F"/>
    <w:rsid w:val="009F420C"/>
    <w:rsid w:val="009F43DD"/>
    <w:rsid w:val="009F4487"/>
    <w:rsid w:val="009F44E9"/>
    <w:rsid w:val="009F4819"/>
    <w:rsid w:val="009F4DAE"/>
    <w:rsid w:val="009F4E33"/>
    <w:rsid w:val="009F56A5"/>
    <w:rsid w:val="009F5CD9"/>
    <w:rsid w:val="009F5F98"/>
    <w:rsid w:val="009F6168"/>
    <w:rsid w:val="009F66A5"/>
    <w:rsid w:val="009F699C"/>
    <w:rsid w:val="00A00ABD"/>
    <w:rsid w:val="00A00E02"/>
    <w:rsid w:val="00A010B6"/>
    <w:rsid w:val="00A020CD"/>
    <w:rsid w:val="00A022F4"/>
    <w:rsid w:val="00A02672"/>
    <w:rsid w:val="00A02697"/>
    <w:rsid w:val="00A026CF"/>
    <w:rsid w:val="00A02975"/>
    <w:rsid w:val="00A03CC7"/>
    <w:rsid w:val="00A0467E"/>
    <w:rsid w:val="00A04759"/>
    <w:rsid w:val="00A04C45"/>
    <w:rsid w:val="00A04C98"/>
    <w:rsid w:val="00A05280"/>
    <w:rsid w:val="00A06516"/>
    <w:rsid w:val="00A06C69"/>
    <w:rsid w:val="00A06DF0"/>
    <w:rsid w:val="00A06F21"/>
    <w:rsid w:val="00A0712E"/>
    <w:rsid w:val="00A075D6"/>
    <w:rsid w:val="00A07C99"/>
    <w:rsid w:val="00A07CC2"/>
    <w:rsid w:val="00A117A8"/>
    <w:rsid w:val="00A119B5"/>
    <w:rsid w:val="00A11D70"/>
    <w:rsid w:val="00A11DA7"/>
    <w:rsid w:val="00A1211B"/>
    <w:rsid w:val="00A126A7"/>
    <w:rsid w:val="00A12A7F"/>
    <w:rsid w:val="00A12CFB"/>
    <w:rsid w:val="00A12EB7"/>
    <w:rsid w:val="00A132CC"/>
    <w:rsid w:val="00A13338"/>
    <w:rsid w:val="00A134E2"/>
    <w:rsid w:val="00A1390E"/>
    <w:rsid w:val="00A1482D"/>
    <w:rsid w:val="00A14E90"/>
    <w:rsid w:val="00A15217"/>
    <w:rsid w:val="00A159C0"/>
    <w:rsid w:val="00A15A51"/>
    <w:rsid w:val="00A16273"/>
    <w:rsid w:val="00A16319"/>
    <w:rsid w:val="00A16363"/>
    <w:rsid w:val="00A1664A"/>
    <w:rsid w:val="00A167E5"/>
    <w:rsid w:val="00A16B34"/>
    <w:rsid w:val="00A16D96"/>
    <w:rsid w:val="00A17280"/>
    <w:rsid w:val="00A17513"/>
    <w:rsid w:val="00A206D5"/>
    <w:rsid w:val="00A208EE"/>
    <w:rsid w:val="00A21269"/>
    <w:rsid w:val="00A21379"/>
    <w:rsid w:val="00A213DB"/>
    <w:rsid w:val="00A221C8"/>
    <w:rsid w:val="00A22849"/>
    <w:rsid w:val="00A22C8C"/>
    <w:rsid w:val="00A22E0B"/>
    <w:rsid w:val="00A232A5"/>
    <w:rsid w:val="00A2444C"/>
    <w:rsid w:val="00A2491F"/>
    <w:rsid w:val="00A24E6E"/>
    <w:rsid w:val="00A24EE7"/>
    <w:rsid w:val="00A253C9"/>
    <w:rsid w:val="00A25585"/>
    <w:rsid w:val="00A2580E"/>
    <w:rsid w:val="00A26617"/>
    <w:rsid w:val="00A26A37"/>
    <w:rsid w:val="00A26EFA"/>
    <w:rsid w:val="00A2716A"/>
    <w:rsid w:val="00A271C9"/>
    <w:rsid w:val="00A276F3"/>
    <w:rsid w:val="00A2771E"/>
    <w:rsid w:val="00A2772D"/>
    <w:rsid w:val="00A2775A"/>
    <w:rsid w:val="00A2799A"/>
    <w:rsid w:val="00A27C6D"/>
    <w:rsid w:val="00A301D7"/>
    <w:rsid w:val="00A303D6"/>
    <w:rsid w:val="00A30555"/>
    <w:rsid w:val="00A309EC"/>
    <w:rsid w:val="00A30A49"/>
    <w:rsid w:val="00A30E58"/>
    <w:rsid w:val="00A3101F"/>
    <w:rsid w:val="00A31195"/>
    <w:rsid w:val="00A31265"/>
    <w:rsid w:val="00A314B6"/>
    <w:rsid w:val="00A31671"/>
    <w:rsid w:val="00A317CB"/>
    <w:rsid w:val="00A31B6E"/>
    <w:rsid w:val="00A32BB0"/>
    <w:rsid w:val="00A32DE1"/>
    <w:rsid w:val="00A32F4D"/>
    <w:rsid w:val="00A32FC5"/>
    <w:rsid w:val="00A33102"/>
    <w:rsid w:val="00A338EC"/>
    <w:rsid w:val="00A338FB"/>
    <w:rsid w:val="00A33B14"/>
    <w:rsid w:val="00A33FC1"/>
    <w:rsid w:val="00A3545A"/>
    <w:rsid w:val="00A354D8"/>
    <w:rsid w:val="00A35FD8"/>
    <w:rsid w:val="00A36134"/>
    <w:rsid w:val="00A3655E"/>
    <w:rsid w:val="00A36A62"/>
    <w:rsid w:val="00A36C50"/>
    <w:rsid w:val="00A36D38"/>
    <w:rsid w:val="00A3730C"/>
    <w:rsid w:val="00A37688"/>
    <w:rsid w:val="00A378C4"/>
    <w:rsid w:val="00A402F6"/>
    <w:rsid w:val="00A40571"/>
    <w:rsid w:val="00A408B6"/>
    <w:rsid w:val="00A40AE9"/>
    <w:rsid w:val="00A40BD4"/>
    <w:rsid w:val="00A40BE7"/>
    <w:rsid w:val="00A41357"/>
    <w:rsid w:val="00A41647"/>
    <w:rsid w:val="00A41ABC"/>
    <w:rsid w:val="00A42630"/>
    <w:rsid w:val="00A42645"/>
    <w:rsid w:val="00A429F7"/>
    <w:rsid w:val="00A42C22"/>
    <w:rsid w:val="00A43694"/>
    <w:rsid w:val="00A43FF1"/>
    <w:rsid w:val="00A4453C"/>
    <w:rsid w:val="00A44AE1"/>
    <w:rsid w:val="00A44EEC"/>
    <w:rsid w:val="00A45951"/>
    <w:rsid w:val="00A46728"/>
    <w:rsid w:val="00A46777"/>
    <w:rsid w:val="00A46A24"/>
    <w:rsid w:val="00A46EDD"/>
    <w:rsid w:val="00A47A4A"/>
    <w:rsid w:val="00A47F06"/>
    <w:rsid w:val="00A5059D"/>
    <w:rsid w:val="00A50826"/>
    <w:rsid w:val="00A50DBD"/>
    <w:rsid w:val="00A51505"/>
    <w:rsid w:val="00A518A9"/>
    <w:rsid w:val="00A52365"/>
    <w:rsid w:val="00A5320D"/>
    <w:rsid w:val="00A537EC"/>
    <w:rsid w:val="00A54102"/>
    <w:rsid w:val="00A54521"/>
    <w:rsid w:val="00A5501E"/>
    <w:rsid w:val="00A550B9"/>
    <w:rsid w:val="00A55599"/>
    <w:rsid w:val="00A55878"/>
    <w:rsid w:val="00A55CFD"/>
    <w:rsid w:val="00A55E24"/>
    <w:rsid w:val="00A55F97"/>
    <w:rsid w:val="00A560DF"/>
    <w:rsid w:val="00A56820"/>
    <w:rsid w:val="00A56C9E"/>
    <w:rsid w:val="00A56DE0"/>
    <w:rsid w:val="00A56FC7"/>
    <w:rsid w:val="00A576E8"/>
    <w:rsid w:val="00A57D28"/>
    <w:rsid w:val="00A6013C"/>
    <w:rsid w:val="00A60159"/>
    <w:rsid w:val="00A60480"/>
    <w:rsid w:val="00A60A03"/>
    <w:rsid w:val="00A60D91"/>
    <w:rsid w:val="00A613A6"/>
    <w:rsid w:val="00A614D5"/>
    <w:rsid w:val="00A62065"/>
    <w:rsid w:val="00A62694"/>
    <w:rsid w:val="00A629A2"/>
    <w:rsid w:val="00A62B2E"/>
    <w:rsid w:val="00A63145"/>
    <w:rsid w:val="00A6320B"/>
    <w:rsid w:val="00A638EF"/>
    <w:rsid w:val="00A645F3"/>
    <w:rsid w:val="00A6493C"/>
    <w:rsid w:val="00A64C68"/>
    <w:rsid w:val="00A66353"/>
    <w:rsid w:val="00A66BC4"/>
    <w:rsid w:val="00A67355"/>
    <w:rsid w:val="00A67392"/>
    <w:rsid w:val="00A6797E"/>
    <w:rsid w:val="00A67BC7"/>
    <w:rsid w:val="00A67E21"/>
    <w:rsid w:val="00A708F4"/>
    <w:rsid w:val="00A709D8"/>
    <w:rsid w:val="00A71A3B"/>
    <w:rsid w:val="00A71B09"/>
    <w:rsid w:val="00A72575"/>
    <w:rsid w:val="00A72946"/>
    <w:rsid w:val="00A72B6D"/>
    <w:rsid w:val="00A72E3C"/>
    <w:rsid w:val="00A72E3F"/>
    <w:rsid w:val="00A7319F"/>
    <w:rsid w:val="00A73A81"/>
    <w:rsid w:val="00A74011"/>
    <w:rsid w:val="00A74071"/>
    <w:rsid w:val="00A7455C"/>
    <w:rsid w:val="00A758B6"/>
    <w:rsid w:val="00A76174"/>
    <w:rsid w:val="00A762F4"/>
    <w:rsid w:val="00A80048"/>
    <w:rsid w:val="00A8065A"/>
    <w:rsid w:val="00A81088"/>
    <w:rsid w:val="00A810A2"/>
    <w:rsid w:val="00A8170F"/>
    <w:rsid w:val="00A81842"/>
    <w:rsid w:val="00A819B5"/>
    <w:rsid w:val="00A81ED2"/>
    <w:rsid w:val="00A82589"/>
    <w:rsid w:val="00A825DC"/>
    <w:rsid w:val="00A829C1"/>
    <w:rsid w:val="00A82B99"/>
    <w:rsid w:val="00A82EB0"/>
    <w:rsid w:val="00A8343F"/>
    <w:rsid w:val="00A83831"/>
    <w:rsid w:val="00A839D9"/>
    <w:rsid w:val="00A83DE5"/>
    <w:rsid w:val="00A85308"/>
    <w:rsid w:val="00A85C7A"/>
    <w:rsid w:val="00A85EFD"/>
    <w:rsid w:val="00A86813"/>
    <w:rsid w:val="00A87095"/>
    <w:rsid w:val="00A87CEC"/>
    <w:rsid w:val="00A90090"/>
    <w:rsid w:val="00A909F5"/>
    <w:rsid w:val="00A917E6"/>
    <w:rsid w:val="00A92B81"/>
    <w:rsid w:val="00A92DF7"/>
    <w:rsid w:val="00A93024"/>
    <w:rsid w:val="00A93057"/>
    <w:rsid w:val="00A93704"/>
    <w:rsid w:val="00A939B7"/>
    <w:rsid w:val="00A93A0E"/>
    <w:rsid w:val="00A93B52"/>
    <w:rsid w:val="00A93C25"/>
    <w:rsid w:val="00A9430A"/>
    <w:rsid w:val="00A94775"/>
    <w:rsid w:val="00A9479C"/>
    <w:rsid w:val="00A94A43"/>
    <w:rsid w:val="00A94D41"/>
    <w:rsid w:val="00A94F90"/>
    <w:rsid w:val="00A94F9F"/>
    <w:rsid w:val="00A94FFF"/>
    <w:rsid w:val="00A970BD"/>
    <w:rsid w:val="00A972BE"/>
    <w:rsid w:val="00A97EF0"/>
    <w:rsid w:val="00AA0C3B"/>
    <w:rsid w:val="00AA124A"/>
    <w:rsid w:val="00AA19F8"/>
    <w:rsid w:val="00AA1C71"/>
    <w:rsid w:val="00AA1CCC"/>
    <w:rsid w:val="00AA2A0B"/>
    <w:rsid w:val="00AA2A96"/>
    <w:rsid w:val="00AA303F"/>
    <w:rsid w:val="00AA3305"/>
    <w:rsid w:val="00AA361B"/>
    <w:rsid w:val="00AA3640"/>
    <w:rsid w:val="00AA4682"/>
    <w:rsid w:val="00AA4B65"/>
    <w:rsid w:val="00AA4CD0"/>
    <w:rsid w:val="00AA5736"/>
    <w:rsid w:val="00AA5E6A"/>
    <w:rsid w:val="00AA61A8"/>
    <w:rsid w:val="00AA677E"/>
    <w:rsid w:val="00AA71C5"/>
    <w:rsid w:val="00AA7548"/>
    <w:rsid w:val="00AB0447"/>
    <w:rsid w:val="00AB06F2"/>
    <w:rsid w:val="00AB0A89"/>
    <w:rsid w:val="00AB0E97"/>
    <w:rsid w:val="00AB168A"/>
    <w:rsid w:val="00AB1C38"/>
    <w:rsid w:val="00AB1D4A"/>
    <w:rsid w:val="00AB2032"/>
    <w:rsid w:val="00AB26CD"/>
    <w:rsid w:val="00AB29CC"/>
    <w:rsid w:val="00AB2C36"/>
    <w:rsid w:val="00AB3405"/>
    <w:rsid w:val="00AB3472"/>
    <w:rsid w:val="00AB34D6"/>
    <w:rsid w:val="00AB3AD8"/>
    <w:rsid w:val="00AB3BD8"/>
    <w:rsid w:val="00AB3D93"/>
    <w:rsid w:val="00AB4181"/>
    <w:rsid w:val="00AB449C"/>
    <w:rsid w:val="00AB4F39"/>
    <w:rsid w:val="00AB62C8"/>
    <w:rsid w:val="00AB66C2"/>
    <w:rsid w:val="00AB6A5C"/>
    <w:rsid w:val="00AB6AD2"/>
    <w:rsid w:val="00AB6F0E"/>
    <w:rsid w:val="00AB7858"/>
    <w:rsid w:val="00AB7931"/>
    <w:rsid w:val="00AB7D94"/>
    <w:rsid w:val="00AC020F"/>
    <w:rsid w:val="00AC022B"/>
    <w:rsid w:val="00AC0241"/>
    <w:rsid w:val="00AC04AE"/>
    <w:rsid w:val="00AC0523"/>
    <w:rsid w:val="00AC07C1"/>
    <w:rsid w:val="00AC0DED"/>
    <w:rsid w:val="00AC16FF"/>
    <w:rsid w:val="00AC1867"/>
    <w:rsid w:val="00AC1911"/>
    <w:rsid w:val="00AC197D"/>
    <w:rsid w:val="00AC1C20"/>
    <w:rsid w:val="00AC2787"/>
    <w:rsid w:val="00AC29C6"/>
    <w:rsid w:val="00AC2F8E"/>
    <w:rsid w:val="00AC440D"/>
    <w:rsid w:val="00AC4A68"/>
    <w:rsid w:val="00AC4A71"/>
    <w:rsid w:val="00AC51B4"/>
    <w:rsid w:val="00AC52BC"/>
    <w:rsid w:val="00AC52CE"/>
    <w:rsid w:val="00AC53F7"/>
    <w:rsid w:val="00AC5438"/>
    <w:rsid w:val="00AC6065"/>
    <w:rsid w:val="00AC6321"/>
    <w:rsid w:val="00AC63F2"/>
    <w:rsid w:val="00AC6CA4"/>
    <w:rsid w:val="00AC6F88"/>
    <w:rsid w:val="00AC71A9"/>
    <w:rsid w:val="00AC7C4D"/>
    <w:rsid w:val="00AC7FC6"/>
    <w:rsid w:val="00AD0458"/>
    <w:rsid w:val="00AD088D"/>
    <w:rsid w:val="00AD09D6"/>
    <w:rsid w:val="00AD1691"/>
    <w:rsid w:val="00AD1A30"/>
    <w:rsid w:val="00AD28E9"/>
    <w:rsid w:val="00AD3284"/>
    <w:rsid w:val="00AD3698"/>
    <w:rsid w:val="00AD3874"/>
    <w:rsid w:val="00AD3A89"/>
    <w:rsid w:val="00AD3CBB"/>
    <w:rsid w:val="00AD40C7"/>
    <w:rsid w:val="00AD46DE"/>
    <w:rsid w:val="00AD4897"/>
    <w:rsid w:val="00AD49B4"/>
    <w:rsid w:val="00AD4D36"/>
    <w:rsid w:val="00AD6247"/>
    <w:rsid w:val="00AD659A"/>
    <w:rsid w:val="00AD6A5B"/>
    <w:rsid w:val="00AD6AFA"/>
    <w:rsid w:val="00AD701B"/>
    <w:rsid w:val="00AD7810"/>
    <w:rsid w:val="00AE0105"/>
    <w:rsid w:val="00AE15DB"/>
    <w:rsid w:val="00AE162A"/>
    <w:rsid w:val="00AE1D63"/>
    <w:rsid w:val="00AE2369"/>
    <w:rsid w:val="00AE2439"/>
    <w:rsid w:val="00AE2D3E"/>
    <w:rsid w:val="00AE30CB"/>
    <w:rsid w:val="00AE30E1"/>
    <w:rsid w:val="00AE3AAF"/>
    <w:rsid w:val="00AE428B"/>
    <w:rsid w:val="00AE4778"/>
    <w:rsid w:val="00AE4814"/>
    <w:rsid w:val="00AE4C9C"/>
    <w:rsid w:val="00AE5481"/>
    <w:rsid w:val="00AE5824"/>
    <w:rsid w:val="00AE6452"/>
    <w:rsid w:val="00AE72DB"/>
    <w:rsid w:val="00AE76A9"/>
    <w:rsid w:val="00AE7A1E"/>
    <w:rsid w:val="00AE7E6F"/>
    <w:rsid w:val="00AF1321"/>
    <w:rsid w:val="00AF1671"/>
    <w:rsid w:val="00AF1950"/>
    <w:rsid w:val="00AF19C1"/>
    <w:rsid w:val="00AF1B01"/>
    <w:rsid w:val="00AF28CA"/>
    <w:rsid w:val="00AF2AD0"/>
    <w:rsid w:val="00AF3E23"/>
    <w:rsid w:val="00AF47C4"/>
    <w:rsid w:val="00AF4A0A"/>
    <w:rsid w:val="00AF575B"/>
    <w:rsid w:val="00AF5A6F"/>
    <w:rsid w:val="00AF5DDA"/>
    <w:rsid w:val="00AF603C"/>
    <w:rsid w:val="00AF6286"/>
    <w:rsid w:val="00AF6520"/>
    <w:rsid w:val="00AF65A5"/>
    <w:rsid w:val="00AF665D"/>
    <w:rsid w:val="00AF692B"/>
    <w:rsid w:val="00B003C8"/>
    <w:rsid w:val="00B00636"/>
    <w:rsid w:val="00B00A38"/>
    <w:rsid w:val="00B00A83"/>
    <w:rsid w:val="00B00CFF"/>
    <w:rsid w:val="00B00D26"/>
    <w:rsid w:val="00B0127F"/>
    <w:rsid w:val="00B0147E"/>
    <w:rsid w:val="00B01859"/>
    <w:rsid w:val="00B01A58"/>
    <w:rsid w:val="00B01DF5"/>
    <w:rsid w:val="00B02AC7"/>
    <w:rsid w:val="00B02D4F"/>
    <w:rsid w:val="00B03265"/>
    <w:rsid w:val="00B03CC2"/>
    <w:rsid w:val="00B03DA8"/>
    <w:rsid w:val="00B03EBA"/>
    <w:rsid w:val="00B048CE"/>
    <w:rsid w:val="00B04938"/>
    <w:rsid w:val="00B04988"/>
    <w:rsid w:val="00B04CE5"/>
    <w:rsid w:val="00B04E50"/>
    <w:rsid w:val="00B04F02"/>
    <w:rsid w:val="00B05049"/>
    <w:rsid w:val="00B052CC"/>
    <w:rsid w:val="00B05920"/>
    <w:rsid w:val="00B067A5"/>
    <w:rsid w:val="00B067E3"/>
    <w:rsid w:val="00B075EF"/>
    <w:rsid w:val="00B07B8C"/>
    <w:rsid w:val="00B100CC"/>
    <w:rsid w:val="00B102CF"/>
    <w:rsid w:val="00B10820"/>
    <w:rsid w:val="00B11464"/>
    <w:rsid w:val="00B11FD8"/>
    <w:rsid w:val="00B1227D"/>
    <w:rsid w:val="00B12ED2"/>
    <w:rsid w:val="00B13BDE"/>
    <w:rsid w:val="00B1421D"/>
    <w:rsid w:val="00B143D9"/>
    <w:rsid w:val="00B147BE"/>
    <w:rsid w:val="00B14B2B"/>
    <w:rsid w:val="00B15702"/>
    <w:rsid w:val="00B159FE"/>
    <w:rsid w:val="00B16786"/>
    <w:rsid w:val="00B16C2A"/>
    <w:rsid w:val="00B172AB"/>
    <w:rsid w:val="00B1743F"/>
    <w:rsid w:val="00B17691"/>
    <w:rsid w:val="00B17D08"/>
    <w:rsid w:val="00B17F86"/>
    <w:rsid w:val="00B20C07"/>
    <w:rsid w:val="00B21C12"/>
    <w:rsid w:val="00B22B15"/>
    <w:rsid w:val="00B22DC8"/>
    <w:rsid w:val="00B22DEE"/>
    <w:rsid w:val="00B23C88"/>
    <w:rsid w:val="00B23DD1"/>
    <w:rsid w:val="00B23FA1"/>
    <w:rsid w:val="00B24D7B"/>
    <w:rsid w:val="00B2529A"/>
    <w:rsid w:val="00B25B45"/>
    <w:rsid w:val="00B25E06"/>
    <w:rsid w:val="00B26D66"/>
    <w:rsid w:val="00B270B5"/>
    <w:rsid w:val="00B27B6C"/>
    <w:rsid w:val="00B305EF"/>
    <w:rsid w:val="00B307BD"/>
    <w:rsid w:val="00B30BA2"/>
    <w:rsid w:val="00B30F61"/>
    <w:rsid w:val="00B3112B"/>
    <w:rsid w:val="00B316D4"/>
    <w:rsid w:val="00B31905"/>
    <w:rsid w:val="00B31ABB"/>
    <w:rsid w:val="00B31BB1"/>
    <w:rsid w:val="00B31BE9"/>
    <w:rsid w:val="00B31E15"/>
    <w:rsid w:val="00B31FD2"/>
    <w:rsid w:val="00B3241D"/>
    <w:rsid w:val="00B3271C"/>
    <w:rsid w:val="00B330BE"/>
    <w:rsid w:val="00B3332B"/>
    <w:rsid w:val="00B3389A"/>
    <w:rsid w:val="00B33BCA"/>
    <w:rsid w:val="00B3407C"/>
    <w:rsid w:val="00B343D2"/>
    <w:rsid w:val="00B34E43"/>
    <w:rsid w:val="00B34F58"/>
    <w:rsid w:val="00B35096"/>
    <w:rsid w:val="00B35354"/>
    <w:rsid w:val="00B35C1B"/>
    <w:rsid w:val="00B35C97"/>
    <w:rsid w:val="00B35E42"/>
    <w:rsid w:val="00B35EAB"/>
    <w:rsid w:val="00B3642A"/>
    <w:rsid w:val="00B3659E"/>
    <w:rsid w:val="00B37011"/>
    <w:rsid w:val="00B37431"/>
    <w:rsid w:val="00B3763B"/>
    <w:rsid w:val="00B40929"/>
    <w:rsid w:val="00B409A1"/>
    <w:rsid w:val="00B40DE5"/>
    <w:rsid w:val="00B413E2"/>
    <w:rsid w:val="00B42086"/>
    <w:rsid w:val="00B42522"/>
    <w:rsid w:val="00B4355C"/>
    <w:rsid w:val="00B43709"/>
    <w:rsid w:val="00B437B2"/>
    <w:rsid w:val="00B43CD9"/>
    <w:rsid w:val="00B44140"/>
    <w:rsid w:val="00B4427B"/>
    <w:rsid w:val="00B44F82"/>
    <w:rsid w:val="00B45017"/>
    <w:rsid w:val="00B453DB"/>
    <w:rsid w:val="00B4565B"/>
    <w:rsid w:val="00B45911"/>
    <w:rsid w:val="00B459BD"/>
    <w:rsid w:val="00B459D4"/>
    <w:rsid w:val="00B45AA2"/>
    <w:rsid w:val="00B45B04"/>
    <w:rsid w:val="00B45C16"/>
    <w:rsid w:val="00B45F62"/>
    <w:rsid w:val="00B4633D"/>
    <w:rsid w:val="00B46519"/>
    <w:rsid w:val="00B4723F"/>
    <w:rsid w:val="00B475D5"/>
    <w:rsid w:val="00B47CA2"/>
    <w:rsid w:val="00B47EE4"/>
    <w:rsid w:val="00B501F8"/>
    <w:rsid w:val="00B50AA7"/>
    <w:rsid w:val="00B51863"/>
    <w:rsid w:val="00B522AF"/>
    <w:rsid w:val="00B52F38"/>
    <w:rsid w:val="00B5302C"/>
    <w:rsid w:val="00B530A3"/>
    <w:rsid w:val="00B534CF"/>
    <w:rsid w:val="00B53708"/>
    <w:rsid w:val="00B5413A"/>
    <w:rsid w:val="00B541BE"/>
    <w:rsid w:val="00B5519B"/>
    <w:rsid w:val="00B55A2A"/>
    <w:rsid w:val="00B55B92"/>
    <w:rsid w:val="00B56869"/>
    <w:rsid w:val="00B56F5E"/>
    <w:rsid w:val="00B57C95"/>
    <w:rsid w:val="00B605E5"/>
    <w:rsid w:val="00B60AA0"/>
    <w:rsid w:val="00B61631"/>
    <w:rsid w:val="00B61A9C"/>
    <w:rsid w:val="00B61B3E"/>
    <w:rsid w:val="00B6263B"/>
    <w:rsid w:val="00B627A0"/>
    <w:rsid w:val="00B62BD8"/>
    <w:rsid w:val="00B62DA9"/>
    <w:rsid w:val="00B62E55"/>
    <w:rsid w:val="00B634EA"/>
    <w:rsid w:val="00B63AED"/>
    <w:rsid w:val="00B63C0E"/>
    <w:rsid w:val="00B63DBE"/>
    <w:rsid w:val="00B64215"/>
    <w:rsid w:val="00B6421E"/>
    <w:rsid w:val="00B6458E"/>
    <w:rsid w:val="00B646F8"/>
    <w:rsid w:val="00B64C18"/>
    <w:rsid w:val="00B64CE6"/>
    <w:rsid w:val="00B65245"/>
    <w:rsid w:val="00B65782"/>
    <w:rsid w:val="00B6594B"/>
    <w:rsid w:val="00B662A4"/>
    <w:rsid w:val="00B6689D"/>
    <w:rsid w:val="00B66E27"/>
    <w:rsid w:val="00B6711C"/>
    <w:rsid w:val="00B673F1"/>
    <w:rsid w:val="00B676B7"/>
    <w:rsid w:val="00B678F5"/>
    <w:rsid w:val="00B7078F"/>
    <w:rsid w:val="00B709BC"/>
    <w:rsid w:val="00B70EE5"/>
    <w:rsid w:val="00B70FFA"/>
    <w:rsid w:val="00B711D0"/>
    <w:rsid w:val="00B71375"/>
    <w:rsid w:val="00B715E6"/>
    <w:rsid w:val="00B7167D"/>
    <w:rsid w:val="00B71807"/>
    <w:rsid w:val="00B7208A"/>
    <w:rsid w:val="00B722AB"/>
    <w:rsid w:val="00B722C5"/>
    <w:rsid w:val="00B72368"/>
    <w:rsid w:val="00B724C2"/>
    <w:rsid w:val="00B72620"/>
    <w:rsid w:val="00B72D7B"/>
    <w:rsid w:val="00B730A4"/>
    <w:rsid w:val="00B733CD"/>
    <w:rsid w:val="00B73688"/>
    <w:rsid w:val="00B744E8"/>
    <w:rsid w:val="00B75718"/>
    <w:rsid w:val="00B75935"/>
    <w:rsid w:val="00B76255"/>
    <w:rsid w:val="00B76646"/>
    <w:rsid w:val="00B778D9"/>
    <w:rsid w:val="00B779B7"/>
    <w:rsid w:val="00B77BCB"/>
    <w:rsid w:val="00B77D52"/>
    <w:rsid w:val="00B8099B"/>
    <w:rsid w:val="00B80A1A"/>
    <w:rsid w:val="00B80E4B"/>
    <w:rsid w:val="00B815AA"/>
    <w:rsid w:val="00B81FAB"/>
    <w:rsid w:val="00B821BB"/>
    <w:rsid w:val="00B82735"/>
    <w:rsid w:val="00B82CBD"/>
    <w:rsid w:val="00B83A96"/>
    <w:rsid w:val="00B84096"/>
    <w:rsid w:val="00B84557"/>
    <w:rsid w:val="00B84799"/>
    <w:rsid w:val="00B84EF2"/>
    <w:rsid w:val="00B850FD"/>
    <w:rsid w:val="00B85101"/>
    <w:rsid w:val="00B85234"/>
    <w:rsid w:val="00B8525C"/>
    <w:rsid w:val="00B853EB"/>
    <w:rsid w:val="00B857F4"/>
    <w:rsid w:val="00B85A9B"/>
    <w:rsid w:val="00B8661C"/>
    <w:rsid w:val="00B86711"/>
    <w:rsid w:val="00B86802"/>
    <w:rsid w:val="00B86C1C"/>
    <w:rsid w:val="00B87B01"/>
    <w:rsid w:val="00B87B8C"/>
    <w:rsid w:val="00B87DA6"/>
    <w:rsid w:val="00B87F1A"/>
    <w:rsid w:val="00B90496"/>
    <w:rsid w:val="00B906DE"/>
    <w:rsid w:val="00B918E6"/>
    <w:rsid w:val="00B92030"/>
    <w:rsid w:val="00B92341"/>
    <w:rsid w:val="00B92646"/>
    <w:rsid w:val="00B92D25"/>
    <w:rsid w:val="00B92D26"/>
    <w:rsid w:val="00B932D6"/>
    <w:rsid w:val="00B93412"/>
    <w:rsid w:val="00B9373D"/>
    <w:rsid w:val="00B93F7E"/>
    <w:rsid w:val="00B94B2D"/>
    <w:rsid w:val="00B94BB2"/>
    <w:rsid w:val="00B94DA3"/>
    <w:rsid w:val="00B94DD2"/>
    <w:rsid w:val="00B94F74"/>
    <w:rsid w:val="00B95029"/>
    <w:rsid w:val="00B95385"/>
    <w:rsid w:val="00B9559D"/>
    <w:rsid w:val="00B956A4"/>
    <w:rsid w:val="00B95AB6"/>
    <w:rsid w:val="00B96134"/>
    <w:rsid w:val="00B96539"/>
    <w:rsid w:val="00B969F9"/>
    <w:rsid w:val="00B96DED"/>
    <w:rsid w:val="00B97048"/>
    <w:rsid w:val="00B9749E"/>
    <w:rsid w:val="00B974DF"/>
    <w:rsid w:val="00B97958"/>
    <w:rsid w:val="00B97A11"/>
    <w:rsid w:val="00B97CB1"/>
    <w:rsid w:val="00B97D5D"/>
    <w:rsid w:val="00BA039D"/>
    <w:rsid w:val="00BA06E1"/>
    <w:rsid w:val="00BA09E1"/>
    <w:rsid w:val="00BA1FC8"/>
    <w:rsid w:val="00BA2510"/>
    <w:rsid w:val="00BA2648"/>
    <w:rsid w:val="00BA2675"/>
    <w:rsid w:val="00BA2CD9"/>
    <w:rsid w:val="00BA3B10"/>
    <w:rsid w:val="00BA3E83"/>
    <w:rsid w:val="00BA44CF"/>
    <w:rsid w:val="00BA47F6"/>
    <w:rsid w:val="00BA488B"/>
    <w:rsid w:val="00BA4922"/>
    <w:rsid w:val="00BA4D88"/>
    <w:rsid w:val="00BA5192"/>
    <w:rsid w:val="00BA5477"/>
    <w:rsid w:val="00BA6990"/>
    <w:rsid w:val="00BA6E9F"/>
    <w:rsid w:val="00BA7962"/>
    <w:rsid w:val="00BA7D02"/>
    <w:rsid w:val="00BA7F50"/>
    <w:rsid w:val="00BB0396"/>
    <w:rsid w:val="00BB0F33"/>
    <w:rsid w:val="00BB0F9B"/>
    <w:rsid w:val="00BB1002"/>
    <w:rsid w:val="00BB11B5"/>
    <w:rsid w:val="00BB11C1"/>
    <w:rsid w:val="00BB1AA0"/>
    <w:rsid w:val="00BB1D5C"/>
    <w:rsid w:val="00BB29A8"/>
    <w:rsid w:val="00BB311D"/>
    <w:rsid w:val="00BB361B"/>
    <w:rsid w:val="00BB3C49"/>
    <w:rsid w:val="00BB3F00"/>
    <w:rsid w:val="00BB4915"/>
    <w:rsid w:val="00BB49CF"/>
    <w:rsid w:val="00BB4EA1"/>
    <w:rsid w:val="00BB546E"/>
    <w:rsid w:val="00BB57B2"/>
    <w:rsid w:val="00BB5828"/>
    <w:rsid w:val="00BB5A85"/>
    <w:rsid w:val="00BB5CC5"/>
    <w:rsid w:val="00BB5D29"/>
    <w:rsid w:val="00BB5D65"/>
    <w:rsid w:val="00BB5F61"/>
    <w:rsid w:val="00BB60FC"/>
    <w:rsid w:val="00BB69EE"/>
    <w:rsid w:val="00BB6B97"/>
    <w:rsid w:val="00BB6FD5"/>
    <w:rsid w:val="00BB7062"/>
    <w:rsid w:val="00BB73AA"/>
    <w:rsid w:val="00BB74F4"/>
    <w:rsid w:val="00BB7DB0"/>
    <w:rsid w:val="00BB7F21"/>
    <w:rsid w:val="00BC09C7"/>
    <w:rsid w:val="00BC0CEC"/>
    <w:rsid w:val="00BC0E1C"/>
    <w:rsid w:val="00BC152F"/>
    <w:rsid w:val="00BC3413"/>
    <w:rsid w:val="00BC3787"/>
    <w:rsid w:val="00BC3ABD"/>
    <w:rsid w:val="00BC3B4F"/>
    <w:rsid w:val="00BC3FBA"/>
    <w:rsid w:val="00BC4065"/>
    <w:rsid w:val="00BC41AD"/>
    <w:rsid w:val="00BC4E01"/>
    <w:rsid w:val="00BC620E"/>
    <w:rsid w:val="00BC62DD"/>
    <w:rsid w:val="00BC6360"/>
    <w:rsid w:val="00BC6ADD"/>
    <w:rsid w:val="00BC6AEE"/>
    <w:rsid w:val="00BC6E16"/>
    <w:rsid w:val="00BC785C"/>
    <w:rsid w:val="00BD01CE"/>
    <w:rsid w:val="00BD049B"/>
    <w:rsid w:val="00BD0D4B"/>
    <w:rsid w:val="00BD0DD9"/>
    <w:rsid w:val="00BD12A6"/>
    <w:rsid w:val="00BD1342"/>
    <w:rsid w:val="00BD1704"/>
    <w:rsid w:val="00BD1A3E"/>
    <w:rsid w:val="00BD1C6C"/>
    <w:rsid w:val="00BD2574"/>
    <w:rsid w:val="00BD2578"/>
    <w:rsid w:val="00BD2D3A"/>
    <w:rsid w:val="00BD35D4"/>
    <w:rsid w:val="00BD4077"/>
    <w:rsid w:val="00BD4F95"/>
    <w:rsid w:val="00BD5363"/>
    <w:rsid w:val="00BD53EB"/>
    <w:rsid w:val="00BD598C"/>
    <w:rsid w:val="00BD5D5A"/>
    <w:rsid w:val="00BD634E"/>
    <w:rsid w:val="00BD6765"/>
    <w:rsid w:val="00BD6A14"/>
    <w:rsid w:val="00BD6E0B"/>
    <w:rsid w:val="00BD7506"/>
    <w:rsid w:val="00BD792B"/>
    <w:rsid w:val="00BE0185"/>
    <w:rsid w:val="00BE02B1"/>
    <w:rsid w:val="00BE08FA"/>
    <w:rsid w:val="00BE0DA9"/>
    <w:rsid w:val="00BE0E35"/>
    <w:rsid w:val="00BE1B37"/>
    <w:rsid w:val="00BE20DD"/>
    <w:rsid w:val="00BE24E3"/>
    <w:rsid w:val="00BE279D"/>
    <w:rsid w:val="00BE2B5E"/>
    <w:rsid w:val="00BE2EF2"/>
    <w:rsid w:val="00BE3403"/>
    <w:rsid w:val="00BE3B1D"/>
    <w:rsid w:val="00BE3B94"/>
    <w:rsid w:val="00BE41E2"/>
    <w:rsid w:val="00BE4526"/>
    <w:rsid w:val="00BE4569"/>
    <w:rsid w:val="00BE46D3"/>
    <w:rsid w:val="00BE472F"/>
    <w:rsid w:val="00BE4AF3"/>
    <w:rsid w:val="00BE5083"/>
    <w:rsid w:val="00BE5492"/>
    <w:rsid w:val="00BE5513"/>
    <w:rsid w:val="00BE5C35"/>
    <w:rsid w:val="00BE622D"/>
    <w:rsid w:val="00BE6813"/>
    <w:rsid w:val="00BE6A71"/>
    <w:rsid w:val="00BE7277"/>
    <w:rsid w:val="00BE737E"/>
    <w:rsid w:val="00BE7CD7"/>
    <w:rsid w:val="00BE7DE2"/>
    <w:rsid w:val="00BF0088"/>
    <w:rsid w:val="00BF07E3"/>
    <w:rsid w:val="00BF217B"/>
    <w:rsid w:val="00BF2233"/>
    <w:rsid w:val="00BF228C"/>
    <w:rsid w:val="00BF35D1"/>
    <w:rsid w:val="00BF372E"/>
    <w:rsid w:val="00BF3B4B"/>
    <w:rsid w:val="00BF3C8F"/>
    <w:rsid w:val="00BF3F44"/>
    <w:rsid w:val="00BF4057"/>
    <w:rsid w:val="00BF4326"/>
    <w:rsid w:val="00BF46FF"/>
    <w:rsid w:val="00BF482D"/>
    <w:rsid w:val="00BF4E46"/>
    <w:rsid w:val="00BF5031"/>
    <w:rsid w:val="00BF5464"/>
    <w:rsid w:val="00BF60CD"/>
    <w:rsid w:val="00BF619C"/>
    <w:rsid w:val="00BF62BF"/>
    <w:rsid w:val="00BF63FD"/>
    <w:rsid w:val="00BF6A66"/>
    <w:rsid w:val="00BF7614"/>
    <w:rsid w:val="00BF7C55"/>
    <w:rsid w:val="00C00853"/>
    <w:rsid w:val="00C00971"/>
    <w:rsid w:val="00C00CA0"/>
    <w:rsid w:val="00C010B5"/>
    <w:rsid w:val="00C015C2"/>
    <w:rsid w:val="00C01646"/>
    <w:rsid w:val="00C01EFF"/>
    <w:rsid w:val="00C01FA4"/>
    <w:rsid w:val="00C0210E"/>
    <w:rsid w:val="00C0377A"/>
    <w:rsid w:val="00C03ECE"/>
    <w:rsid w:val="00C04013"/>
    <w:rsid w:val="00C0445A"/>
    <w:rsid w:val="00C045BD"/>
    <w:rsid w:val="00C04A93"/>
    <w:rsid w:val="00C052D7"/>
    <w:rsid w:val="00C057A2"/>
    <w:rsid w:val="00C05F11"/>
    <w:rsid w:val="00C06098"/>
    <w:rsid w:val="00C06B7C"/>
    <w:rsid w:val="00C06EA1"/>
    <w:rsid w:val="00C06EB3"/>
    <w:rsid w:val="00C07273"/>
    <w:rsid w:val="00C07702"/>
    <w:rsid w:val="00C07D29"/>
    <w:rsid w:val="00C10602"/>
    <w:rsid w:val="00C10F97"/>
    <w:rsid w:val="00C1105F"/>
    <w:rsid w:val="00C111D3"/>
    <w:rsid w:val="00C11243"/>
    <w:rsid w:val="00C11EF5"/>
    <w:rsid w:val="00C11F90"/>
    <w:rsid w:val="00C11F9F"/>
    <w:rsid w:val="00C129E0"/>
    <w:rsid w:val="00C12D1B"/>
    <w:rsid w:val="00C12D3D"/>
    <w:rsid w:val="00C1301A"/>
    <w:rsid w:val="00C13960"/>
    <w:rsid w:val="00C13DD7"/>
    <w:rsid w:val="00C14161"/>
    <w:rsid w:val="00C142DE"/>
    <w:rsid w:val="00C14624"/>
    <w:rsid w:val="00C14D4B"/>
    <w:rsid w:val="00C1500B"/>
    <w:rsid w:val="00C1573C"/>
    <w:rsid w:val="00C15D68"/>
    <w:rsid w:val="00C16635"/>
    <w:rsid w:val="00C16A98"/>
    <w:rsid w:val="00C16EE2"/>
    <w:rsid w:val="00C17533"/>
    <w:rsid w:val="00C17C5F"/>
    <w:rsid w:val="00C17E22"/>
    <w:rsid w:val="00C20C2C"/>
    <w:rsid w:val="00C21421"/>
    <w:rsid w:val="00C218E8"/>
    <w:rsid w:val="00C22DC4"/>
    <w:rsid w:val="00C22F86"/>
    <w:rsid w:val="00C232B6"/>
    <w:rsid w:val="00C23A90"/>
    <w:rsid w:val="00C23B13"/>
    <w:rsid w:val="00C24B38"/>
    <w:rsid w:val="00C24BAA"/>
    <w:rsid w:val="00C2527E"/>
    <w:rsid w:val="00C25622"/>
    <w:rsid w:val="00C262D4"/>
    <w:rsid w:val="00C26960"/>
    <w:rsid w:val="00C26A39"/>
    <w:rsid w:val="00C26DC1"/>
    <w:rsid w:val="00C2741E"/>
    <w:rsid w:val="00C27869"/>
    <w:rsid w:val="00C27BC4"/>
    <w:rsid w:val="00C301A9"/>
    <w:rsid w:val="00C30AEF"/>
    <w:rsid w:val="00C31D1D"/>
    <w:rsid w:val="00C32370"/>
    <w:rsid w:val="00C328F8"/>
    <w:rsid w:val="00C329E3"/>
    <w:rsid w:val="00C32EEC"/>
    <w:rsid w:val="00C333B1"/>
    <w:rsid w:val="00C33A4D"/>
    <w:rsid w:val="00C33B90"/>
    <w:rsid w:val="00C33D3D"/>
    <w:rsid w:val="00C34B7B"/>
    <w:rsid w:val="00C34D8E"/>
    <w:rsid w:val="00C3568E"/>
    <w:rsid w:val="00C356AC"/>
    <w:rsid w:val="00C35D5A"/>
    <w:rsid w:val="00C35D83"/>
    <w:rsid w:val="00C364B2"/>
    <w:rsid w:val="00C36A11"/>
    <w:rsid w:val="00C36C03"/>
    <w:rsid w:val="00C36E7F"/>
    <w:rsid w:val="00C36F84"/>
    <w:rsid w:val="00C3734D"/>
    <w:rsid w:val="00C3740F"/>
    <w:rsid w:val="00C401A7"/>
    <w:rsid w:val="00C4039C"/>
    <w:rsid w:val="00C404D4"/>
    <w:rsid w:val="00C405A2"/>
    <w:rsid w:val="00C40985"/>
    <w:rsid w:val="00C41681"/>
    <w:rsid w:val="00C41BC7"/>
    <w:rsid w:val="00C427BA"/>
    <w:rsid w:val="00C429C1"/>
    <w:rsid w:val="00C4383E"/>
    <w:rsid w:val="00C4394C"/>
    <w:rsid w:val="00C43A29"/>
    <w:rsid w:val="00C44D81"/>
    <w:rsid w:val="00C450B7"/>
    <w:rsid w:val="00C455D1"/>
    <w:rsid w:val="00C4574B"/>
    <w:rsid w:val="00C472AE"/>
    <w:rsid w:val="00C47DBA"/>
    <w:rsid w:val="00C50263"/>
    <w:rsid w:val="00C5035E"/>
    <w:rsid w:val="00C508EF"/>
    <w:rsid w:val="00C509ED"/>
    <w:rsid w:val="00C50D76"/>
    <w:rsid w:val="00C50F28"/>
    <w:rsid w:val="00C51BC9"/>
    <w:rsid w:val="00C5284D"/>
    <w:rsid w:val="00C52D38"/>
    <w:rsid w:val="00C52F72"/>
    <w:rsid w:val="00C5341D"/>
    <w:rsid w:val="00C53A2A"/>
    <w:rsid w:val="00C54120"/>
    <w:rsid w:val="00C5458D"/>
    <w:rsid w:val="00C54708"/>
    <w:rsid w:val="00C54BBC"/>
    <w:rsid w:val="00C54D58"/>
    <w:rsid w:val="00C55309"/>
    <w:rsid w:val="00C5547F"/>
    <w:rsid w:val="00C562F3"/>
    <w:rsid w:val="00C56742"/>
    <w:rsid w:val="00C5695A"/>
    <w:rsid w:val="00C56E91"/>
    <w:rsid w:val="00C56F2E"/>
    <w:rsid w:val="00C573E1"/>
    <w:rsid w:val="00C5743B"/>
    <w:rsid w:val="00C574D7"/>
    <w:rsid w:val="00C5755B"/>
    <w:rsid w:val="00C576C6"/>
    <w:rsid w:val="00C609AB"/>
    <w:rsid w:val="00C60C13"/>
    <w:rsid w:val="00C61500"/>
    <w:rsid w:val="00C6163A"/>
    <w:rsid w:val="00C61664"/>
    <w:rsid w:val="00C62CA8"/>
    <w:rsid w:val="00C62D62"/>
    <w:rsid w:val="00C63097"/>
    <w:rsid w:val="00C63391"/>
    <w:rsid w:val="00C633D2"/>
    <w:rsid w:val="00C63716"/>
    <w:rsid w:val="00C63A48"/>
    <w:rsid w:val="00C63B7B"/>
    <w:rsid w:val="00C63BC7"/>
    <w:rsid w:val="00C641D4"/>
    <w:rsid w:val="00C644BE"/>
    <w:rsid w:val="00C64D2F"/>
    <w:rsid w:val="00C6501F"/>
    <w:rsid w:val="00C65572"/>
    <w:rsid w:val="00C65AE5"/>
    <w:rsid w:val="00C65CE9"/>
    <w:rsid w:val="00C661BE"/>
    <w:rsid w:val="00C663DB"/>
    <w:rsid w:val="00C66A71"/>
    <w:rsid w:val="00C6740A"/>
    <w:rsid w:val="00C6799F"/>
    <w:rsid w:val="00C67DA1"/>
    <w:rsid w:val="00C70199"/>
    <w:rsid w:val="00C7029F"/>
    <w:rsid w:val="00C70498"/>
    <w:rsid w:val="00C705CC"/>
    <w:rsid w:val="00C7082D"/>
    <w:rsid w:val="00C71059"/>
    <w:rsid w:val="00C710C8"/>
    <w:rsid w:val="00C7122C"/>
    <w:rsid w:val="00C7134E"/>
    <w:rsid w:val="00C732B9"/>
    <w:rsid w:val="00C744F2"/>
    <w:rsid w:val="00C74B2C"/>
    <w:rsid w:val="00C74D7F"/>
    <w:rsid w:val="00C74F32"/>
    <w:rsid w:val="00C75679"/>
    <w:rsid w:val="00C759B3"/>
    <w:rsid w:val="00C75ADD"/>
    <w:rsid w:val="00C76837"/>
    <w:rsid w:val="00C76973"/>
    <w:rsid w:val="00C76EE3"/>
    <w:rsid w:val="00C77778"/>
    <w:rsid w:val="00C7780C"/>
    <w:rsid w:val="00C77C51"/>
    <w:rsid w:val="00C81974"/>
    <w:rsid w:val="00C82040"/>
    <w:rsid w:val="00C82188"/>
    <w:rsid w:val="00C829EB"/>
    <w:rsid w:val="00C838D2"/>
    <w:rsid w:val="00C8397C"/>
    <w:rsid w:val="00C83C7B"/>
    <w:rsid w:val="00C83C7F"/>
    <w:rsid w:val="00C84C2A"/>
    <w:rsid w:val="00C84C66"/>
    <w:rsid w:val="00C85849"/>
    <w:rsid w:val="00C85AA3"/>
    <w:rsid w:val="00C85F61"/>
    <w:rsid w:val="00C867B7"/>
    <w:rsid w:val="00C86A42"/>
    <w:rsid w:val="00C86C56"/>
    <w:rsid w:val="00C86F20"/>
    <w:rsid w:val="00C87277"/>
    <w:rsid w:val="00C87472"/>
    <w:rsid w:val="00C90773"/>
    <w:rsid w:val="00C90F0B"/>
    <w:rsid w:val="00C91E00"/>
    <w:rsid w:val="00C91FFC"/>
    <w:rsid w:val="00C920A8"/>
    <w:rsid w:val="00C924FB"/>
    <w:rsid w:val="00C9263F"/>
    <w:rsid w:val="00C928C5"/>
    <w:rsid w:val="00C92A8D"/>
    <w:rsid w:val="00C92DAF"/>
    <w:rsid w:val="00C92ED1"/>
    <w:rsid w:val="00C92F90"/>
    <w:rsid w:val="00C931F2"/>
    <w:rsid w:val="00C9331D"/>
    <w:rsid w:val="00C93E5B"/>
    <w:rsid w:val="00C94042"/>
    <w:rsid w:val="00C942E5"/>
    <w:rsid w:val="00C9434C"/>
    <w:rsid w:val="00C94B89"/>
    <w:rsid w:val="00C959F1"/>
    <w:rsid w:val="00C95DF6"/>
    <w:rsid w:val="00C9637A"/>
    <w:rsid w:val="00C966E7"/>
    <w:rsid w:val="00C972A6"/>
    <w:rsid w:val="00C97661"/>
    <w:rsid w:val="00C977F1"/>
    <w:rsid w:val="00CA0144"/>
    <w:rsid w:val="00CA03CA"/>
    <w:rsid w:val="00CA064D"/>
    <w:rsid w:val="00CA0A46"/>
    <w:rsid w:val="00CA130A"/>
    <w:rsid w:val="00CA1E66"/>
    <w:rsid w:val="00CA20B5"/>
    <w:rsid w:val="00CA259E"/>
    <w:rsid w:val="00CA3470"/>
    <w:rsid w:val="00CA35CD"/>
    <w:rsid w:val="00CA3BD0"/>
    <w:rsid w:val="00CA48F5"/>
    <w:rsid w:val="00CA49CD"/>
    <w:rsid w:val="00CA4A7F"/>
    <w:rsid w:val="00CA4E47"/>
    <w:rsid w:val="00CA51D4"/>
    <w:rsid w:val="00CA5C0D"/>
    <w:rsid w:val="00CA6371"/>
    <w:rsid w:val="00CA6579"/>
    <w:rsid w:val="00CA672F"/>
    <w:rsid w:val="00CA6E7E"/>
    <w:rsid w:val="00CA6EA4"/>
    <w:rsid w:val="00CA6F73"/>
    <w:rsid w:val="00CA759F"/>
    <w:rsid w:val="00CA76F5"/>
    <w:rsid w:val="00CA777E"/>
    <w:rsid w:val="00CA7BA2"/>
    <w:rsid w:val="00CA7C66"/>
    <w:rsid w:val="00CA7D87"/>
    <w:rsid w:val="00CB0AD9"/>
    <w:rsid w:val="00CB120F"/>
    <w:rsid w:val="00CB17CE"/>
    <w:rsid w:val="00CB1952"/>
    <w:rsid w:val="00CB1B58"/>
    <w:rsid w:val="00CB218F"/>
    <w:rsid w:val="00CB25C1"/>
    <w:rsid w:val="00CB26FB"/>
    <w:rsid w:val="00CB2781"/>
    <w:rsid w:val="00CB27E5"/>
    <w:rsid w:val="00CB2901"/>
    <w:rsid w:val="00CB2AD1"/>
    <w:rsid w:val="00CB3106"/>
    <w:rsid w:val="00CB3529"/>
    <w:rsid w:val="00CB361C"/>
    <w:rsid w:val="00CB3A7F"/>
    <w:rsid w:val="00CB3CBE"/>
    <w:rsid w:val="00CB3FDC"/>
    <w:rsid w:val="00CB4CDE"/>
    <w:rsid w:val="00CB5096"/>
    <w:rsid w:val="00CB50A9"/>
    <w:rsid w:val="00CB50CA"/>
    <w:rsid w:val="00CB58C9"/>
    <w:rsid w:val="00CB5DB9"/>
    <w:rsid w:val="00CB5E80"/>
    <w:rsid w:val="00CB5EB1"/>
    <w:rsid w:val="00CB661F"/>
    <w:rsid w:val="00CB6AAD"/>
    <w:rsid w:val="00CB6CF6"/>
    <w:rsid w:val="00CC0178"/>
    <w:rsid w:val="00CC13D5"/>
    <w:rsid w:val="00CC1677"/>
    <w:rsid w:val="00CC1DF9"/>
    <w:rsid w:val="00CC2012"/>
    <w:rsid w:val="00CC3004"/>
    <w:rsid w:val="00CC3733"/>
    <w:rsid w:val="00CC463F"/>
    <w:rsid w:val="00CC48D9"/>
    <w:rsid w:val="00CC4CE6"/>
    <w:rsid w:val="00CC5D3B"/>
    <w:rsid w:val="00CC5DB5"/>
    <w:rsid w:val="00CC6B28"/>
    <w:rsid w:val="00CC6E63"/>
    <w:rsid w:val="00CC6EC2"/>
    <w:rsid w:val="00CC6F58"/>
    <w:rsid w:val="00CD0ACD"/>
    <w:rsid w:val="00CD0B07"/>
    <w:rsid w:val="00CD0E85"/>
    <w:rsid w:val="00CD1148"/>
    <w:rsid w:val="00CD1250"/>
    <w:rsid w:val="00CD1743"/>
    <w:rsid w:val="00CD1B84"/>
    <w:rsid w:val="00CD1C60"/>
    <w:rsid w:val="00CD1F41"/>
    <w:rsid w:val="00CD2030"/>
    <w:rsid w:val="00CD2D50"/>
    <w:rsid w:val="00CD2E95"/>
    <w:rsid w:val="00CD3395"/>
    <w:rsid w:val="00CD3598"/>
    <w:rsid w:val="00CD3866"/>
    <w:rsid w:val="00CD4734"/>
    <w:rsid w:val="00CD48AA"/>
    <w:rsid w:val="00CD4F13"/>
    <w:rsid w:val="00CD54FE"/>
    <w:rsid w:val="00CD5752"/>
    <w:rsid w:val="00CD5CF9"/>
    <w:rsid w:val="00CD64DC"/>
    <w:rsid w:val="00CD6576"/>
    <w:rsid w:val="00CD6E71"/>
    <w:rsid w:val="00CD71EC"/>
    <w:rsid w:val="00CD73DE"/>
    <w:rsid w:val="00CE02F3"/>
    <w:rsid w:val="00CE06A9"/>
    <w:rsid w:val="00CE074C"/>
    <w:rsid w:val="00CE0ED5"/>
    <w:rsid w:val="00CE0F25"/>
    <w:rsid w:val="00CE16E4"/>
    <w:rsid w:val="00CE1C23"/>
    <w:rsid w:val="00CE21F9"/>
    <w:rsid w:val="00CE2A18"/>
    <w:rsid w:val="00CE2C43"/>
    <w:rsid w:val="00CE2C62"/>
    <w:rsid w:val="00CE30D5"/>
    <w:rsid w:val="00CE3461"/>
    <w:rsid w:val="00CE3638"/>
    <w:rsid w:val="00CE38D2"/>
    <w:rsid w:val="00CE40A7"/>
    <w:rsid w:val="00CE4273"/>
    <w:rsid w:val="00CE4346"/>
    <w:rsid w:val="00CE4633"/>
    <w:rsid w:val="00CE5352"/>
    <w:rsid w:val="00CE552D"/>
    <w:rsid w:val="00CE57C7"/>
    <w:rsid w:val="00CE6F7B"/>
    <w:rsid w:val="00CE7247"/>
    <w:rsid w:val="00CE7D29"/>
    <w:rsid w:val="00CF0098"/>
    <w:rsid w:val="00CF0910"/>
    <w:rsid w:val="00CF0B25"/>
    <w:rsid w:val="00CF101E"/>
    <w:rsid w:val="00CF10E9"/>
    <w:rsid w:val="00CF1698"/>
    <w:rsid w:val="00CF19D8"/>
    <w:rsid w:val="00CF1CF6"/>
    <w:rsid w:val="00CF221A"/>
    <w:rsid w:val="00CF2363"/>
    <w:rsid w:val="00CF25EB"/>
    <w:rsid w:val="00CF29BF"/>
    <w:rsid w:val="00CF327B"/>
    <w:rsid w:val="00CF35A5"/>
    <w:rsid w:val="00CF39FE"/>
    <w:rsid w:val="00CF41B5"/>
    <w:rsid w:val="00CF4615"/>
    <w:rsid w:val="00CF4B2E"/>
    <w:rsid w:val="00CF4CA9"/>
    <w:rsid w:val="00CF4FFE"/>
    <w:rsid w:val="00CF56F0"/>
    <w:rsid w:val="00CF580B"/>
    <w:rsid w:val="00CF5898"/>
    <w:rsid w:val="00CF62A3"/>
    <w:rsid w:val="00CF6676"/>
    <w:rsid w:val="00CF6DB8"/>
    <w:rsid w:val="00CF6E78"/>
    <w:rsid w:val="00CF70E1"/>
    <w:rsid w:val="00CF784E"/>
    <w:rsid w:val="00CF797D"/>
    <w:rsid w:val="00CF7A60"/>
    <w:rsid w:val="00D01253"/>
    <w:rsid w:val="00D016D2"/>
    <w:rsid w:val="00D01797"/>
    <w:rsid w:val="00D01AE4"/>
    <w:rsid w:val="00D01D10"/>
    <w:rsid w:val="00D0206C"/>
    <w:rsid w:val="00D0253B"/>
    <w:rsid w:val="00D029F5"/>
    <w:rsid w:val="00D02C05"/>
    <w:rsid w:val="00D032A1"/>
    <w:rsid w:val="00D033E5"/>
    <w:rsid w:val="00D03426"/>
    <w:rsid w:val="00D03F56"/>
    <w:rsid w:val="00D04140"/>
    <w:rsid w:val="00D04231"/>
    <w:rsid w:val="00D04B6A"/>
    <w:rsid w:val="00D04C07"/>
    <w:rsid w:val="00D04F45"/>
    <w:rsid w:val="00D05602"/>
    <w:rsid w:val="00D05B4A"/>
    <w:rsid w:val="00D05F08"/>
    <w:rsid w:val="00D0628F"/>
    <w:rsid w:val="00D066C6"/>
    <w:rsid w:val="00D067FF"/>
    <w:rsid w:val="00D06BDF"/>
    <w:rsid w:val="00D06BF1"/>
    <w:rsid w:val="00D071F2"/>
    <w:rsid w:val="00D07B5B"/>
    <w:rsid w:val="00D100E1"/>
    <w:rsid w:val="00D10583"/>
    <w:rsid w:val="00D10725"/>
    <w:rsid w:val="00D10AF9"/>
    <w:rsid w:val="00D11C1D"/>
    <w:rsid w:val="00D11C95"/>
    <w:rsid w:val="00D12181"/>
    <w:rsid w:val="00D121EC"/>
    <w:rsid w:val="00D1244C"/>
    <w:rsid w:val="00D12EDC"/>
    <w:rsid w:val="00D13C9C"/>
    <w:rsid w:val="00D1417A"/>
    <w:rsid w:val="00D147BE"/>
    <w:rsid w:val="00D14E8A"/>
    <w:rsid w:val="00D15F17"/>
    <w:rsid w:val="00D161B0"/>
    <w:rsid w:val="00D169D4"/>
    <w:rsid w:val="00D16A5C"/>
    <w:rsid w:val="00D16B7D"/>
    <w:rsid w:val="00D17252"/>
    <w:rsid w:val="00D173DA"/>
    <w:rsid w:val="00D1789A"/>
    <w:rsid w:val="00D17B95"/>
    <w:rsid w:val="00D20201"/>
    <w:rsid w:val="00D20748"/>
    <w:rsid w:val="00D209DB"/>
    <w:rsid w:val="00D20EA1"/>
    <w:rsid w:val="00D20FC1"/>
    <w:rsid w:val="00D2145E"/>
    <w:rsid w:val="00D21635"/>
    <w:rsid w:val="00D21A81"/>
    <w:rsid w:val="00D22415"/>
    <w:rsid w:val="00D2285F"/>
    <w:rsid w:val="00D22B80"/>
    <w:rsid w:val="00D22BB8"/>
    <w:rsid w:val="00D234DF"/>
    <w:rsid w:val="00D237CC"/>
    <w:rsid w:val="00D23B53"/>
    <w:rsid w:val="00D24094"/>
    <w:rsid w:val="00D2457C"/>
    <w:rsid w:val="00D249A6"/>
    <w:rsid w:val="00D24C1C"/>
    <w:rsid w:val="00D25638"/>
    <w:rsid w:val="00D258EF"/>
    <w:rsid w:val="00D25EE7"/>
    <w:rsid w:val="00D261F1"/>
    <w:rsid w:val="00D26F03"/>
    <w:rsid w:val="00D2713B"/>
    <w:rsid w:val="00D272E0"/>
    <w:rsid w:val="00D27423"/>
    <w:rsid w:val="00D274CC"/>
    <w:rsid w:val="00D277B4"/>
    <w:rsid w:val="00D2783D"/>
    <w:rsid w:val="00D278DD"/>
    <w:rsid w:val="00D27A35"/>
    <w:rsid w:val="00D27F2B"/>
    <w:rsid w:val="00D3098D"/>
    <w:rsid w:val="00D30F01"/>
    <w:rsid w:val="00D30F11"/>
    <w:rsid w:val="00D3115C"/>
    <w:rsid w:val="00D312D7"/>
    <w:rsid w:val="00D31426"/>
    <w:rsid w:val="00D317C7"/>
    <w:rsid w:val="00D31F05"/>
    <w:rsid w:val="00D31FA1"/>
    <w:rsid w:val="00D32195"/>
    <w:rsid w:val="00D330AB"/>
    <w:rsid w:val="00D33392"/>
    <w:rsid w:val="00D33774"/>
    <w:rsid w:val="00D34046"/>
    <w:rsid w:val="00D3496F"/>
    <w:rsid w:val="00D349EF"/>
    <w:rsid w:val="00D34A91"/>
    <w:rsid w:val="00D34C24"/>
    <w:rsid w:val="00D34F5C"/>
    <w:rsid w:val="00D3500F"/>
    <w:rsid w:val="00D356D8"/>
    <w:rsid w:val="00D36057"/>
    <w:rsid w:val="00D3614A"/>
    <w:rsid w:val="00D36CBA"/>
    <w:rsid w:val="00D37171"/>
    <w:rsid w:val="00D3735A"/>
    <w:rsid w:val="00D37A5B"/>
    <w:rsid w:val="00D37AEF"/>
    <w:rsid w:val="00D400D7"/>
    <w:rsid w:val="00D404BF"/>
    <w:rsid w:val="00D40925"/>
    <w:rsid w:val="00D40C17"/>
    <w:rsid w:val="00D42644"/>
    <w:rsid w:val="00D43491"/>
    <w:rsid w:val="00D4392C"/>
    <w:rsid w:val="00D43A43"/>
    <w:rsid w:val="00D43BC3"/>
    <w:rsid w:val="00D43F4B"/>
    <w:rsid w:val="00D44A7F"/>
    <w:rsid w:val="00D45535"/>
    <w:rsid w:val="00D45E43"/>
    <w:rsid w:val="00D4625A"/>
    <w:rsid w:val="00D4730D"/>
    <w:rsid w:val="00D47BD6"/>
    <w:rsid w:val="00D47C3E"/>
    <w:rsid w:val="00D47F5A"/>
    <w:rsid w:val="00D50521"/>
    <w:rsid w:val="00D506BC"/>
    <w:rsid w:val="00D50C5D"/>
    <w:rsid w:val="00D50E11"/>
    <w:rsid w:val="00D50EAB"/>
    <w:rsid w:val="00D512DB"/>
    <w:rsid w:val="00D51776"/>
    <w:rsid w:val="00D518A0"/>
    <w:rsid w:val="00D52253"/>
    <w:rsid w:val="00D527F8"/>
    <w:rsid w:val="00D52B8A"/>
    <w:rsid w:val="00D52C06"/>
    <w:rsid w:val="00D5316A"/>
    <w:rsid w:val="00D533FF"/>
    <w:rsid w:val="00D5345B"/>
    <w:rsid w:val="00D538D7"/>
    <w:rsid w:val="00D53B5F"/>
    <w:rsid w:val="00D54362"/>
    <w:rsid w:val="00D54837"/>
    <w:rsid w:val="00D548FA"/>
    <w:rsid w:val="00D54B22"/>
    <w:rsid w:val="00D55A46"/>
    <w:rsid w:val="00D55D39"/>
    <w:rsid w:val="00D56A8B"/>
    <w:rsid w:val="00D56CDB"/>
    <w:rsid w:val="00D56EF1"/>
    <w:rsid w:val="00D57256"/>
    <w:rsid w:val="00D5781B"/>
    <w:rsid w:val="00D57A47"/>
    <w:rsid w:val="00D57D5E"/>
    <w:rsid w:val="00D600FA"/>
    <w:rsid w:val="00D60D1A"/>
    <w:rsid w:val="00D6124B"/>
    <w:rsid w:val="00D61797"/>
    <w:rsid w:val="00D61FBC"/>
    <w:rsid w:val="00D627A2"/>
    <w:rsid w:val="00D62951"/>
    <w:rsid w:val="00D62C5B"/>
    <w:rsid w:val="00D63869"/>
    <w:rsid w:val="00D63BE3"/>
    <w:rsid w:val="00D63CF7"/>
    <w:rsid w:val="00D645B6"/>
    <w:rsid w:val="00D64818"/>
    <w:rsid w:val="00D649EB"/>
    <w:rsid w:val="00D65366"/>
    <w:rsid w:val="00D65500"/>
    <w:rsid w:val="00D6570B"/>
    <w:rsid w:val="00D65826"/>
    <w:rsid w:val="00D659B3"/>
    <w:rsid w:val="00D660DA"/>
    <w:rsid w:val="00D6743B"/>
    <w:rsid w:val="00D674CB"/>
    <w:rsid w:val="00D67689"/>
    <w:rsid w:val="00D679D3"/>
    <w:rsid w:val="00D67F3C"/>
    <w:rsid w:val="00D704C2"/>
    <w:rsid w:val="00D70567"/>
    <w:rsid w:val="00D70CB9"/>
    <w:rsid w:val="00D70DE7"/>
    <w:rsid w:val="00D71089"/>
    <w:rsid w:val="00D71C6D"/>
    <w:rsid w:val="00D71CC9"/>
    <w:rsid w:val="00D7200F"/>
    <w:rsid w:val="00D7345B"/>
    <w:rsid w:val="00D74BB2"/>
    <w:rsid w:val="00D74DC6"/>
    <w:rsid w:val="00D7534D"/>
    <w:rsid w:val="00D75440"/>
    <w:rsid w:val="00D755DE"/>
    <w:rsid w:val="00D75A04"/>
    <w:rsid w:val="00D75AD8"/>
    <w:rsid w:val="00D76570"/>
    <w:rsid w:val="00D76E3B"/>
    <w:rsid w:val="00D779DC"/>
    <w:rsid w:val="00D80778"/>
    <w:rsid w:val="00D80854"/>
    <w:rsid w:val="00D80980"/>
    <w:rsid w:val="00D80ACE"/>
    <w:rsid w:val="00D80B7E"/>
    <w:rsid w:val="00D810A3"/>
    <w:rsid w:val="00D81E62"/>
    <w:rsid w:val="00D81E6D"/>
    <w:rsid w:val="00D81F9E"/>
    <w:rsid w:val="00D824F2"/>
    <w:rsid w:val="00D828AC"/>
    <w:rsid w:val="00D82E0E"/>
    <w:rsid w:val="00D83081"/>
    <w:rsid w:val="00D8363C"/>
    <w:rsid w:val="00D83F85"/>
    <w:rsid w:val="00D841C1"/>
    <w:rsid w:val="00D84DD5"/>
    <w:rsid w:val="00D85282"/>
    <w:rsid w:val="00D854EF"/>
    <w:rsid w:val="00D85B73"/>
    <w:rsid w:val="00D85D6A"/>
    <w:rsid w:val="00D85D89"/>
    <w:rsid w:val="00D85E8E"/>
    <w:rsid w:val="00D86289"/>
    <w:rsid w:val="00D86EF3"/>
    <w:rsid w:val="00D87B69"/>
    <w:rsid w:val="00D90613"/>
    <w:rsid w:val="00D9096B"/>
    <w:rsid w:val="00D913CC"/>
    <w:rsid w:val="00D9177F"/>
    <w:rsid w:val="00D91D67"/>
    <w:rsid w:val="00D9231E"/>
    <w:rsid w:val="00D92950"/>
    <w:rsid w:val="00D92CE9"/>
    <w:rsid w:val="00D92DB8"/>
    <w:rsid w:val="00D92E1D"/>
    <w:rsid w:val="00D93545"/>
    <w:rsid w:val="00D93870"/>
    <w:rsid w:val="00D938B2"/>
    <w:rsid w:val="00D93A81"/>
    <w:rsid w:val="00D94152"/>
    <w:rsid w:val="00D9444B"/>
    <w:rsid w:val="00D944D5"/>
    <w:rsid w:val="00D9459C"/>
    <w:rsid w:val="00D9503A"/>
    <w:rsid w:val="00D9515F"/>
    <w:rsid w:val="00D95624"/>
    <w:rsid w:val="00D95A35"/>
    <w:rsid w:val="00D95A3A"/>
    <w:rsid w:val="00D9601D"/>
    <w:rsid w:val="00D96616"/>
    <w:rsid w:val="00D96976"/>
    <w:rsid w:val="00D969A0"/>
    <w:rsid w:val="00D9741D"/>
    <w:rsid w:val="00D974BD"/>
    <w:rsid w:val="00D977B9"/>
    <w:rsid w:val="00D97A88"/>
    <w:rsid w:val="00DA01F0"/>
    <w:rsid w:val="00DA16AD"/>
    <w:rsid w:val="00DA1B7B"/>
    <w:rsid w:val="00DA1BD0"/>
    <w:rsid w:val="00DA23BD"/>
    <w:rsid w:val="00DA2405"/>
    <w:rsid w:val="00DA2880"/>
    <w:rsid w:val="00DA2DC2"/>
    <w:rsid w:val="00DA37A2"/>
    <w:rsid w:val="00DA3908"/>
    <w:rsid w:val="00DA39AB"/>
    <w:rsid w:val="00DA3DAB"/>
    <w:rsid w:val="00DA41FF"/>
    <w:rsid w:val="00DA441F"/>
    <w:rsid w:val="00DA4B1B"/>
    <w:rsid w:val="00DA4B86"/>
    <w:rsid w:val="00DA4C51"/>
    <w:rsid w:val="00DA4DFC"/>
    <w:rsid w:val="00DA4F95"/>
    <w:rsid w:val="00DA4FA6"/>
    <w:rsid w:val="00DA5077"/>
    <w:rsid w:val="00DA5202"/>
    <w:rsid w:val="00DA526B"/>
    <w:rsid w:val="00DA591D"/>
    <w:rsid w:val="00DA5BC3"/>
    <w:rsid w:val="00DA6B4C"/>
    <w:rsid w:val="00DA6DFD"/>
    <w:rsid w:val="00DA72C1"/>
    <w:rsid w:val="00DA747F"/>
    <w:rsid w:val="00DB066B"/>
    <w:rsid w:val="00DB0AF2"/>
    <w:rsid w:val="00DB0B9D"/>
    <w:rsid w:val="00DB0C19"/>
    <w:rsid w:val="00DB0CE0"/>
    <w:rsid w:val="00DB11D3"/>
    <w:rsid w:val="00DB125D"/>
    <w:rsid w:val="00DB2103"/>
    <w:rsid w:val="00DB2402"/>
    <w:rsid w:val="00DB24A6"/>
    <w:rsid w:val="00DB24CB"/>
    <w:rsid w:val="00DB297A"/>
    <w:rsid w:val="00DB3321"/>
    <w:rsid w:val="00DB3385"/>
    <w:rsid w:val="00DB349D"/>
    <w:rsid w:val="00DB3C93"/>
    <w:rsid w:val="00DB3D65"/>
    <w:rsid w:val="00DB54A3"/>
    <w:rsid w:val="00DB5869"/>
    <w:rsid w:val="00DB5A35"/>
    <w:rsid w:val="00DB5F55"/>
    <w:rsid w:val="00DB6152"/>
    <w:rsid w:val="00DB6CE3"/>
    <w:rsid w:val="00DB71CB"/>
    <w:rsid w:val="00DB72FF"/>
    <w:rsid w:val="00DB7618"/>
    <w:rsid w:val="00DB79DF"/>
    <w:rsid w:val="00DB7BE5"/>
    <w:rsid w:val="00DC0AFD"/>
    <w:rsid w:val="00DC0CEC"/>
    <w:rsid w:val="00DC0CF4"/>
    <w:rsid w:val="00DC1F7A"/>
    <w:rsid w:val="00DC200F"/>
    <w:rsid w:val="00DC2217"/>
    <w:rsid w:val="00DC3A8C"/>
    <w:rsid w:val="00DC4468"/>
    <w:rsid w:val="00DC4773"/>
    <w:rsid w:val="00DC4A6A"/>
    <w:rsid w:val="00DC503D"/>
    <w:rsid w:val="00DC59F6"/>
    <w:rsid w:val="00DC5E1B"/>
    <w:rsid w:val="00DC70C5"/>
    <w:rsid w:val="00DC7A0B"/>
    <w:rsid w:val="00DC7B97"/>
    <w:rsid w:val="00DC7EA1"/>
    <w:rsid w:val="00DD00F2"/>
    <w:rsid w:val="00DD00F4"/>
    <w:rsid w:val="00DD04F6"/>
    <w:rsid w:val="00DD065B"/>
    <w:rsid w:val="00DD06BE"/>
    <w:rsid w:val="00DD0BCA"/>
    <w:rsid w:val="00DD0CAE"/>
    <w:rsid w:val="00DD0CD5"/>
    <w:rsid w:val="00DD1031"/>
    <w:rsid w:val="00DD123E"/>
    <w:rsid w:val="00DD133C"/>
    <w:rsid w:val="00DD1426"/>
    <w:rsid w:val="00DD1766"/>
    <w:rsid w:val="00DD180C"/>
    <w:rsid w:val="00DD22D0"/>
    <w:rsid w:val="00DD288C"/>
    <w:rsid w:val="00DD2ACB"/>
    <w:rsid w:val="00DD3235"/>
    <w:rsid w:val="00DD3D12"/>
    <w:rsid w:val="00DD3DA3"/>
    <w:rsid w:val="00DD3E13"/>
    <w:rsid w:val="00DD410F"/>
    <w:rsid w:val="00DD458E"/>
    <w:rsid w:val="00DD4B91"/>
    <w:rsid w:val="00DD4D06"/>
    <w:rsid w:val="00DD4D46"/>
    <w:rsid w:val="00DD4F98"/>
    <w:rsid w:val="00DD50B6"/>
    <w:rsid w:val="00DD5363"/>
    <w:rsid w:val="00DD5863"/>
    <w:rsid w:val="00DD58AB"/>
    <w:rsid w:val="00DD5D8A"/>
    <w:rsid w:val="00DD62C2"/>
    <w:rsid w:val="00DD6327"/>
    <w:rsid w:val="00DD6B43"/>
    <w:rsid w:val="00DD6CFE"/>
    <w:rsid w:val="00DD7457"/>
    <w:rsid w:val="00DD74D7"/>
    <w:rsid w:val="00DD7766"/>
    <w:rsid w:val="00DD79ED"/>
    <w:rsid w:val="00DD7D53"/>
    <w:rsid w:val="00DD7F22"/>
    <w:rsid w:val="00DE0544"/>
    <w:rsid w:val="00DE074D"/>
    <w:rsid w:val="00DE09A9"/>
    <w:rsid w:val="00DE0AD8"/>
    <w:rsid w:val="00DE0E2E"/>
    <w:rsid w:val="00DE14F0"/>
    <w:rsid w:val="00DE1D1C"/>
    <w:rsid w:val="00DE2128"/>
    <w:rsid w:val="00DE21D3"/>
    <w:rsid w:val="00DE2BC2"/>
    <w:rsid w:val="00DE3194"/>
    <w:rsid w:val="00DE36CA"/>
    <w:rsid w:val="00DE39D6"/>
    <w:rsid w:val="00DE4697"/>
    <w:rsid w:val="00DE46BF"/>
    <w:rsid w:val="00DE48CD"/>
    <w:rsid w:val="00DE4E4B"/>
    <w:rsid w:val="00DE53ED"/>
    <w:rsid w:val="00DE58B2"/>
    <w:rsid w:val="00DE58F3"/>
    <w:rsid w:val="00DE5C95"/>
    <w:rsid w:val="00DE5D38"/>
    <w:rsid w:val="00DE5E5E"/>
    <w:rsid w:val="00DE6046"/>
    <w:rsid w:val="00DE6218"/>
    <w:rsid w:val="00DE628C"/>
    <w:rsid w:val="00DE6574"/>
    <w:rsid w:val="00DE6839"/>
    <w:rsid w:val="00DE6E3A"/>
    <w:rsid w:val="00DE7AAD"/>
    <w:rsid w:val="00DE7B9F"/>
    <w:rsid w:val="00DE7F58"/>
    <w:rsid w:val="00DF02F9"/>
    <w:rsid w:val="00DF045E"/>
    <w:rsid w:val="00DF067F"/>
    <w:rsid w:val="00DF0E4C"/>
    <w:rsid w:val="00DF0E4F"/>
    <w:rsid w:val="00DF0FB3"/>
    <w:rsid w:val="00DF0FE8"/>
    <w:rsid w:val="00DF11F7"/>
    <w:rsid w:val="00DF153F"/>
    <w:rsid w:val="00DF17F3"/>
    <w:rsid w:val="00DF1B6B"/>
    <w:rsid w:val="00DF1DA2"/>
    <w:rsid w:val="00DF1F06"/>
    <w:rsid w:val="00DF28C1"/>
    <w:rsid w:val="00DF28CD"/>
    <w:rsid w:val="00DF2A61"/>
    <w:rsid w:val="00DF326C"/>
    <w:rsid w:val="00DF35B1"/>
    <w:rsid w:val="00DF3781"/>
    <w:rsid w:val="00DF398E"/>
    <w:rsid w:val="00DF3C3A"/>
    <w:rsid w:val="00DF4880"/>
    <w:rsid w:val="00DF4C95"/>
    <w:rsid w:val="00DF517A"/>
    <w:rsid w:val="00DF51AB"/>
    <w:rsid w:val="00DF53F0"/>
    <w:rsid w:val="00DF5524"/>
    <w:rsid w:val="00DF558E"/>
    <w:rsid w:val="00DF59EB"/>
    <w:rsid w:val="00DF5CBB"/>
    <w:rsid w:val="00DF5FC6"/>
    <w:rsid w:val="00DF606F"/>
    <w:rsid w:val="00DF614E"/>
    <w:rsid w:val="00DF6C9C"/>
    <w:rsid w:val="00DF6EDF"/>
    <w:rsid w:val="00DF6EE5"/>
    <w:rsid w:val="00DF7100"/>
    <w:rsid w:val="00DF7109"/>
    <w:rsid w:val="00DF7979"/>
    <w:rsid w:val="00DF7DF4"/>
    <w:rsid w:val="00E00066"/>
    <w:rsid w:val="00E006D7"/>
    <w:rsid w:val="00E00D7D"/>
    <w:rsid w:val="00E00E10"/>
    <w:rsid w:val="00E00F15"/>
    <w:rsid w:val="00E01002"/>
    <w:rsid w:val="00E01466"/>
    <w:rsid w:val="00E01A23"/>
    <w:rsid w:val="00E01C1C"/>
    <w:rsid w:val="00E01FD1"/>
    <w:rsid w:val="00E02BB2"/>
    <w:rsid w:val="00E02CF8"/>
    <w:rsid w:val="00E02EDC"/>
    <w:rsid w:val="00E02FA6"/>
    <w:rsid w:val="00E034D8"/>
    <w:rsid w:val="00E03C23"/>
    <w:rsid w:val="00E03FE3"/>
    <w:rsid w:val="00E04267"/>
    <w:rsid w:val="00E0443C"/>
    <w:rsid w:val="00E04EBF"/>
    <w:rsid w:val="00E04FE2"/>
    <w:rsid w:val="00E0506F"/>
    <w:rsid w:val="00E0524D"/>
    <w:rsid w:val="00E053F8"/>
    <w:rsid w:val="00E05D7F"/>
    <w:rsid w:val="00E0606A"/>
    <w:rsid w:val="00E0606E"/>
    <w:rsid w:val="00E06CC6"/>
    <w:rsid w:val="00E07674"/>
    <w:rsid w:val="00E07BA0"/>
    <w:rsid w:val="00E1003B"/>
    <w:rsid w:val="00E10A94"/>
    <w:rsid w:val="00E10D8A"/>
    <w:rsid w:val="00E110DF"/>
    <w:rsid w:val="00E11180"/>
    <w:rsid w:val="00E11CE8"/>
    <w:rsid w:val="00E12219"/>
    <w:rsid w:val="00E12485"/>
    <w:rsid w:val="00E12842"/>
    <w:rsid w:val="00E12952"/>
    <w:rsid w:val="00E13034"/>
    <w:rsid w:val="00E130E9"/>
    <w:rsid w:val="00E132EA"/>
    <w:rsid w:val="00E13910"/>
    <w:rsid w:val="00E13B0C"/>
    <w:rsid w:val="00E1405B"/>
    <w:rsid w:val="00E1437B"/>
    <w:rsid w:val="00E14778"/>
    <w:rsid w:val="00E150D3"/>
    <w:rsid w:val="00E155BC"/>
    <w:rsid w:val="00E15895"/>
    <w:rsid w:val="00E15C2D"/>
    <w:rsid w:val="00E1676A"/>
    <w:rsid w:val="00E167CE"/>
    <w:rsid w:val="00E16898"/>
    <w:rsid w:val="00E16F22"/>
    <w:rsid w:val="00E17224"/>
    <w:rsid w:val="00E173D3"/>
    <w:rsid w:val="00E175CA"/>
    <w:rsid w:val="00E176B9"/>
    <w:rsid w:val="00E17810"/>
    <w:rsid w:val="00E1791C"/>
    <w:rsid w:val="00E17C33"/>
    <w:rsid w:val="00E20111"/>
    <w:rsid w:val="00E20271"/>
    <w:rsid w:val="00E2029D"/>
    <w:rsid w:val="00E204C0"/>
    <w:rsid w:val="00E206F2"/>
    <w:rsid w:val="00E208ED"/>
    <w:rsid w:val="00E21665"/>
    <w:rsid w:val="00E21793"/>
    <w:rsid w:val="00E2198C"/>
    <w:rsid w:val="00E21DC6"/>
    <w:rsid w:val="00E222D9"/>
    <w:rsid w:val="00E22861"/>
    <w:rsid w:val="00E22980"/>
    <w:rsid w:val="00E229C8"/>
    <w:rsid w:val="00E22C82"/>
    <w:rsid w:val="00E233BE"/>
    <w:rsid w:val="00E23E35"/>
    <w:rsid w:val="00E2429A"/>
    <w:rsid w:val="00E24702"/>
    <w:rsid w:val="00E24C97"/>
    <w:rsid w:val="00E25B84"/>
    <w:rsid w:val="00E262AD"/>
    <w:rsid w:val="00E265C6"/>
    <w:rsid w:val="00E26816"/>
    <w:rsid w:val="00E26F2F"/>
    <w:rsid w:val="00E27D58"/>
    <w:rsid w:val="00E27E46"/>
    <w:rsid w:val="00E30EF1"/>
    <w:rsid w:val="00E3102A"/>
    <w:rsid w:val="00E310B0"/>
    <w:rsid w:val="00E31442"/>
    <w:rsid w:val="00E314FC"/>
    <w:rsid w:val="00E316C1"/>
    <w:rsid w:val="00E321AE"/>
    <w:rsid w:val="00E3236B"/>
    <w:rsid w:val="00E32462"/>
    <w:rsid w:val="00E32694"/>
    <w:rsid w:val="00E32A1A"/>
    <w:rsid w:val="00E3355D"/>
    <w:rsid w:val="00E33927"/>
    <w:rsid w:val="00E33B76"/>
    <w:rsid w:val="00E33CC7"/>
    <w:rsid w:val="00E341FA"/>
    <w:rsid w:val="00E343C2"/>
    <w:rsid w:val="00E3507A"/>
    <w:rsid w:val="00E3569B"/>
    <w:rsid w:val="00E35975"/>
    <w:rsid w:val="00E35E36"/>
    <w:rsid w:val="00E35E90"/>
    <w:rsid w:val="00E3618E"/>
    <w:rsid w:val="00E36212"/>
    <w:rsid w:val="00E3636C"/>
    <w:rsid w:val="00E364AA"/>
    <w:rsid w:val="00E36D14"/>
    <w:rsid w:val="00E36DA0"/>
    <w:rsid w:val="00E37842"/>
    <w:rsid w:val="00E37EA0"/>
    <w:rsid w:val="00E4070B"/>
    <w:rsid w:val="00E40825"/>
    <w:rsid w:val="00E41B99"/>
    <w:rsid w:val="00E41CB2"/>
    <w:rsid w:val="00E42002"/>
    <w:rsid w:val="00E42315"/>
    <w:rsid w:val="00E42FFC"/>
    <w:rsid w:val="00E4388C"/>
    <w:rsid w:val="00E43CA5"/>
    <w:rsid w:val="00E43D86"/>
    <w:rsid w:val="00E43F8D"/>
    <w:rsid w:val="00E44039"/>
    <w:rsid w:val="00E44B67"/>
    <w:rsid w:val="00E452F1"/>
    <w:rsid w:val="00E4532B"/>
    <w:rsid w:val="00E45420"/>
    <w:rsid w:val="00E45C5C"/>
    <w:rsid w:val="00E46572"/>
    <w:rsid w:val="00E46CB4"/>
    <w:rsid w:val="00E46DE4"/>
    <w:rsid w:val="00E46F96"/>
    <w:rsid w:val="00E47094"/>
    <w:rsid w:val="00E471FE"/>
    <w:rsid w:val="00E476EC"/>
    <w:rsid w:val="00E47A16"/>
    <w:rsid w:val="00E50131"/>
    <w:rsid w:val="00E5021A"/>
    <w:rsid w:val="00E50386"/>
    <w:rsid w:val="00E508BF"/>
    <w:rsid w:val="00E50E54"/>
    <w:rsid w:val="00E5154E"/>
    <w:rsid w:val="00E517EE"/>
    <w:rsid w:val="00E5278A"/>
    <w:rsid w:val="00E52918"/>
    <w:rsid w:val="00E529C5"/>
    <w:rsid w:val="00E529D4"/>
    <w:rsid w:val="00E52B28"/>
    <w:rsid w:val="00E53A03"/>
    <w:rsid w:val="00E53B65"/>
    <w:rsid w:val="00E53C16"/>
    <w:rsid w:val="00E53DB9"/>
    <w:rsid w:val="00E546D4"/>
    <w:rsid w:val="00E5504B"/>
    <w:rsid w:val="00E552C0"/>
    <w:rsid w:val="00E554B2"/>
    <w:rsid w:val="00E55D10"/>
    <w:rsid w:val="00E55E46"/>
    <w:rsid w:val="00E56677"/>
    <w:rsid w:val="00E5671F"/>
    <w:rsid w:val="00E56CF4"/>
    <w:rsid w:val="00E57587"/>
    <w:rsid w:val="00E576EB"/>
    <w:rsid w:val="00E60189"/>
    <w:rsid w:val="00E60596"/>
    <w:rsid w:val="00E61B6C"/>
    <w:rsid w:val="00E61BA7"/>
    <w:rsid w:val="00E625C8"/>
    <w:rsid w:val="00E629E7"/>
    <w:rsid w:val="00E62B2A"/>
    <w:rsid w:val="00E62C3F"/>
    <w:rsid w:val="00E62E6A"/>
    <w:rsid w:val="00E631AD"/>
    <w:rsid w:val="00E6350F"/>
    <w:rsid w:val="00E64283"/>
    <w:rsid w:val="00E64355"/>
    <w:rsid w:val="00E6435D"/>
    <w:rsid w:val="00E64662"/>
    <w:rsid w:val="00E652B3"/>
    <w:rsid w:val="00E6563B"/>
    <w:rsid w:val="00E668BE"/>
    <w:rsid w:val="00E668CD"/>
    <w:rsid w:val="00E66A52"/>
    <w:rsid w:val="00E67D3D"/>
    <w:rsid w:val="00E70336"/>
    <w:rsid w:val="00E710AB"/>
    <w:rsid w:val="00E71192"/>
    <w:rsid w:val="00E712BE"/>
    <w:rsid w:val="00E71452"/>
    <w:rsid w:val="00E718D3"/>
    <w:rsid w:val="00E71E19"/>
    <w:rsid w:val="00E72971"/>
    <w:rsid w:val="00E72BCC"/>
    <w:rsid w:val="00E72D76"/>
    <w:rsid w:val="00E72F1D"/>
    <w:rsid w:val="00E731E6"/>
    <w:rsid w:val="00E7332B"/>
    <w:rsid w:val="00E73C24"/>
    <w:rsid w:val="00E745FE"/>
    <w:rsid w:val="00E7460F"/>
    <w:rsid w:val="00E74FF4"/>
    <w:rsid w:val="00E753F4"/>
    <w:rsid w:val="00E75A58"/>
    <w:rsid w:val="00E763CB"/>
    <w:rsid w:val="00E7647F"/>
    <w:rsid w:val="00E766AD"/>
    <w:rsid w:val="00E77995"/>
    <w:rsid w:val="00E80407"/>
    <w:rsid w:val="00E806B4"/>
    <w:rsid w:val="00E80AA5"/>
    <w:rsid w:val="00E80DE6"/>
    <w:rsid w:val="00E81008"/>
    <w:rsid w:val="00E8113D"/>
    <w:rsid w:val="00E8120B"/>
    <w:rsid w:val="00E819CD"/>
    <w:rsid w:val="00E82A7F"/>
    <w:rsid w:val="00E82B2E"/>
    <w:rsid w:val="00E82BD0"/>
    <w:rsid w:val="00E8365C"/>
    <w:rsid w:val="00E8411B"/>
    <w:rsid w:val="00E841DB"/>
    <w:rsid w:val="00E8465C"/>
    <w:rsid w:val="00E846DB"/>
    <w:rsid w:val="00E849D0"/>
    <w:rsid w:val="00E84A31"/>
    <w:rsid w:val="00E85185"/>
    <w:rsid w:val="00E852AF"/>
    <w:rsid w:val="00E85BCF"/>
    <w:rsid w:val="00E85C23"/>
    <w:rsid w:val="00E8610B"/>
    <w:rsid w:val="00E863FE"/>
    <w:rsid w:val="00E8646B"/>
    <w:rsid w:val="00E866AC"/>
    <w:rsid w:val="00E8723E"/>
    <w:rsid w:val="00E87381"/>
    <w:rsid w:val="00E8764E"/>
    <w:rsid w:val="00E878DE"/>
    <w:rsid w:val="00E87CDD"/>
    <w:rsid w:val="00E87DF2"/>
    <w:rsid w:val="00E87FED"/>
    <w:rsid w:val="00E90C1E"/>
    <w:rsid w:val="00E91605"/>
    <w:rsid w:val="00E919F3"/>
    <w:rsid w:val="00E91A03"/>
    <w:rsid w:val="00E91FB3"/>
    <w:rsid w:val="00E92417"/>
    <w:rsid w:val="00E924EA"/>
    <w:rsid w:val="00E92DAF"/>
    <w:rsid w:val="00E93EF1"/>
    <w:rsid w:val="00E94597"/>
    <w:rsid w:val="00E95352"/>
    <w:rsid w:val="00E959A8"/>
    <w:rsid w:val="00E95BA7"/>
    <w:rsid w:val="00E9611C"/>
    <w:rsid w:val="00E9629A"/>
    <w:rsid w:val="00E96CA9"/>
    <w:rsid w:val="00E97658"/>
    <w:rsid w:val="00E976FE"/>
    <w:rsid w:val="00E97C59"/>
    <w:rsid w:val="00EA09AA"/>
    <w:rsid w:val="00EA0BCF"/>
    <w:rsid w:val="00EA1005"/>
    <w:rsid w:val="00EA188E"/>
    <w:rsid w:val="00EA1A55"/>
    <w:rsid w:val="00EA2BBD"/>
    <w:rsid w:val="00EA32F7"/>
    <w:rsid w:val="00EA3341"/>
    <w:rsid w:val="00EA3FEE"/>
    <w:rsid w:val="00EA416E"/>
    <w:rsid w:val="00EA446A"/>
    <w:rsid w:val="00EA45C2"/>
    <w:rsid w:val="00EA4969"/>
    <w:rsid w:val="00EA4FBC"/>
    <w:rsid w:val="00EA5512"/>
    <w:rsid w:val="00EA57B9"/>
    <w:rsid w:val="00EA5957"/>
    <w:rsid w:val="00EA5B1B"/>
    <w:rsid w:val="00EA5D87"/>
    <w:rsid w:val="00EA5E6E"/>
    <w:rsid w:val="00EA6242"/>
    <w:rsid w:val="00EA67FC"/>
    <w:rsid w:val="00EA69A9"/>
    <w:rsid w:val="00EA71FE"/>
    <w:rsid w:val="00EA7612"/>
    <w:rsid w:val="00EA7EA4"/>
    <w:rsid w:val="00EB0641"/>
    <w:rsid w:val="00EB1263"/>
    <w:rsid w:val="00EB1505"/>
    <w:rsid w:val="00EB1D0B"/>
    <w:rsid w:val="00EB2258"/>
    <w:rsid w:val="00EB271F"/>
    <w:rsid w:val="00EB333A"/>
    <w:rsid w:val="00EB35C2"/>
    <w:rsid w:val="00EB39EB"/>
    <w:rsid w:val="00EB3B11"/>
    <w:rsid w:val="00EB3C09"/>
    <w:rsid w:val="00EB3E53"/>
    <w:rsid w:val="00EB3E9B"/>
    <w:rsid w:val="00EB47B9"/>
    <w:rsid w:val="00EB4C38"/>
    <w:rsid w:val="00EB4E66"/>
    <w:rsid w:val="00EB4FBE"/>
    <w:rsid w:val="00EB51BC"/>
    <w:rsid w:val="00EB5244"/>
    <w:rsid w:val="00EB5593"/>
    <w:rsid w:val="00EB572A"/>
    <w:rsid w:val="00EB59E6"/>
    <w:rsid w:val="00EB5A78"/>
    <w:rsid w:val="00EB5D7E"/>
    <w:rsid w:val="00EB617A"/>
    <w:rsid w:val="00EB6426"/>
    <w:rsid w:val="00EB74DB"/>
    <w:rsid w:val="00EB76AC"/>
    <w:rsid w:val="00EC0B4E"/>
    <w:rsid w:val="00EC0F92"/>
    <w:rsid w:val="00EC12F8"/>
    <w:rsid w:val="00EC18CE"/>
    <w:rsid w:val="00EC18FB"/>
    <w:rsid w:val="00EC22EB"/>
    <w:rsid w:val="00EC269F"/>
    <w:rsid w:val="00EC2843"/>
    <w:rsid w:val="00EC312F"/>
    <w:rsid w:val="00EC3468"/>
    <w:rsid w:val="00EC3AF5"/>
    <w:rsid w:val="00EC3BAA"/>
    <w:rsid w:val="00EC427F"/>
    <w:rsid w:val="00EC4971"/>
    <w:rsid w:val="00EC4EAF"/>
    <w:rsid w:val="00EC4FB9"/>
    <w:rsid w:val="00EC55C2"/>
    <w:rsid w:val="00EC567C"/>
    <w:rsid w:val="00EC6033"/>
    <w:rsid w:val="00EC6DB8"/>
    <w:rsid w:val="00EC75E6"/>
    <w:rsid w:val="00EC75FA"/>
    <w:rsid w:val="00ED03BF"/>
    <w:rsid w:val="00ED03F6"/>
    <w:rsid w:val="00ED05CC"/>
    <w:rsid w:val="00ED1845"/>
    <w:rsid w:val="00ED20FE"/>
    <w:rsid w:val="00ED2314"/>
    <w:rsid w:val="00ED31ED"/>
    <w:rsid w:val="00ED3309"/>
    <w:rsid w:val="00ED3BF8"/>
    <w:rsid w:val="00ED3CB2"/>
    <w:rsid w:val="00ED3E77"/>
    <w:rsid w:val="00ED3F21"/>
    <w:rsid w:val="00ED4015"/>
    <w:rsid w:val="00ED43D0"/>
    <w:rsid w:val="00ED43D3"/>
    <w:rsid w:val="00ED45CC"/>
    <w:rsid w:val="00ED4B0F"/>
    <w:rsid w:val="00ED591D"/>
    <w:rsid w:val="00ED5B23"/>
    <w:rsid w:val="00ED5F20"/>
    <w:rsid w:val="00ED645A"/>
    <w:rsid w:val="00ED6624"/>
    <w:rsid w:val="00ED7200"/>
    <w:rsid w:val="00ED75DB"/>
    <w:rsid w:val="00ED785C"/>
    <w:rsid w:val="00ED7A67"/>
    <w:rsid w:val="00ED7D99"/>
    <w:rsid w:val="00EE0075"/>
    <w:rsid w:val="00EE00BF"/>
    <w:rsid w:val="00EE039F"/>
    <w:rsid w:val="00EE03C8"/>
    <w:rsid w:val="00EE08D6"/>
    <w:rsid w:val="00EE09B4"/>
    <w:rsid w:val="00EE0F57"/>
    <w:rsid w:val="00EE1083"/>
    <w:rsid w:val="00EE1A55"/>
    <w:rsid w:val="00EE1ECF"/>
    <w:rsid w:val="00EE207E"/>
    <w:rsid w:val="00EE26F7"/>
    <w:rsid w:val="00EE290E"/>
    <w:rsid w:val="00EE2E67"/>
    <w:rsid w:val="00EE3554"/>
    <w:rsid w:val="00EE36DD"/>
    <w:rsid w:val="00EE3910"/>
    <w:rsid w:val="00EE419F"/>
    <w:rsid w:val="00EE4A9E"/>
    <w:rsid w:val="00EE619B"/>
    <w:rsid w:val="00EE64D0"/>
    <w:rsid w:val="00EE6CC3"/>
    <w:rsid w:val="00EE6ECB"/>
    <w:rsid w:val="00EE78BD"/>
    <w:rsid w:val="00EE7944"/>
    <w:rsid w:val="00EE7A8C"/>
    <w:rsid w:val="00EE7AC5"/>
    <w:rsid w:val="00EE7DD5"/>
    <w:rsid w:val="00EE7F2A"/>
    <w:rsid w:val="00EF1082"/>
    <w:rsid w:val="00EF1564"/>
    <w:rsid w:val="00EF1638"/>
    <w:rsid w:val="00EF1678"/>
    <w:rsid w:val="00EF2A94"/>
    <w:rsid w:val="00EF2FAC"/>
    <w:rsid w:val="00EF332A"/>
    <w:rsid w:val="00EF35CC"/>
    <w:rsid w:val="00EF3ACF"/>
    <w:rsid w:val="00EF3B1E"/>
    <w:rsid w:val="00EF3FBF"/>
    <w:rsid w:val="00EF4049"/>
    <w:rsid w:val="00EF44EC"/>
    <w:rsid w:val="00EF4D28"/>
    <w:rsid w:val="00EF4EB8"/>
    <w:rsid w:val="00EF53C3"/>
    <w:rsid w:val="00EF6468"/>
    <w:rsid w:val="00EF67F7"/>
    <w:rsid w:val="00EF68C4"/>
    <w:rsid w:val="00EF6DAA"/>
    <w:rsid w:val="00EF6DD3"/>
    <w:rsid w:val="00EF706B"/>
    <w:rsid w:val="00EF74B0"/>
    <w:rsid w:val="00EF7C81"/>
    <w:rsid w:val="00F002C1"/>
    <w:rsid w:val="00F008F1"/>
    <w:rsid w:val="00F00ACB"/>
    <w:rsid w:val="00F01340"/>
    <w:rsid w:val="00F018A2"/>
    <w:rsid w:val="00F01D0F"/>
    <w:rsid w:val="00F025DD"/>
    <w:rsid w:val="00F0292E"/>
    <w:rsid w:val="00F02AA0"/>
    <w:rsid w:val="00F0309D"/>
    <w:rsid w:val="00F036FA"/>
    <w:rsid w:val="00F041D8"/>
    <w:rsid w:val="00F04346"/>
    <w:rsid w:val="00F04CF0"/>
    <w:rsid w:val="00F04F5A"/>
    <w:rsid w:val="00F05142"/>
    <w:rsid w:val="00F05385"/>
    <w:rsid w:val="00F055A0"/>
    <w:rsid w:val="00F0567A"/>
    <w:rsid w:val="00F05701"/>
    <w:rsid w:val="00F05876"/>
    <w:rsid w:val="00F05962"/>
    <w:rsid w:val="00F06B41"/>
    <w:rsid w:val="00F06E94"/>
    <w:rsid w:val="00F104A9"/>
    <w:rsid w:val="00F1058A"/>
    <w:rsid w:val="00F10721"/>
    <w:rsid w:val="00F10751"/>
    <w:rsid w:val="00F10C61"/>
    <w:rsid w:val="00F10E7B"/>
    <w:rsid w:val="00F10FF9"/>
    <w:rsid w:val="00F11592"/>
    <w:rsid w:val="00F11E8F"/>
    <w:rsid w:val="00F1272C"/>
    <w:rsid w:val="00F127B9"/>
    <w:rsid w:val="00F12DE0"/>
    <w:rsid w:val="00F13071"/>
    <w:rsid w:val="00F136FD"/>
    <w:rsid w:val="00F13D38"/>
    <w:rsid w:val="00F13EFB"/>
    <w:rsid w:val="00F14D57"/>
    <w:rsid w:val="00F15760"/>
    <w:rsid w:val="00F15F68"/>
    <w:rsid w:val="00F162B2"/>
    <w:rsid w:val="00F16383"/>
    <w:rsid w:val="00F17501"/>
    <w:rsid w:val="00F178B9"/>
    <w:rsid w:val="00F17B04"/>
    <w:rsid w:val="00F17E7E"/>
    <w:rsid w:val="00F2028B"/>
    <w:rsid w:val="00F20734"/>
    <w:rsid w:val="00F20B01"/>
    <w:rsid w:val="00F20F18"/>
    <w:rsid w:val="00F211E3"/>
    <w:rsid w:val="00F213A1"/>
    <w:rsid w:val="00F217BA"/>
    <w:rsid w:val="00F218FE"/>
    <w:rsid w:val="00F21FFD"/>
    <w:rsid w:val="00F22807"/>
    <w:rsid w:val="00F22F4E"/>
    <w:rsid w:val="00F230CD"/>
    <w:rsid w:val="00F243F7"/>
    <w:rsid w:val="00F249D9"/>
    <w:rsid w:val="00F2516C"/>
    <w:rsid w:val="00F25474"/>
    <w:rsid w:val="00F25814"/>
    <w:rsid w:val="00F262B3"/>
    <w:rsid w:val="00F265F3"/>
    <w:rsid w:val="00F26F5A"/>
    <w:rsid w:val="00F26FFB"/>
    <w:rsid w:val="00F27034"/>
    <w:rsid w:val="00F27277"/>
    <w:rsid w:val="00F27CD7"/>
    <w:rsid w:val="00F27EAC"/>
    <w:rsid w:val="00F302E8"/>
    <w:rsid w:val="00F304F2"/>
    <w:rsid w:val="00F30D4C"/>
    <w:rsid w:val="00F30DB6"/>
    <w:rsid w:val="00F3110F"/>
    <w:rsid w:val="00F31293"/>
    <w:rsid w:val="00F31727"/>
    <w:rsid w:val="00F3212B"/>
    <w:rsid w:val="00F32183"/>
    <w:rsid w:val="00F3222A"/>
    <w:rsid w:val="00F322E1"/>
    <w:rsid w:val="00F322F3"/>
    <w:rsid w:val="00F3230B"/>
    <w:rsid w:val="00F32419"/>
    <w:rsid w:val="00F324E0"/>
    <w:rsid w:val="00F33986"/>
    <w:rsid w:val="00F33D8E"/>
    <w:rsid w:val="00F340DD"/>
    <w:rsid w:val="00F345F6"/>
    <w:rsid w:val="00F34660"/>
    <w:rsid w:val="00F34BDB"/>
    <w:rsid w:val="00F34CEC"/>
    <w:rsid w:val="00F35479"/>
    <w:rsid w:val="00F354C1"/>
    <w:rsid w:val="00F358BA"/>
    <w:rsid w:val="00F359F9"/>
    <w:rsid w:val="00F35AA8"/>
    <w:rsid w:val="00F36724"/>
    <w:rsid w:val="00F36C34"/>
    <w:rsid w:val="00F36D08"/>
    <w:rsid w:val="00F36F7E"/>
    <w:rsid w:val="00F37C66"/>
    <w:rsid w:val="00F37D3D"/>
    <w:rsid w:val="00F402A8"/>
    <w:rsid w:val="00F40796"/>
    <w:rsid w:val="00F40B40"/>
    <w:rsid w:val="00F40D4D"/>
    <w:rsid w:val="00F40E7E"/>
    <w:rsid w:val="00F40EB5"/>
    <w:rsid w:val="00F413EB"/>
    <w:rsid w:val="00F413F7"/>
    <w:rsid w:val="00F41586"/>
    <w:rsid w:val="00F4159C"/>
    <w:rsid w:val="00F41C5E"/>
    <w:rsid w:val="00F42090"/>
    <w:rsid w:val="00F42108"/>
    <w:rsid w:val="00F42435"/>
    <w:rsid w:val="00F429BE"/>
    <w:rsid w:val="00F42DDF"/>
    <w:rsid w:val="00F437FD"/>
    <w:rsid w:val="00F44952"/>
    <w:rsid w:val="00F44ECA"/>
    <w:rsid w:val="00F44ED1"/>
    <w:rsid w:val="00F44EE0"/>
    <w:rsid w:val="00F44F40"/>
    <w:rsid w:val="00F45786"/>
    <w:rsid w:val="00F4597C"/>
    <w:rsid w:val="00F45995"/>
    <w:rsid w:val="00F45B75"/>
    <w:rsid w:val="00F45CFA"/>
    <w:rsid w:val="00F45F4A"/>
    <w:rsid w:val="00F46505"/>
    <w:rsid w:val="00F46C03"/>
    <w:rsid w:val="00F47071"/>
    <w:rsid w:val="00F47B07"/>
    <w:rsid w:val="00F503AE"/>
    <w:rsid w:val="00F512DC"/>
    <w:rsid w:val="00F513D0"/>
    <w:rsid w:val="00F516FE"/>
    <w:rsid w:val="00F5180D"/>
    <w:rsid w:val="00F51C18"/>
    <w:rsid w:val="00F5209F"/>
    <w:rsid w:val="00F52B82"/>
    <w:rsid w:val="00F52D62"/>
    <w:rsid w:val="00F53236"/>
    <w:rsid w:val="00F533DF"/>
    <w:rsid w:val="00F53763"/>
    <w:rsid w:val="00F5380A"/>
    <w:rsid w:val="00F5382A"/>
    <w:rsid w:val="00F5385A"/>
    <w:rsid w:val="00F54D40"/>
    <w:rsid w:val="00F55830"/>
    <w:rsid w:val="00F5587C"/>
    <w:rsid w:val="00F56435"/>
    <w:rsid w:val="00F566A1"/>
    <w:rsid w:val="00F568AA"/>
    <w:rsid w:val="00F608D5"/>
    <w:rsid w:val="00F60C71"/>
    <w:rsid w:val="00F61197"/>
    <w:rsid w:val="00F617CF"/>
    <w:rsid w:val="00F61855"/>
    <w:rsid w:val="00F61A6B"/>
    <w:rsid w:val="00F61BD5"/>
    <w:rsid w:val="00F63E55"/>
    <w:rsid w:val="00F643FF"/>
    <w:rsid w:val="00F644B5"/>
    <w:rsid w:val="00F644F8"/>
    <w:rsid w:val="00F646D9"/>
    <w:rsid w:val="00F646FF"/>
    <w:rsid w:val="00F64DD9"/>
    <w:rsid w:val="00F64F54"/>
    <w:rsid w:val="00F65450"/>
    <w:rsid w:val="00F65736"/>
    <w:rsid w:val="00F659A8"/>
    <w:rsid w:val="00F65D2A"/>
    <w:rsid w:val="00F661D3"/>
    <w:rsid w:val="00F66811"/>
    <w:rsid w:val="00F66CAF"/>
    <w:rsid w:val="00F66D3D"/>
    <w:rsid w:val="00F6736E"/>
    <w:rsid w:val="00F674BC"/>
    <w:rsid w:val="00F678C4"/>
    <w:rsid w:val="00F67B6B"/>
    <w:rsid w:val="00F70459"/>
    <w:rsid w:val="00F7065A"/>
    <w:rsid w:val="00F706DD"/>
    <w:rsid w:val="00F70718"/>
    <w:rsid w:val="00F71B89"/>
    <w:rsid w:val="00F71F16"/>
    <w:rsid w:val="00F72B9B"/>
    <w:rsid w:val="00F72D30"/>
    <w:rsid w:val="00F7305C"/>
    <w:rsid w:val="00F73512"/>
    <w:rsid w:val="00F73771"/>
    <w:rsid w:val="00F73861"/>
    <w:rsid w:val="00F73BFF"/>
    <w:rsid w:val="00F73F79"/>
    <w:rsid w:val="00F74566"/>
    <w:rsid w:val="00F74782"/>
    <w:rsid w:val="00F75775"/>
    <w:rsid w:val="00F75CFC"/>
    <w:rsid w:val="00F76A0B"/>
    <w:rsid w:val="00F76ADD"/>
    <w:rsid w:val="00F76C1B"/>
    <w:rsid w:val="00F7708C"/>
    <w:rsid w:val="00F7764E"/>
    <w:rsid w:val="00F776FB"/>
    <w:rsid w:val="00F77C1C"/>
    <w:rsid w:val="00F77DF1"/>
    <w:rsid w:val="00F77E67"/>
    <w:rsid w:val="00F804BB"/>
    <w:rsid w:val="00F804E3"/>
    <w:rsid w:val="00F80585"/>
    <w:rsid w:val="00F80B84"/>
    <w:rsid w:val="00F816E7"/>
    <w:rsid w:val="00F8188B"/>
    <w:rsid w:val="00F8199E"/>
    <w:rsid w:val="00F81BC9"/>
    <w:rsid w:val="00F82610"/>
    <w:rsid w:val="00F82836"/>
    <w:rsid w:val="00F82A13"/>
    <w:rsid w:val="00F833DF"/>
    <w:rsid w:val="00F835B3"/>
    <w:rsid w:val="00F836C4"/>
    <w:rsid w:val="00F83842"/>
    <w:rsid w:val="00F83A96"/>
    <w:rsid w:val="00F83C64"/>
    <w:rsid w:val="00F83DF8"/>
    <w:rsid w:val="00F83F16"/>
    <w:rsid w:val="00F840B0"/>
    <w:rsid w:val="00F84482"/>
    <w:rsid w:val="00F847FF"/>
    <w:rsid w:val="00F84B3C"/>
    <w:rsid w:val="00F84E22"/>
    <w:rsid w:val="00F8510D"/>
    <w:rsid w:val="00F85FCA"/>
    <w:rsid w:val="00F85FDD"/>
    <w:rsid w:val="00F86005"/>
    <w:rsid w:val="00F861AA"/>
    <w:rsid w:val="00F8635D"/>
    <w:rsid w:val="00F86469"/>
    <w:rsid w:val="00F866A9"/>
    <w:rsid w:val="00F866FF"/>
    <w:rsid w:val="00F90117"/>
    <w:rsid w:val="00F901EF"/>
    <w:rsid w:val="00F90390"/>
    <w:rsid w:val="00F90EF2"/>
    <w:rsid w:val="00F915F6"/>
    <w:rsid w:val="00F91BB6"/>
    <w:rsid w:val="00F926B3"/>
    <w:rsid w:val="00F93120"/>
    <w:rsid w:val="00F93183"/>
    <w:rsid w:val="00F93A7C"/>
    <w:rsid w:val="00F968F7"/>
    <w:rsid w:val="00F97736"/>
    <w:rsid w:val="00F97818"/>
    <w:rsid w:val="00F97C2F"/>
    <w:rsid w:val="00F97CB1"/>
    <w:rsid w:val="00FA07C0"/>
    <w:rsid w:val="00FA11C2"/>
    <w:rsid w:val="00FA148D"/>
    <w:rsid w:val="00FA18C0"/>
    <w:rsid w:val="00FA2483"/>
    <w:rsid w:val="00FA24AB"/>
    <w:rsid w:val="00FA3138"/>
    <w:rsid w:val="00FA31E2"/>
    <w:rsid w:val="00FA3E66"/>
    <w:rsid w:val="00FA3EA7"/>
    <w:rsid w:val="00FA46FD"/>
    <w:rsid w:val="00FA47A3"/>
    <w:rsid w:val="00FA4C87"/>
    <w:rsid w:val="00FA50E7"/>
    <w:rsid w:val="00FA574B"/>
    <w:rsid w:val="00FA57DA"/>
    <w:rsid w:val="00FA5987"/>
    <w:rsid w:val="00FA598B"/>
    <w:rsid w:val="00FA5C8B"/>
    <w:rsid w:val="00FA5E1B"/>
    <w:rsid w:val="00FA622F"/>
    <w:rsid w:val="00FA64B5"/>
    <w:rsid w:val="00FA67E7"/>
    <w:rsid w:val="00FA681C"/>
    <w:rsid w:val="00FA6B3C"/>
    <w:rsid w:val="00FA709D"/>
    <w:rsid w:val="00FA718F"/>
    <w:rsid w:val="00FA72E8"/>
    <w:rsid w:val="00FA7BC0"/>
    <w:rsid w:val="00FA7E86"/>
    <w:rsid w:val="00FA7F45"/>
    <w:rsid w:val="00FB0100"/>
    <w:rsid w:val="00FB07F5"/>
    <w:rsid w:val="00FB09FE"/>
    <w:rsid w:val="00FB0A7E"/>
    <w:rsid w:val="00FB0AC3"/>
    <w:rsid w:val="00FB0C86"/>
    <w:rsid w:val="00FB0D3F"/>
    <w:rsid w:val="00FB1415"/>
    <w:rsid w:val="00FB1467"/>
    <w:rsid w:val="00FB21C4"/>
    <w:rsid w:val="00FB243A"/>
    <w:rsid w:val="00FB2629"/>
    <w:rsid w:val="00FB2765"/>
    <w:rsid w:val="00FB28FE"/>
    <w:rsid w:val="00FB2B1E"/>
    <w:rsid w:val="00FB352B"/>
    <w:rsid w:val="00FB37B0"/>
    <w:rsid w:val="00FB4005"/>
    <w:rsid w:val="00FB4500"/>
    <w:rsid w:val="00FB52EB"/>
    <w:rsid w:val="00FB533D"/>
    <w:rsid w:val="00FB55C8"/>
    <w:rsid w:val="00FB5910"/>
    <w:rsid w:val="00FB5EEF"/>
    <w:rsid w:val="00FB6AC8"/>
    <w:rsid w:val="00FB6EF6"/>
    <w:rsid w:val="00FB721C"/>
    <w:rsid w:val="00FB725E"/>
    <w:rsid w:val="00FB7491"/>
    <w:rsid w:val="00FB753A"/>
    <w:rsid w:val="00FB7C12"/>
    <w:rsid w:val="00FB7FE5"/>
    <w:rsid w:val="00FC0690"/>
    <w:rsid w:val="00FC16F8"/>
    <w:rsid w:val="00FC1BBA"/>
    <w:rsid w:val="00FC1F8B"/>
    <w:rsid w:val="00FC273D"/>
    <w:rsid w:val="00FC2907"/>
    <w:rsid w:val="00FC2ACD"/>
    <w:rsid w:val="00FC2DA5"/>
    <w:rsid w:val="00FC31A8"/>
    <w:rsid w:val="00FC3669"/>
    <w:rsid w:val="00FC3D4C"/>
    <w:rsid w:val="00FC3F38"/>
    <w:rsid w:val="00FC44E2"/>
    <w:rsid w:val="00FC4705"/>
    <w:rsid w:val="00FC47DF"/>
    <w:rsid w:val="00FC5147"/>
    <w:rsid w:val="00FC59C9"/>
    <w:rsid w:val="00FC600A"/>
    <w:rsid w:val="00FC6601"/>
    <w:rsid w:val="00FC6C85"/>
    <w:rsid w:val="00FC7167"/>
    <w:rsid w:val="00FD0070"/>
    <w:rsid w:val="00FD077A"/>
    <w:rsid w:val="00FD08E6"/>
    <w:rsid w:val="00FD0E53"/>
    <w:rsid w:val="00FD170E"/>
    <w:rsid w:val="00FD1C90"/>
    <w:rsid w:val="00FD1F6C"/>
    <w:rsid w:val="00FD21F3"/>
    <w:rsid w:val="00FD2755"/>
    <w:rsid w:val="00FD298A"/>
    <w:rsid w:val="00FD2BAC"/>
    <w:rsid w:val="00FD2E6A"/>
    <w:rsid w:val="00FD3FAA"/>
    <w:rsid w:val="00FD43B1"/>
    <w:rsid w:val="00FD46C7"/>
    <w:rsid w:val="00FD4A44"/>
    <w:rsid w:val="00FD4B6D"/>
    <w:rsid w:val="00FD4E4A"/>
    <w:rsid w:val="00FD505C"/>
    <w:rsid w:val="00FD5270"/>
    <w:rsid w:val="00FD5589"/>
    <w:rsid w:val="00FD5AFA"/>
    <w:rsid w:val="00FD5B97"/>
    <w:rsid w:val="00FD5F6A"/>
    <w:rsid w:val="00FD5F7D"/>
    <w:rsid w:val="00FD64DD"/>
    <w:rsid w:val="00FD6C2F"/>
    <w:rsid w:val="00FD6CF7"/>
    <w:rsid w:val="00FD72E4"/>
    <w:rsid w:val="00FD7D08"/>
    <w:rsid w:val="00FD7EF0"/>
    <w:rsid w:val="00FE03B8"/>
    <w:rsid w:val="00FE0BC5"/>
    <w:rsid w:val="00FE0E2E"/>
    <w:rsid w:val="00FE1812"/>
    <w:rsid w:val="00FE19D9"/>
    <w:rsid w:val="00FE324C"/>
    <w:rsid w:val="00FE382A"/>
    <w:rsid w:val="00FE39B9"/>
    <w:rsid w:val="00FE3C47"/>
    <w:rsid w:val="00FE4017"/>
    <w:rsid w:val="00FE4759"/>
    <w:rsid w:val="00FE49A3"/>
    <w:rsid w:val="00FE4E37"/>
    <w:rsid w:val="00FE53C2"/>
    <w:rsid w:val="00FE5933"/>
    <w:rsid w:val="00FE5B9C"/>
    <w:rsid w:val="00FE61B1"/>
    <w:rsid w:val="00FE61BE"/>
    <w:rsid w:val="00FE6225"/>
    <w:rsid w:val="00FE68E1"/>
    <w:rsid w:val="00FE695F"/>
    <w:rsid w:val="00FE6DC6"/>
    <w:rsid w:val="00FE7B7B"/>
    <w:rsid w:val="00FF04D7"/>
    <w:rsid w:val="00FF05F2"/>
    <w:rsid w:val="00FF11DA"/>
    <w:rsid w:val="00FF1980"/>
    <w:rsid w:val="00FF1B2A"/>
    <w:rsid w:val="00FF1CB4"/>
    <w:rsid w:val="00FF1D68"/>
    <w:rsid w:val="00FF2198"/>
    <w:rsid w:val="00FF21E1"/>
    <w:rsid w:val="00FF2628"/>
    <w:rsid w:val="00FF2B39"/>
    <w:rsid w:val="00FF2E66"/>
    <w:rsid w:val="00FF2F25"/>
    <w:rsid w:val="00FF31A8"/>
    <w:rsid w:val="00FF342B"/>
    <w:rsid w:val="00FF3858"/>
    <w:rsid w:val="00FF3BD1"/>
    <w:rsid w:val="00FF3D30"/>
    <w:rsid w:val="00FF470F"/>
    <w:rsid w:val="00FF517F"/>
    <w:rsid w:val="00FF584B"/>
    <w:rsid w:val="00FF5964"/>
    <w:rsid w:val="00FF5B70"/>
    <w:rsid w:val="00FF5BB9"/>
    <w:rsid w:val="00FF5CD0"/>
    <w:rsid w:val="00FF6039"/>
    <w:rsid w:val="00FF61BE"/>
    <w:rsid w:val="00FF67AF"/>
    <w:rsid w:val="00FF6A89"/>
    <w:rsid w:val="00FF6D5C"/>
    <w:rsid w:val="00FF6ED2"/>
    <w:rsid w:val="00FF6FE1"/>
    <w:rsid w:val="00FF725D"/>
    <w:rsid w:val="00FF7C5E"/>
    <w:rsid w:val="0204FAB5"/>
    <w:rsid w:val="023052AB"/>
    <w:rsid w:val="02AB2FC6"/>
    <w:rsid w:val="02E0E41C"/>
    <w:rsid w:val="02E4AE55"/>
    <w:rsid w:val="032F66C0"/>
    <w:rsid w:val="033CC22E"/>
    <w:rsid w:val="03A50F3F"/>
    <w:rsid w:val="043014E7"/>
    <w:rsid w:val="045C7BEC"/>
    <w:rsid w:val="0493ADAE"/>
    <w:rsid w:val="04B16361"/>
    <w:rsid w:val="04E25BAD"/>
    <w:rsid w:val="0516FDB9"/>
    <w:rsid w:val="05A84D99"/>
    <w:rsid w:val="05EF98BE"/>
    <w:rsid w:val="0608ABC8"/>
    <w:rsid w:val="06972C32"/>
    <w:rsid w:val="069B7007"/>
    <w:rsid w:val="06AE3418"/>
    <w:rsid w:val="06C87FD2"/>
    <w:rsid w:val="071CB95A"/>
    <w:rsid w:val="0752E465"/>
    <w:rsid w:val="07D842D9"/>
    <w:rsid w:val="07D9D670"/>
    <w:rsid w:val="07E34BFA"/>
    <w:rsid w:val="07E9F465"/>
    <w:rsid w:val="081E46FA"/>
    <w:rsid w:val="0852E28B"/>
    <w:rsid w:val="086E7360"/>
    <w:rsid w:val="08732E25"/>
    <w:rsid w:val="08A0904E"/>
    <w:rsid w:val="08B06A5F"/>
    <w:rsid w:val="08D72A98"/>
    <w:rsid w:val="08DF9D88"/>
    <w:rsid w:val="093DDD4D"/>
    <w:rsid w:val="09531AF8"/>
    <w:rsid w:val="095CA6AD"/>
    <w:rsid w:val="095EC629"/>
    <w:rsid w:val="09A10624"/>
    <w:rsid w:val="09A54617"/>
    <w:rsid w:val="0AA2892C"/>
    <w:rsid w:val="0B2C5A64"/>
    <w:rsid w:val="0B5B50F7"/>
    <w:rsid w:val="0B644EF9"/>
    <w:rsid w:val="0BCA5038"/>
    <w:rsid w:val="0BE16931"/>
    <w:rsid w:val="0BF1FB7D"/>
    <w:rsid w:val="0C11FDCB"/>
    <w:rsid w:val="0C4E5461"/>
    <w:rsid w:val="0C7B95C7"/>
    <w:rsid w:val="0CF1B81D"/>
    <w:rsid w:val="0D037959"/>
    <w:rsid w:val="0D9AD7D5"/>
    <w:rsid w:val="0DC969E9"/>
    <w:rsid w:val="0DF46A15"/>
    <w:rsid w:val="0DF7D2C9"/>
    <w:rsid w:val="0E08B48C"/>
    <w:rsid w:val="0E22B74A"/>
    <w:rsid w:val="0E39F201"/>
    <w:rsid w:val="0E8B52D7"/>
    <w:rsid w:val="0E8F62FB"/>
    <w:rsid w:val="0EACF7C5"/>
    <w:rsid w:val="0F0426A1"/>
    <w:rsid w:val="1047D379"/>
    <w:rsid w:val="10483820"/>
    <w:rsid w:val="10E1BB30"/>
    <w:rsid w:val="120BB3C6"/>
    <w:rsid w:val="12376328"/>
    <w:rsid w:val="1258EAD4"/>
    <w:rsid w:val="1283C4BD"/>
    <w:rsid w:val="1289B28F"/>
    <w:rsid w:val="12DDE5FF"/>
    <w:rsid w:val="134B4D01"/>
    <w:rsid w:val="139AD415"/>
    <w:rsid w:val="13A6398C"/>
    <w:rsid w:val="14011BD4"/>
    <w:rsid w:val="141A933B"/>
    <w:rsid w:val="142F46F6"/>
    <w:rsid w:val="14624EF0"/>
    <w:rsid w:val="1496AD18"/>
    <w:rsid w:val="14A00A12"/>
    <w:rsid w:val="14A0BA1A"/>
    <w:rsid w:val="14A15192"/>
    <w:rsid w:val="15073530"/>
    <w:rsid w:val="1569E708"/>
    <w:rsid w:val="15E4BA86"/>
    <w:rsid w:val="15E7C22A"/>
    <w:rsid w:val="164BB6E9"/>
    <w:rsid w:val="1738EE17"/>
    <w:rsid w:val="1784CB31"/>
    <w:rsid w:val="1826DD80"/>
    <w:rsid w:val="1847F16D"/>
    <w:rsid w:val="185E8A14"/>
    <w:rsid w:val="189037C3"/>
    <w:rsid w:val="18A13531"/>
    <w:rsid w:val="18A83BC8"/>
    <w:rsid w:val="194B6DAE"/>
    <w:rsid w:val="194EC68F"/>
    <w:rsid w:val="1980787E"/>
    <w:rsid w:val="19A8EE0C"/>
    <w:rsid w:val="1A016B37"/>
    <w:rsid w:val="1A8967BF"/>
    <w:rsid w:val="1A9DC3F3"/>
    <w:rsid w:val="1AA23512"/>
    <w:rsid w:val="1B050F23"/>
    <w:rsid w:val="1B0615DA"/>
    <w:rsid w:val="1B554C9C"/>
    <w:rsid w:val="1B81CF4C"/>
    <w:rsid w:val="1B9019E2"/>
    <w:rsid w:val="1BE8A807"/>
    <w:rsid w:val="1C28145B"/>
    <w:rsid w:val="1C4C1A17"/>
    <w:rsid w:val="1C865661"/>
    <w:rsid w:val="1C8CBAE8"/>
    <w:rsid w:val="1D1FF617"/>
    <w:rsid w:val="1D62E518"/>
    <w:rsid w:val="1D659591"/>
    <w:rsid w:val="1DB9BE06"/>
    <w:rsid w:val="1DF07913"/>
    <w:rsid w:val="1E198253"/>
    <w:rsid w:val="1E981742"/>
    <w:rsid w:val="1F59F598"/>
    <w:rsid w:val="1F9CCC10"/>
    <w:rsid w:val="1FBB0D5E"/>
    <w:rsid w:val="1FE9E25B"/>
    <w:rsid w:val="200ACF05"/>
    <w:rsid w:val="200FD2CB"/>
    <w:rsid w:val="205268F0"/>
    <w:rsid w:val="20604315"/>
    <w:rsid w:val="206D11A3"/>
    <w:rsid w:val="2156DDBF"/>
    <w:rsid w:val="215B284A"/>
    <w:rsid w:val="21CCA452"/>
    <w:rsid w:val="21F1A1CD"/>
    <w:rsid w:val="21FF72F5"/>
    <w:rsid w:val="2216EB15"/>
    <w:rsid w:val="22650817"/>
    <w:rsid w:val="229A094A"/>
    <w:rsid w:val="22B0F06D"/>
    <w:rsid w:val="22C61626"/>
    <w:rsid w:val="22D2DC16"/>
    <w:rsid w:val="23216677"/>
    <w:rsid w:val="2323CEEF"/>
    <w:rsid w:val="2323F62D"/>
    <w:rsid w:val="242AC0DA"/>
    <w:rsid w:val="24498792"/>
    <w:rsid w:val="249EE477"/>
    <w:rsid w:val="24F0F2F0"/>
    <w:rsid w:val="24FEBEA0"/>
    <w:rsid w:val="250410D5"/>
    <w:rsid w:val="250F4551"/>
    <w:rsid w:val="25310E57"/>
    <w:rsid w:val="258547DF"/>
    <w:rsid w:val="25CF4C2C"/>
    <w:rsid w:val="26024571"/>
    <w:rsid w:val="262C3C88"/>
    <w:rsid w:val="2670692E"/>
    <w:rsid w:val="2683B26E"/>
    <w:rsid w:val="26BBCA5C"/>
    <w:rsid w:val="26F762AF"/>
    <w:rsid w:val="27E4A475"/>
    <w:rsid w:val="286FE786"/>
    <w:rsid w:val="287A154B"/>
    <w:rsid w:val="28B463A3"/>
    <w:rsid w:val="28F25818"/>
    <w:rsid w:val="29E4131D"/>
    <w:rsid w:val="29F53249"/>
    <w:rsid w:val="2A319327"/>
    <w:rsid w:val="2A41A8C7"/>
    <w:rsid w:val="2A9343C8"/>
    <w:rsid w:val="2B3839B8"/>
    <w:rsid w:val="2B82E78B"/>
    <w:rsid w:val="2B97EC9B"/>
    <w:rsid w:val="2B9F0445"/>
    <w:rsid w:val="2BA901CF"/>
    <w:rsid w:val="2BB4453E"/>
    <w:rsid w:val="2BED3355"/>
    <w:rsid w:val="2C06C059"/>
    <w:rsid w:val="2C23BB49"/>
    <w:rsid w:val="2C2EBF32"/>
    <w:rsid w:val="2C60888C"/>
    <w:rsid w:val="2C7CE2AF"/>
    <w:rsid w:val="2C9700B0"/>
    <w:rsid w:val="2CFB461F"/>
    <w:rsid w:val="2E03E1CC"/>
    <w:rsid w:val="2E319223"/>
    <w:rsid w:val="2E426DB9"/>
    <w:rsid w:val="2E49CD64"/>
    <w:rsid w:val="2E80D7E8"/>
    <w:rsid w:val="2E91C716"/>
    <w:rsid w:val="2EC0093E"/>
    <w:rsid w:val="2EE8FDBB"/>
    <w:rsid w:val="2EF51FF8"/>
    <w:rsid w:val="2F3DC9A3"/>
    <w:rsid w:val="301F0629"/>
    <w:rsid w:val="303115E1"/>
    <w:rsid w:val="3062EACE"/>
    <w:rsid w:val="309EDB72"/>
    <w:rsid w:val="30F314FA"/>
    <w:rsid w:val="30F48153"/>
    <w:rsid w:val="310814F2"/>
    <w:rsid w:val="311B7FF0"/>
    <w:rsid w:val="31320171"/>
    <w:rsid w:val="31712F6E"/>
    <w:rsid w:val="31D7A762"/>
    <w:rsid w:val="32432BB9"/>
    <w:rsid w:val="32C32D58"/>
    <w:rsid w:val="32D2F13E"/>
    <w:rsid w:val="3319B92D"/>
    <w:rsid w:val="33B3A1DF"/>
    <w:rsid w:val="33DCE0BB"/>
    <w:rsid w:val="33FC17FC"/>
    <w:rsid w:val="344E442F"/>
    <w:rsid w:val="344E65ED"/>
    <w:rsid w:val="34AAEFC5"/>
    <w:rsid w:val="34E59BEE"/>
    <w:rsid w:val="353A45F2"/>
    <w:rsid w:val="359DFB5F"/>
    <w:rsid w:val="35A5E16F"/>
    <w:rsid w:val="35AB00DB"/>
    <w:rsid w:val="35DE489C"/>
    <w:rsid w:val="35F1C8CA"/>
    <w:rsid w:val="366D5696"/>
    <w:rsid w:val="368473F7"/>
    <w:rsid w:val="36BB452F"/>
    <w:rsid w:val="36C7A466"/>
    <w:rsid w:val="370A5F4B"/>
    <w:rsid w:val="373B58DC"/>
    <w:rsid w:val="374FBAE1"/>
    <w:rsid w:val="37D006DF"/>
    <w:rsid w:val="37E8C31F"/>
    <w:rsid w:val="38A2E6C0"/>
    <w:rsid w:val="38B58935"/>
    <w:rsid w:val="393D4627"/>
    <w:rsid w:val="3982A1BD"/>
    <w:rsid w:val="3A29DA4A"/>
    <w:rsid w:val="3B3A1823"/>
    <w:rsid w:val="3B59A62F"/>
    <w:rsid w:val="3B6F4330"/>
    <w:rsid w:val="3B777103"/>
    <w:rsid w:val="3BB0A01B"/>
    <w:rsid w:val="3BB3C749"/>
    <w:rsid w:val="3C1908D7"/>
    <w:rsid w:val="3C453D0B"/>
    <w:rsid w:val="3C4B6F00"/>
    <w:rsid w:val="3C4DAAE3"/>
    <w:rsid w:val="3C57BC02"/>
    <w:rsid w:val="3C6983B9"/>
    <w:rsid w:val="3D1DBEA0"/>
    <w:rsid w:val="3D565545"/>
    <w:rsid w:val="3DD65E5A"/>
    <w:rsid w:val="3DFDDD49"/>
    <w:rsid w:val="3E33E116"/>
    <w:rsid w:val="3F19947D"/>
    <w:rsid w:val="3F392066"/>
    <w:rsid w:val="3F5DCBBB"/>
    <w:rsid w:val="3F765CA0"/>
    <w:rsid w:val="401D6357"/>
    <w:rsid w:val="4078444F"/>
    <w:rsid w:val="4089DCFE"/>
    <w:rsid w:val="40B7AB98"/>
    <w:rsid w:val="40C88B6E"/>
    <w:rsid w:val="40E1F8A1"/>
    <w:rsid w:val="40FC540B"/>
    <w:rsid w:val="4128A3EA"/>
    <w:rsid w:val="41AAED3E"/>
    <w:rsid w:val="422F7BB4"/>
    <w:rsid w:val="4245F94D"/>
    <w:rsid w:val="425F32BD"/>
    <w:rsid w:val="4302CE62"/>
    <w:rsid w:val="433065D9"/>
    <w:rsid w:val="43B2591C"/>
    <w:rsid w:val="43DD1564"/>
    <w:rsid w:val="43E8BA1A"/>
    <w:rsid w:val="44814881"/>
    <w:rsid w:val="448567B1"/>
    <w:rsid w:val="44CF8CC1"/>
    <w:rsid w:val="4510A58E"/>
    <w:rsid w:val="45393A98"/>
    <w:rsid w:val="453C4103"/>
    <w:rsid w:val="4558AC39"/>
    <w:rsid w:val="45A5F972"/>
    <w:rsid w:val="45B7D659"/>
    <w:rsid w:val="45BA3ED1"/>
    <w:rsid w:val="4642F327"/>
    <w:rsid w:val="4671C1A9"/>
    <w:rsid w:val="4685DCFF"/>
    <w:rsid w:val="46F5A50F"/>
    <w:rsid w:val="4714517F"/>
    <w:rsid w:val="474BBA2F"/>
    <w:rsid w:val="477B7A38"/>
    <w:rsid w:val="499FADE9"/>
    <w:rsid w:val="4A50C9AC"/>
    <w:rsid w:val="4A591ADE"/>
    <w:rsid w:val="4A7730F7"/>
    <w:rsid w:val="4A8DE2C5"/>
    <w:rsid w:val="4AA6C8A1"/>
    <w:rsid w:val="4ACED30D"/>
    <w:rsid w:val="4B390CC9"/>
    <w:rsid w:val="4BE5CF54"/>
    <w:rsid w:val="4C3CA8D2"/>
    <w:rsid w:val="4C6C4C35"/>
    <w:rsid w:val="4C8E805D"/>
    <w:rsid w:val="4D4ACDAA"/>
    <w:rsid w:val="4D840DD5"/>
    <w:rsid w:val="4DA800EF"/>
    <w:rsid w:val="4E56F949"/>
    <w:rsid w:val="4E6F90A9"/>
    <w:rsid w:val="4EB4F7CC"/>
    <w:rsid w:val="4EBBFD6E"/>
    <w:rsid w:val="4F6AC972"/>
    <w:rsid w:val="4FB7DBA0"/>
    <w:rsid w:val="50DB9F27"/>
    <w:rsid w:val="50DC369F"/>
    <w:rsid w:val="513CE184"/>
    <w:rsid w:val="51A1FFF1"/>
    <w:rsid w:val="51ECCA6A"/>
    <w:rsid w:val="52298557"/>
    <w:rsid w:val="5243BF03"/>
    <w:rsid w:val="52AD1946"/>
    <w:rsid w:val="52E6A26D"/>
    <w:rsid w:val="52F34579"/>
    <w:rsid w:val="532CFE2F"/>
    <w:rsid w:val="534AA656"/>
    <w:rsid w:val="53BB59C9"/>
    <w:rsid w:val="53D3AEFD"/>
    <w:rsid w:val="53D50790"/>
    <w:rsid w:val="54018E93"/>
    <w:rsid w:val="5434CB86"/>
    <w:rsid w:val="5446F169"/>
    <w:rsid w:val="54C18683"/>
    <w:rsid w:val="54C9EB39"/>
    <w:rsid w:val="54E67093"/>
    <w:rsid w:val="55263099"/>
    <w:rsid w:val="5555EA27"/>
    <w:rsid w:val="55C3151A"/>
    <w:rsid w:val="55F252DF"/>
    <w:rsid w:val="55FF8094"/>
    <w:rsid w:val="56273DE7"/>
    <w:rsid w:val="5656B911"/>
    <w:rsid w:val="567EC54E"/>
    <w:rsid w:val="56B84F8F"/>
    <w:rsid w:val="57370B86"/>
    <w:rsid w:val="57538CE7"/>
    <w:rsid w:val="575B7BFF"/>
    <w:rsid w:val="576C9F19"/>
    <w:rsid w:val="57EE138C"/>
    <w:rsid w:val="57FE46B1"/>
    <w:rsid w:val="5824A75B"/>
    <w:rsid w:val="584BFF0C"/>
    <w:rsid w:val="58658178"/>
    <w:rsid w:val="588FF9DC"/>
    <w:rsid w:val="58E952D0"/>
    <w:rsid w:val="58F97B5D"/>
    <w:rsid w:val="5963AFA1"/>
    <w:rsid w:val="59B5A071"/>
    <w:rsid w:val="59D2EC1B"/>
    <w:rsid w:val="59F0546B"/>
    <w:rsid w:val="5A449DB1"/>
    <w:rsid w:val="5A5C7552"/>
    <w:rsid w:val="5A813E9F"/>
    <w:rsid w:val="5A8BCFB9"/>
    <w:rsid w:val="5ADE177E"/>
    <w:rsid w:val="5BD82FAB"/>
    <w:rsid w:val="5C09F75C"/>
    <w:rsid w:val="5C0F1030"/>
    <w:rsid w:val="5C2F5ACF"/>
    <w:rsid w:val="5C3FE803"/>
    <w:rsid w:val="5C5447D6"/>
    <w:rsid w:val="5C96E412"/>
    <w:rsid w:val="5CEF3A6C"/>
    <w:rsid w:val="5D13E5C1"/>
    <w:rsid w:val="5D9147FA"/>
    <w:rsid w:val="5DBF1A5D"/>
    <w:rsid w:val="5E53A8FD"/>
    <w:rsid w:val="5E704441"/>
    <w:rsid w:val="5EDE3CA3"/>
    <w:rsid w:val="5F9E437E"/>
    <w:rsid w:val="6056CB1B"/>
    <w:rsid w:val="6066050E"/>
    <w:rsid w:val="607F0532"/>
    <w:rsid w:val="60B55CF0"/>
    <w:rsid w:val="60FC72FE"/>
    <w:rsid w:val="61136398"/>
    <w:rsid w:val="612494F8"/>
    <w:rsid w:val="614164D5"/>
    <w:rsid w:val="615ECC20"/>
    <w:rsid w:val="6194738A"/>
    <w:rsid w:val="61CBF8E0"/>
    <w:rsid w:val="62D2E129"/>
    <w:rsid w:val="62FD8F85"/>
    <w:rsid w:val="638F7E90"/>
    <w:rsid w:val="63935E0A"/>
    <w:rsid w:val="6406E36D"/>
    <w:rsid w:val="6445CFE4"/>
    <w:rsid w:val="648541C5"/>
    <w:rsid w:val="64A50B17"/>
    <w:rsid w:val="64DCB8A6"/>
    <w:rsid w:val="64F98208"/>
    <w:rsid w:val="653F16EA"/>
    <w:rsid w:val="6560693B"/>
    <w:rsid w:val="65809224"/>
    <w:rsid w:val="65FA1484"/>
    <w:rsid w:val="66433F3C"/>
    <w:rsid w:val="665490D5"/>
    <w:rsid w:val="66F9CAA9"/>
    <w:rsid w:val="683ED917"/>
    <w:rsid w:val="688B509F"/>
    <w:rsid w:val="68A117EC"/>
    <w:rsid w:val="68BC837C"/>
    <w:rsid w:val="68DA66F5"/>
    <w:rsid w:val="68E5A5B2"/>
    <w:rsid w:val="68E90EC1"/>
    <w:rsid w:val="69215B20"/>
    <w:rsid w:val="69547AC2"/>
    <w:rsid w:val="6986F585"/>
    <w:rsid w:val="698EBAD2"/>
    <w:rsid w:val="69C8EC84"/>
    <w:rsid w:val="69DFFAE5"/>
    <w:rsid w:val="6A389523"/>
    <w:rsid w:val="6A38B5E6"/>
    <w:rsid w:val="6A3C65A3"/>
    <w:rsid w:val="6A4F4975"/>
    <w:rsid w:val="6A6D3B4C"/>
    <w:rsid w:val="6AE3B8AC"/>
    <w:rsid w:val="6B52D46B"/>
    <w:rsid w:val="6B7BEC09"/>
    <w:rsid w:val="6BFE9A04"/>
    <w:rsid w:val="6C1088CC"/>
    <w:rsid w:val="6C2704FA"/>
    <w:rsid w:val="6C43865B"/>
    <w:rsid w:val="6CA74563"/>
    <w:rsid w:val="6CC6B5A3"/>
    <w:rsid w:val="6CC8E0B2"/>
    <w:rsid w:val="6CD1000E"/>
    <w:rsid w:val="6DC7B75E"/>
    <w:rsid w:val="6DD7FC91"/>
    <w:rsid w:val="6E0022A8"/>
    <w:rsid w:val="6E816FDD"/>
    <w:rsid w:val="6EB8E9A0"/>
    <w:rsid w:val="6EFBE434"/>
    <w:rsid w:val="6F012463"/>
    <w:rsid w:val="6F044370"/>
    <w:rsid w:val="6F639BF1"/>
    <w:rsid w:val="6F7D6DD7"/>
    <w:rsid w:val="6F8C0814"/>
    <w:rsid w:val="6FF12AE4"/>
    <w:rsid w:val="70419184"/>
    <w:rsid w:val="708A1BBE"/>
    <w:rsid w:val="70ABCC3B"/>
    <w:rsid w:val="71B31C52"/>
    <w:rsid w:val="71F1CB60"/>
    <w:rsid w:val="721E36E4"/>
    <w:rsid w:val="722B0425"/>
    <w:rsid w:val="72E8771D"/>
    <w:rsid w:val="7324C6E8"/>
    <w:rsid w:val="7346CD57"/>
    <w:rsid w:val="739379DD"/>
    <w:rsid w:val="73EBF100"/>
    <w:rsid w:val="741FD456"/>
    <w:rsid w:val="74286A67"/>
    <w:rsid w:val="74B05F0C"/>
    <w:rsid w:val="74C3F3BE"/>
    <w:rsid w:val="752D5623"/>
    <w:rsid w:val="7538F1D2"/>
    <w:rsid w:val="753CFD63"/>
    <w:rsid w:val="75873064"/>
    <w:rsid w:val="7588ADD0"/>
    <w:rsid w:val="75AD2C67"/>
    <w:rsid w:val="76234425"/>
    <w:rsid w:val="76329FC1"/>
    <w:rsid w:val="7647BDA4"/>
    <w:rsid w:val="765BAF88"/>
    <w:rsid w:val="76683B14"/>
    <w:rsid w:val="771288C1"/>
    <w:rsid w:val="77365598"/>
    <w:rsid w:val="778022AA"/>
    <w:rsid w:val="77D499E8"/>
    <w:rsid w:val="781283C5"/>
    <w:rsid w:val="78749A08"/>
    <w:rsid w:val="78793E67"/>
    <w:rsid w:val="78A6D13E"/>
    <w:rsid w:val="78C57A41"/>
    <w:rsid w:val="78EC6594"/>
    <w:rsid w:val="78F2A24F"/>
    <w:rsid w:val="79B44873"/>
    <w:rsid w:val="79DF584F"/>
    <w:rsid w:val="79E218BD"/>
    <w:rsid w:val="79EA6D03"/>
    <w:rsid w:val="7A35EFB7"/>
    <w:rsid w:val="7A4D4619"/>
    <w:rsid w:val="7A994A1A"/>
    <w:rsid w:val="7AC6AC43"/>
    <w:rsid w:val="7AF3CB83"/>
    <w:rsid w:val="7B7F2B3A"/>
    <w:rsid w:val="7B9087CF"/>
    <w:rsid w:val="7BE1EF20"/>
    <w:rsid w:val="7BF842E8"/>
    <w:rsid w:val="7C14E0EF"/>
    <w:rsid w:val="7C3D5002"/>
    <w:rsid w:val="7C61D419"/>
    <w:rsid w:val="7C87ABA9"/>
    <w:rsid w:val="7CB19812"/>
    <w:rsid w:val="7CBB2D0D"/>
    <w:rsid w:val="7CD6266A"/>
    <w:rsid w:val="7DB6827C"/>
    <w:rsid w:val="7DC10633"/>
    <w:rsid w:val="7DCF9F46"/>
    <w:rsid w:val="7DFC758A"/>
    <w:rsid w:val="7E1D3559"/>
    <w:rsid w:val="7E296874"/>
    <w:rsid w:val="7F239669"/>
    <w:rsid w:val="7FD7A2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A7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939"/>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List Bullet Cab,Recommendation,List Paragraph1,L,AR bullet 1,List Paragraph11,Bullet Point,Bullet points,Content descriptions,Bullet point,List Paragraph111,F5 List Paragraph,Dot pt,CV text,Table text,Medium Grid 1 - Accent 21,FooterTex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ind w:left="0"/>
    </w:pPr>
  </w:style>
  <w:style w:type="paragraph" w:styleId="List">
    <w:name w:val="List"/>
    <w:basedOn w:val="ListBullet"/>
    <w:uiPriority w:val="99"/>
    <w:unhideWhenUsed/>
    <w:qFormat/>
    <w:rsid w:val="00A56FC7"/>
    <w:pPr>
      <w:numPr>
        <w:numId w:val="2"/>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681CC8"/>
    <w:pPr>
      <w:tabs>
        <w:tab w:val="right" w:leader="dot" w:pos="906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3"/>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BOXHeading2">
    <w:name w:val="BOX Heading 2"/>
    <w:basedOn w:val="Heading2"/>
    <w:next w:val="BOXText"/>
    <w:uiPriority w:val="6"/>
    <w:qFormat/>
    <w:rsid w:val="008F71EF"/>
    <w:pPr>
      <w:pBdr>
        <w:top w:val="single" w:sz="48" w:space="1" w:color="E0E8F2"/>
        <w:left w:val="single" w:sz="48" w:space="4" w:color="E0E8F2"/>
        <w:bottom w:val="single" w:sz="48" w:space="1" w:color="E0E8F2"/>
        <w:right w:val="single" w:sz="48" w:space="4" w:color="E0E8F2"/>
      </w:pBdr>
      <w:shd w:val="clear" w:color="auto" w:fill="E0E8F2"/>
      <w:spacing w:after="160" w:line="240" w:lineRule="auto"/>
      <w:ind w:left="227" w:right="227"/>
    </w:pPr>
    <w:rPr>
      <w:rFonts w:asciiTheme="majorHAnsi" w:hAnsiTheme="majorHAnsi"/>
      <w:b w:val="0"/>
      <w:color w:val="002D3F" w:themeColor="accent1"/>
      <w:sz w:val="36"/>
      <w:szCs w:val="28"/>
    </w:rPr>
  </w:style>
  <w:style w:type="paragraph" w:customStyle="1" w:styleId="BOXText">
    <w:name w:val="BOX Text"/>
    <w:basedOn w:val="Normal"/>
    <w:uiPriority w:val="4"/>
    <w:qFormat/>
    <w:rsid w:val="008F71EF"/>
    <w:pPr>
      <w:pBdr>
        <w:top w:val="single" w:sz="48" w:space="1" w:color="E5E5E5" w:themeColor="text1" w:themeTint="1A"/>
        <w:left w:val="single" w:sz="48" w:space="4" w:color="E5E5E5" w:themeColor="text1" w:themeTint="1A"/>
        <w:bottom w:val="single" w:sz="48" w:space="1" w:color="E5E5E5" w:themeColor="text1" w:themeTint="1A"/>
        <w:right w:val="single" w:sz="48" w:space="4" w:color="E5E5E5" w:themeColor="text1" w:themeTint="1A"/>
      </w:pBdr>
      <w:shd w:val="clear" w:color="auto" w:fill="E0E8F2"/>
      <w:tabs>
        <w:tab w:val="left" w:pos="3300"/>
      </w:tabs>
      <w:spacing w:after="160" w:line="264" w:lineRule="auto"/>
      <w:ind w:left="227" w:right="227"/>
    </w:pPr>
    <w:rPr>
      <w:rFonts w:eastAsiaTheme="minorEastAsia"/>
      <w:color w:val="000000" w:themeColor="text1"/>
      <w:szCs w:val="21"/>
    </w:rPr>
  </w:style>
  <w:style w:type="paragraph" w:customStyle="1" w:styleId="BOXNumberedList">
    <w:name w:val="BOX Numbered List"/>
    <w:basedOn w:val="BOXText"/>
    <w:uiPriority w:val="5"/>
    <w:qFormat/>
    <w:rsid w:val="008F71EF"/>
    <w:pPr>
      <w:numPr>
        <w:numId w:val="5"/>
      </w:numPr>
    </w:pPr>
  </w:style>
  <w:style w:type="paragraph" w:customStyle="1" w:styleId="BOXBulletedList">
    <w:name w:val="BOX Bulleted List"/>
    <w:basedOn w:val="BOXText"/>
    <w:uiPriority w:val="5"/>
    <w:qFormat/>
    <w:rsid w:val="008F71EF"/>
    <w:pPr>
      <w:numPr>
        <w:numId w:val="4"/>
      </w:numPr>
      <w:ind w:left="511"/>
    </w:pPr>
  </w:style>
  <w:style w:type="paragraph" w:customStyle="1" w:styleId="Figure">
    <w:name w:val="Figure"/>
    <w:basedOn w:val="Normal"/>
    <w:uiPriority w:val="2"/>
    <w:qFormat/>
    <w:rsid w:val="008F71EF"/>
    <w:pPr>
      <w:numPr>
        <w:numId w:val="8"/>
      </w:numPr>
      <w:spacing w:before="240" w:after="160" w:line="264" w:lineRule="auto"/>
    </w:pPr>
    <w:rPr>
      <w:rFonts w:asciiTheme="majorHAnsi" w:eastAsiaTheme="minorEastAsia" w:hAnsiTheme="majorHAnsi" w:cs="Segoe UI"/>
      <w:color w:val="002D3F" w:themeColor="text2"/>
      <w:szCs w:val="21"/>
    </w:rPr>
  </w:style>
  <w:style w:type="paragraph" w:customStyle="1" w:styleId="TBLHeading">
    <w:name w:val="TBL Heading"/>
    <w:basedOn w:val="Normal"/>
    <w:autoRedefine/>
    <w:uiPriority w:val="11"/>
    <w:qFormat/>
    <w:rsid w:val="008F71EF"/>
    <w:pPr>
      <w:spacing w:after="0" w:line="240" w:lineRule="auto"/>
    </w:pPr>
    <w:rPr>
      <w:rFonts w:ascii="Segoe UI" w:eastAsiaTheme="minorEastAsia" w:hAnsi="Segoe UI" w:cs="Segoe UI"/>
      <w:color w:val="FFFFFF" w:themeColor="background1"/>
      <w:szCs w:val="21"/>
    </w:rPr>
  </w:style>
  <w:style w:type="paragraph" w:customStyle="1" w:styleId="TBLText">
    <w:name w:val="TBL Text"/>
    <w:basedOn w:val="Normal"/>
    <w:uiPriority w:val="9"/>
    <w:qFormat/>
    <w:rsid w:val="008F71EF"/>
    <w:pPr>
      <w:spacing w:after="0" w:line="240" w:lineRule="auto"/>
    </w:pPr>
    <w:rPr>
      <w:rFonts w:eastAsiaTheme="minorEastAsia"/>
      <w:sz w:val="18"/>
      <w:szCs w:val="18"/>
    </w:rPr>
  </w:style>
  <w:style w:type="paragraph" w:customStyle="1" w:styleId="TBLBulletedList">
    <w:name w:val="TBL Bulleted List"/>
    <w:basedOn w:val="TBLText"/>
    <w:uiPriority w:val="10"/>
    <w:qFormat/>
    <w:rsid w:val="008F71EF"/>
    <w:pPr>
      <w:numPr>
        <w:numId w:val="6"/>
      </w:numPr>
      <w:ind w:left="206" w:hanging="206"/>
    </w:pPr>
  </w:style>
  <w:style w:type="paragraph" w:customStyle="1" w:styleId="TBLNumberedList">
    <w:name w:val="TBL Numbered List"/>
    <w:basedOn w:val="TBLText"/>
    <w:uiPriority w:val="10"/>
    <w:qFormat/>
    <w:rsid w:val="008F71EF"/>
    <w:pPr>
      <w:numPr>
        <w:numId w:val="7"/>
      </w:numPr>
      <w:ind w:left="270" w:hanging="270"/>
    </w:pPr>
  </w:style>
  <w:style w:type="paragraph" w:customStyle="1" w:styleId="BOXHeading3">
    <w:name w:val="BOX Heading 3"/>
    <w:basedOn w:val="BOXHeading2"/>
    <w:next w:val="BOXText"/>
    <w:uiPriority w:val="6"/>
    <w:qFormat/>
    <w:rsid w:val="008F71EF"/>
    <w:pPr>
      <w:outlineLvl w:val="2"/>
    </w:pPr>
    <w:rPr>
      <w:rFonts w:cstheme="minorHAnsi"/>
      <w:sz w:val="24"/>
      <w:szCs w:val="26"/>
    </w:rPr>
  </w:style>
  <w:style w:type="table" w:customStyle="1" w:styleId="Custom1">
    <w:name w:val="Custom 1"/>
    <w:basedOn w:val="TableNormal"/>
    <w:uiPriority w:val="99"/>
    <w:rsid w:val="008F71EF"/>
    <w:pPr>
      <w:spacing w:after="0" w:line="240" w:lineRule="auto"/>
    </w:pPr>
    <w:rPr>
      <w:rFonts w:eastAsiaTheme="minorEastAsia"/>
      <w:sz w:val="18"/>
      <w:szCs w:val="21"/>
    </w:rPr>
    <w:tblPr>
      <w:tblStyleRowBandSize w:val="1"/>
      <w:tblBorders>
        <w:top w:val="single" w:sz="4" w:space="0" w:color="002D3F" w:themeColor="accent1"/>
        <w:bottom w:val="single" w:sz="12" w:space="0" w:color="002D3F" w:themeColor="accent1"/>
        <w:insideH w:val="single" w:sz="4" w:space="0" w:color="002D3F" w:themeColor="accent1"/>
      </w:tblBorders>
      <w:tblCellMar>
        <w:top w:w="57" w:type="dxa"/>
        <w:bottom w:w="57" w:type="dxa"/>
      </w:tblCellMar>
    </w:tblPr>
    <w:tblStylePr w:type="firstRow">
      <w:rPr>
        <w:rFonts w:asciiTheme="minorHAnsi" w:hAnsiTheme="minorHAnsi"/>
        <w:b/>
        <w:sz w:val="18"/>
      </w:rPr>
      <w:tblPr/>
      <w:tcPr>
        <w:shd w:val="clear" w:color="auto" w:fill="002D3F" w:themeFill="accent1"/>
      </w:tcPr>
    </w:tblStylePr>
    <w:tblStylePr w:type="band1Horz">
      <w:tblPr/>
      <w:tcPr>
        <w:shd w:val="clear" w:color="auto" w:fill="E7E6E6" w:themeFill="background2"/>
      </w:tcPr>
    </w:tblStylePr>
  </w:style>
  <w:style w:type="table" w:customStyle="1" w:styleId="Style1">
    <w:name w:val="Style1"/>
    <w:basedOn w:val="Custom1"/>
    <w:uiPriority w:val="99"/>
    <w:rsid w:val="008F71EF"/>
    <w:tblPr>
      <w:tblBorders>
        <w:top w:val="none" w:sz="0" w:space="0" w:color="auto"/>
        <w:left w:val="single" w:sz="4" w:space="0" w:color="002D3F" w:themeColor="accent1"/>
        <w:bottom w:val="single" w:sz="4" w:space="0" w:color="002D3F" w:themeColor="accent1"/>
        <w:right w:val="single" w:sz="4" w:space="0" w:color="002D3F" w:themeColor="accent1"/>
        <w:insideH w:val="none" w:sz="0" w:space="0" w:color="auto"/>
        <w:insideV w:val="single" w:sz="4" w:space="0" w:color="002D3F" w:themeColor="accent1"/>
      </w:tblBorders>
    </w:tblPr>
    <w:tblStylePr w:type="firstRow">
      <w:rPr>
        <w:rFonts w:asciiTheme="minorHAnsi" w:hAnsiTheme="minorHAnsi"/>
        <w:b/>
        <w:sz w:val="18"/>
      </w:rPr>
      <w:tblPr/>
      <w:tcPr>
        <w:shd w:val="clear" w:color="auto" w:fill="002D3F" w:themeFill="accent1"/>
      </w:tcPr>
    </w:tblStylePr>
    <w:tblStylePr w:type="firstCol">
      <w:rPr>
        <w:b/>
      </w:rPr>
      <w:tblPr/>
      <w:tcPr>
        <w:shd w:val="clear" w:color="auto" w:fill="002D3F" w:themeFill="accent1"/>
      </w:tcPr>
    </w:tblStylePr>
    <w:tblStylePr w:type="band1Horz">
      <w:tblPr/>
      <w:tcPr>
        <w:shd w:val="clear" w:color="auto" w:fill="E7E6E6" w:themeFill="background2"/>
      </w:tcPr>
    </w:tblStylePr>
  </w:style>
  <w:style w:type="character" w:styleId="CommentReference">
    <w:name w:val="annotation reference"/>
    <w:basedOn w:val="DefaultParagraphFont"/>
    <w:uiPriority w:val="99"/>
    <w:semiHidden/>
    <w:unhideWhenUsed/>
    <w:rsid w:val="008F71EF"/>
    <w:rPr>
      <w:sz w:val="16"/>
      <w:szCs w:val="16"/>
    </w:rPr>
  </w:style>
  <w:style w:type="paragraph" w:styleId="CommentText">
    <w:name w:val="annotation text"/>
    <w:basedOn w:val="Normal"/>
    <w:link w:val="CommentTextChar"/>
    <w:uiPriority w:val="99"/>
    <w:unhideWhenUsed/>
    <w:rsid w:val="008F71EF"/>
    <w:pPr>
      <w:spacing w:line="240" w:lineRule="auto"/>
    </w:pPr>
    <w:rPr>
      <w:sz w:val="20"/>
      <w:szCs w:val="20"/>
    </w:rPr>
  </w:style>
  <w:style w:type="character" w:customStyle="1" w:styleId="CommentTextChar">
    <w:name w:val="Comment Text Char"/>
    <w:basedOn w:val="DefaultParagraphFont"/>
    <w:link w:val="CommentText"/>
    <w:uiPriority w:val="99"/>
    <w:rsid w:val="008F71EF"/>
    <w:rPr>
      <w:sz w:val="20"/>
      <w:szCs w:val="20"/>
    </w:rPr>
  </w:style>
  <w:style w:type="paragraph" w:styleId="CommentSubject">
    <w:name w:val="annotation subject"/>
    <w:basedOn w:val="CommentText"/>
    <w:next w:val="CommentText"/>
    <w:link w:val="CommentSubjectChar"/>
    <w:uiPriority w:val="99"/>
    <w:semiHidden/>
    <w:unhideWhenUsed/>
    <w:rsid w:val="008F71EF"/>
    <w:rPr>
      <w:b/>
      <w:bCs/>
    </w:rPr>
  </w:style>
  <w:style w:type="character" w:customStyle="1" w:styleId="CommentSubjectChar">
    <w:name w:val="Comment Subject Char"/>
    <w:basedOn w:val="CommentTextChar"/>
    <w:link w:val="CommentSubject"/>
    <w:uiPriority w:val="99"/>
    <w:semiHidden/>
    <w:rsid w:val="008F71EF"/>
    <w:rPr>
      <w:b/>
      <w:bCs/>
      <w:sz w:val="20"/>
      <w:szCs w:val="20"/>
    </w:rPr>
  </w:style>
  <w:style w:type="paragraph" w:styleId="Revision">
    <w:name w:val="Revision"/>
    <w:hidden/>
    <w:uiPriority w:val="99"/>
    <w:semiHidden/>
    <w:rsid w:val="002300B0"/>
    <w:pPr>
      <w:spacing w:after="0" w:line="240" w:lineRule="auto"/>
    </w:pPr>
  </w:style>
  <w:style w:type="paragraph" w:customStyle="1" w:styleId="BoxText0">
    <w:name w:val="Box Text"/>
    <w:basedOn w:val="Normal"/>
    <w:link w:val="BoxTextChar"/>
    <w:qFormat/>
    <w:rsid w:val="00BC785C"/>
    <w:pPr>
      <w:spacing w:before="120" w:after="120" w:line="240" w:lineRule="auto"/>
    </w:pPr>
    <w:rPr>
      <w:rFonts w:ascii="Book Antiqua" w:eastAsia="Times New Roman" w:hAnsi="Book Antiqua" w:cs="Times New Roman"/>
      <w:sz w:val="19"/>
      <w:szCs w:val="20"/>
      <w:lang w:eastAsia="en-AU"/>
    </w:rPr>
  </w:style>
  <w:style w:type="character" w:customStyle="1" w:styleId="BoxTextChar">
    <w:name w:val="Box Text Char"/>
    <w:basedOn w:val="DefaultParagraphFont"/>
    <w:link w:val="BoxText0"/>
    <w:rsid w:val="00BC785C"/>
    <w:rPr>
      <w:rFonts w:ascii="Book Antiqua" w:eastAsia="Times New Roman" w:hAnsi="Book Antiqua" w:cs="Times New Roman"/>
      <w:sz w:val="19"/>
      <w:szCs w:val="20"/>
      <w:lang w:eastAsia="en-AU"/>
    </w:rPr>
  </w:style>
  <w:style w:type="paragraph" w:customStyle="1" w:styleId="ChartandTableFootnote">
    <w:name w:val="Chart and Table Footnote"/>
    <w:basedOn w:val="Normal"/>
    <w:next w:val="Normal"/>
    <w:rsid w:val="00BC785C"/>
    <w:pPr>
      <w:tabs>
        <w:tab w:val="left" w:pos="709"/>
      </w:tabs>
      <w:spacing w:before="30" w:after="0" w:line="240" w:lineRule="auto"/>
      <w:ind w:left="709" w:hanging="709"/>
    </w:pPr>
    <w:rPr>
      <w:rFonts w:ascii="Arial" w:eastAsia="Times New Roman" w:hAnsi="Arial" w:cs="Times New Roman"/>
      <w:color w:val="000000"/>
      <w:sz w:val="16"/>
      <w:szCs w:val="20"/>
      <w:lang w:eastAsia="en-AU"/>
    </w:rPr>
  </w:style>
  <w:style w:type="paragraph" w:customStyle="1" w:styleId="ChartGraphic">
    <w:name w:val="Chart Graphic"/>
    <w:basedOn w:val="Normal"/>
    <w:rsid w:val="00BC785C"/>
    <w:pPr>
      <w:keepNext/>
      <w:spacing w:after="0" w:line="240" w:lineRule="auto"/>
    </w:pPr>
    <w:rPr>
      <w:rFonts w:ascii="Arial" w:eastAsia="Times New Roman" w:hAnsi="Arial" w:cs="Times New Roman"/>
      <w:sz w:val="20"/>
      <w:szCs w:val="20"/>
      <w:lang w:eastAsia="en-AU"/>
    </w:rPr>
  </w:style>
  <w:style w:type="paragraph" w:styleId="FootnoteText">
    <w:name w:val="footnote text"/>
    <w:aliases w:val="Style 31,ALTS FOOTNOTE,Footnote Text Char1 Char,Footnote Text Char1 Char Char Char1,Footnote Text Char Char Char Char Char1,Footnote Text Char2 Char1 Char Char Char Char,Style 21,Footnote Text Char3,Footnote Text Char Char Char,single spac"/>
    <w:basedOn w:val="Normal"/>
    <w:link w:val="FootnoteTextChar"/>
    <w:uiPriority w:val="99"/>
    <w:rsid w:val="00BC785C"/>
    <w:pPr>
      <w:tabs>
        <w:tab w:val="left" w:pos="284"/>
      </w:tabs>
      <w:spacing w:before="80" w:after="0" w:line="240" w:lineRule="auto"/>
      <w:ind w:left="284" w:hanging="284"/>
      <w:contextualSpacing/>
    </w:pPr>
    <w:rPr>
      <w:rFonts w:ascii="Book Antiqua" w:eastAsia="Times New Roman" w:hAnsi="Book Antiqua" w:cs="Times New Roman"/>
      <w:sz w:val="18"/>
      <w:szCs w:val="20"/>
      <w:lang w:eastAsia="en-AU"/>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single spac Char"/>
    <w:basedOn w:val="DefaultParagraphFont"/>
    <w:link w:val="FootnoteText"/>
    <w:uiPriority w:val="14"/>
    <w:rsid w:val="00BC785C"/>
    <w:rPr>
      <w:rFonts w:ascii="Book Antiqua" w:eastAsia="Times New Roman" w:hAnsi="Book Antiqua" w:cs="Times New Roman"/>
      <w:sz w:val="18"/>
      <w:szCs w:val="20"/>
      <w:lang w:eastAsia="en-AU"/>
    </w:rPr>
  </w:style>
  <w:style w:type="paragraph" w:customStyle="1" w:styleId="ChartLine">
    <w:name w:val="Chart Line"/>
    <w:basedOn w:val="Normal"/>
    <w:autoRedefine/>
    <w:qFormat/>
    <w:rsid w:val="00BC785C"/>
    <w:pPr>
      <w:pBdr>
        <w:bottom w:val="single" w:sz="4" w:space="2" w:color="D0CECE" w:themeColor="background2" w:themeShade="E6"/>
      </w:pBdr>
      <w:spacing w:after="240" w:line="240" w:lineRule="auto"/>
    </w:pPr>
    <w:rPr>
      <w:rFonts w:ascii="Book Antiqua" w:eastAsia="Times New Roman" w:hAnsi="Book Antiqua" w:cs="Times New Roman"/>
      <w:noProof/>
      <w:sz w:val="4"/>
      <w:szCs w:val="4"/>
      <w:lang w:eastAsia="en-AU"/>
    </w:rPr>
  </w:style>
  <w:style w:type="paragraph" w:customStyle="1" w:styleId="ChartMainHeading">
    <w:name w:val="Chart Main Heading"/>
    <w:basedOn w:val="Normal"/>
    <w:next w:val="ChartGraphic"/>
    <w:rsid w:val="00BC785C"/>
    <w:pPr>
      <w:keepNext/>
      <w:spacing w:before="120" w:after="20" w:line="240" w:lineRule="auto"/>
    </w:pPr>
    <w:rPr>
      <w:rFonts w:asciiTheme="majorHAnsi" w:eastAsia="Times New Roman" w:hAnsiTheme="majorHAnsi" w:cs="Times New Roman"/>
      <w:b/>
      <w:sz w:val="20"/>
      <w:szCs w:val="20"/>
      <w:lang w:eastAsia="en-AU"/>
    </w:rPr>
  </w:style>
  <w:style w:type="character" w:styleId="EndnoteReference">
    <w:name w:val="endnote reference"/>
    <w:basedOn w:val="DefaultParagraphFont"/>
    <w:uiPriority w:val="99"/>
    <w:unhideWhenUsed/>
    <w:qFormat/>
    <w:rsid w:val="00BC785C"/>
    <w:rPr>
      <w:vertAlign w:val="superscript"/>
    </w:rPr>
  </w:style>
  <w:style w:type="character" w:customStyle="1" w:styleId="normaltextrun">
    <w:name w:val="normaltextrun"/>
    <w:basedOn w:val="DefaultParagraphFont"/>
    <w:rsid w:val="00130D02"/>
  </w:style>
  <w:style w:type="paragraph" w:customStyle="1" w:styleId="BoxHeading">
    <w:name w:val="Box Heading"/>
    <w:basedOn w:val="Normal"/>
    <w:next w:val="BoxText0"/>
    <w:rsid w:val="00130D02"/>
    <w:pPr>
      <w:keepNext/>
      <w:spacing w:before="120" w:after="120" w:line="240" w:lineRule="auto"/>
    </w:pPr>
    <w:rPr>
      <w:rFonts w:ascii="Arial" w:eastAsia="Times New Roman" w:hAnsi="Arial" w:cs="Times New Roman"/>
      <w:b/>
      <w:sz w:val="20"/>
      <w:szCs w:val="20"/>
      <w:lang w:eastAsia="en-AU"/>
    </w:rPr>
  </w:style>
  <w:style w:type="paragraph" w:customStyle="1" w:styleId="paragraph">
    <w:name w:val="paragraph"/>
    <w:basedOn w:val="Normal"/>
    <w:rsid w:val="009123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12313"/>
  </w:style>
  <w:style w:type="character" w:customStyle="1" w:styleId="superscript">
    <w:name w:val="superscript"/>
    <w:basedOn w:val="DefaultParagraphFont"/>
    <w:rsid w:val="00912313"/>
  </w:style>
  <w:style w:type="character" w:customStyle="1" w:styleId="scxw17063330">
    <w:name w:val="scxw17063330"/>
    <w:basedOn w:val="DefaultParagraphFont"/>
    <w:rsid w:val="00801085"/>
  </w:style>
  <w:style w:type="character" w:styleId="FootnoteReference">
    <w:name w:val="footnote reference"/>
    <w:aliases w:val="fr,Style 30,Style 20,AFPC Footnote Reference,AFPC Footnote Reference1,(NECG) Footnote Reference,4_G,Odwołanie przypisu,Footnote symbol,Footnote Reference Number,Appel note de bas de p,Appel note de bas de p + (Asian) Batang,Black,Nota"/>
    <w:basedOn w:val="DefaultParagraphFont"/>
    <w:uiPriority w:val="99"/>
    <w:unhideWhenUsed/>
    <w:rsid w:val="001D3479"/>
    <w:rPr>
      <w:vertAlign w:val="superscript"/>
    </w:rPr>
  </w:style>
  <w:style w:type="character" w:customStyle="1" w:styleId="findhit">
    <w:name w:val="findhit"/>
    <w:basedOn w:val="DefaultParagraphFont"/>
    <w:rsid w:val="001D3479"/>
  </w:style>
  <w:style w:type="paragraph" w:customStyle="1" w:styleId="xmsonormal">
    <w:name w:val="x_msonormal"/>
    <w:basedOn w:val="Normal"/>
    <w:rsid w:val="001D3479"/>
    <w:pPr>
      <w:spacing w:after="0" w:line="240" w:lineRule="auto"/>
    </w:pPr>
    <w:rPr>
      <w:rFonts w:ascii="Calibri" w:hAnsi="Calibri" w:cs="Calibri"/>
      <w:lang w:eastAsia="en-AU"/>
    </w:rPr>
  </w:style>
  <w:style w:type="paragraph" w:customStyle="1" w:styleId="xmsolistparagraph">
    <w:name w:val="x_msolistparagraph"/>
    <w:basedOn w:val="Normal"/>
    <w:rsid w:val="008F12A3"/>
    <w:pPr>
      <w:spacing w:after="0" w:line="240" w:lineRule="auto"/>
      <w:ind w:left="720"/>
    </w:pPr>
    <w:rPr>
      <w:rFonts w:ascii="Calibri" w:hAnsi="Calibri" w:cs="Calibri"/>
      <w:lang w:eastAsia="en-AU"/>
    </w:rPr>
  </w:style>
  <w:style w:type="paragraph" w:styleId="NormalWeb">
    <w:name w:val="Normal (Web)"/>
    <w:basedOn w:val="Normal"/>
    <w:uiPriority w:val="99"/>
    <w:unhideWhenUsed/>
    <w:rsid w:val="00C52D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B6711C"/>
    <w:rPr>
      <w:color w:val="605E5C"/>
      <w:shd w:val="clear" w:color="auto" w:fill="E1DFDD"/>
    </w:rPr>
  </w:style>
  <w:style w:type="paragraph" w:customStyle="1" w:styleId="Footnote">
    <w:name w:val="Footnote"/>
    <w:basedOn w:val="Normal"/>
    <w:rsid w:val="001C429C"/>
    <w:pPr>
      <w:tabs>
        <w:tab w:val="left" w:pos="426"/>
      </w:tabs>
      <w:spacing w:before="60" w:after="0" w:line="240" w:lineRule="auto"/>
    </w:pPr>
    <w:rPr>
      <w:rFonts w:ascii="Calibri" w:eastAsiaTheme="minorEastAsia" w:hAnsi="Calibri" w:cs="Times New Roman"/>
      <w:sz w:val="18"/>
      <w:szCs w:val="20"/>
      <w:lang w:eastAsia="en-AU"/>
    </w:rPr>
  </w:style>
  <w:style w:type="character" w:customStyle="1" w:styleId="ListParagraphChar">
    <w:name w:val="List Paragraph Char"/>
    <w:aliases w:val="List Bullet Cab Char,Recommendation Char,List Paragraph1 Char,L Char,AR bullet 1 Char,List Paragraph11 Char,Bullet Point Char,Bullet points Char,Content descriptions Char,Bullet point Char,List Paragraph111 Char,Dot pt Char"/>
    <w:basedOn w:val="DefaultParagraphFont"/>
    <w:link w:val="ListParagraph"/>
    <w:uiPriority w:val="34"/>
    <w:qFormat/>
    <w:locked/>
    <w:rsid w:val="00FE6225"/>
  </w:style>
  <w:style w:type="character" w:customStyle="1" w:styleId="Mention">
    <w:name w:val="Mention"/>
    <w:basedOn w:val="DefaultParagraphFont"/>
    <w:uiPriority w:val="99"/>
    <w:unhideWhenUsed/>
    <w:rsid w:val="00727F10"/>
    <w:rPr>
      <w:color w:val="2B579A"/>
      <w:shd w:val="clear" w:color="auto" w:fill="E1DFDD"/>
    </w:rPr>
  </w:style>
  <w:style w:type="character" w:customStyle="1" w:styleId="cf01">
    <w:name w:val="cf01"/>
    <w:basedOn w:val="DefaultParagraphFont"/>
    <w:rsid w:val="00B44F82"/>
    <w:rPr>
      <w:rFonts w:ascii="Segoe UI" w:hAnsi="Segoe UI" w:cs="Segoe UI" w:hint="default"/>
      <w:sz w:val="18"/>
      <w:szCs w:val="18"/>
    </w:rPr>
  </w:style>
  <w:style w:type="character" w:customStyle="1" w:styleId="fontsize18px">
    <w:name w:val="fontsize18px"/>
    <w:basedOn w:val="DefaultParagraphFont"/>
    <w:rsid w:val="003268FA"/>
  </w:style>
  <w:style w:type="paragraph" w:styleId="BodyText">
    <w:name w:val="Body Text"/>
    <w:basedOn w:val="Normal"/>
    <w:link w:val="BodyTextChar"/>
    <w:uiPriority w:val="99"/>
    <w:qFormat/>
    <w:rsid w:val="00EE7F2A"/>
    <w:pPr>
      <w:tabs>
        <w:tab w:val="left" w:pos="1066"/>
      </w:tabs>
      <w:spacing w:before="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EE7F2A"/>
    <w:rPr>
      <w:rFonts w:ascii="Arial" w:eastAsia="Times New Roman" w:hAnsi="Arial" w:cs="Times New Roman"/>
      <w:sz w:val="24"/>
      <w:szCs w:val="24"/>
    </w:rPr>
  </w:style>
  <w:style w:type="paragraph" w:customStyle="1" w:styleId="xxxmsonormal">
    <w:name w:val="x_xxmsonormal"/>
    <w:basedOn w:val="Normal"/>
    <w:rsid w:val="001676C1"/>
    <w:pPr>
      <w:spacing w:after="0" w:line="240" w:lineRule="auto"/>
    </w:pPr>
    <w:rPr>
      <w:rFonts w:ascii="Calibri" w:hAnsi="Calibri" w:cs="Calibri"/>
      <w:lang w:eastAsia="en-AU"/>
    </w:rPr>
  </w:style>
  <w:style w:type="character" w:customStyle="1" w:styleId="xxeop">
    <w:name w:val="x_xeop"/>
    <w:basedOn w:val="DefaultParagraphFont"/>
    <w:rsid w:val="00167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437">
      <w:bodyDiv w:val="1"/>
      <w:marLeft w:val="0"/>
      <w:marRight w:val="0"/>
      <w:marTop w:val="0"/>
      <w:marBottom w:val="0"/>
      <w:divBdr>
        <w:top w:val="none" w:sz="0" w:space="0" w:color="auto"/>
        <w:left w:val="none" w:sz="0" w:space="0" w:color="auto"/>
        <w:bottom w:val="none" w:sz="0" w:space="0" w:color="auto"/>
        <w:right w:val="none" w:sz="0" w:space="0" w:color="auto"/>
      </w:divBdr>
      <w:divsChild>
        <w:div w:id="634987492">
          <w:marLeft w:val="0"/>
          <w:marRight w:val="0"/>
          <w:marTop w:val="0"/>
          <w:marBottom w:val="0"/>
          <w:divBdr>
            <w:top w:val="none" w:sz="0" w:space="0" w:color="auto"/>
            <w:left w:val="none" w:sz="0" w:space="0" w:color="auto"/>
            <w:bottom w:val="none" w:sz="0" w:space="0" w:color="auto"/>
            <w:right w:val="none" w:sz="0" w:space="0" w:color="auto"/>
          </w:divBdr>
        </w:div>
        <w:div w:id="1618099485">
          <w:marLeft w:val="0"/>
          <w:marRight w:val="0"/>
          <w:marTop w:val="0"/>
          <w:marBottom w:val="0"/>
          <w:divBdr>
            <w:top w:val="none" w:sz="0" w:space="0" w:color="auto"/>
            <w:left w:val="none" w:sz="0" w:space="0" w:color="auto"/>
            <w:bottom w:val="none" w:sz="0" w:space="0" w:color="auto"/>
            <w:right w:val="none" w:sz="0" w:space="0" w:color="auto"/>
          </w:divBdr>
        </w:div>
      </w:divsChild>
    </w:div>
    <w:div w:id="26679674">
      <w:bodyDiv w:val="1"/>
      <w:marLeft w:val="0"/>
      <w:marRight w:val="0"/>
      <w:marTop w:val="0"/>
      <w:marBottom w:val="0"/>
      <w:divBdr>
        <w:top w:val="none" w:sz="0" w:space="0" w:color="auto"/>
        <w:left w:val="none" w:sz="0" w:space="0" w:color="auto"/>
        <w:bottom w:val="none" w:sz="0" w:space="0" w:color="auto"/>
        <w:right w:val="none" w:sz="0" w:space="0" w:color="auto"/>
      </w:divBdr>
      <w:divsChild>
        <w:div w:id="771432939">
          <w:marLeft w:val="0"/>
          <w:marRight w:val="0"/>
          <w:marTop w:val="0"/>
          <w:marBottom w:val="0"/>
          <w:divBdr>
            <w:top w:val="none" w:sz="0" w:space="0" w:color="auto"/>
            <w:left w:val="none" w:sz="0" w:space="0" w:color="auto"/>
            <w:bottom w:val="none" w:sz="0" w:space="0" w:color="auto"/>
            <w:right w:val="none" w:sz="0" w:space="0" w:color="auto"/>
          </w:divBdr>
        </w:div>
        <w:div w:id="1088690882">
          <w:marLeft w:val="0"/>
          <w:marRight w:val="0"/>
          <w:marTop w:val="0"/>
          <w:marBottom w:val="0"/>
          <w:divBdr>
            <w:top w:val="none" w:sz="0" w:space="0" w:color="auto"/>
            <w:left w:val="none" w:sz="0" w:space="0" w:color="auto"/>
            <w:bottom w:val="none" w:sz="0" w:space="0" w:color="auto"/>
            <w:right w:val="none" w:sz="0" w:space="0" w:color="auto"/>
          </w:divBdr>
        </w:div>
      </w:divsChild>
    </w:div>
    <w:div w:id="86049271">
      <w:bodyDiv w:val="1"/>
      <w:marLeft w:val="0"/>
      <w:marRight w:val="0"/>
      <w:marTop w:val="0"/>
      <w:marBottom w:val="0"/>
      <w:divBdr>
        <w:top w:val="none" w:sz="0" w:space="0" w:color="auto"/>
        <w:left w:val="none" w:sz="0" w:space="0" w:color="auto"/>
        <w:bottom w:val="none" w:sz="0" w:space="0" w:color="auto"/>
        <w:right w:val="none" w:sz="0" w:space="0" w:color="auto"/>
      </w:divBdr>
    </w:div>
    <w:div w:id="106197947">
      <w:bodyDiv w:val="1"/>
      <w:marLeft w:val="0"/>
      <w:marRight w:val="0"/>
      <w:marTop w:val="0"/>
      <w:marBottom w:val="0"/>
      <w:divBdr>
        <w:top w:val="none" w:sz="0" w:space="0" w:color="auto"/>
        <w:left w:val="none" w:sz="0" w:space="0" w:color="auto"/>
        <w:bottom w:val="none" w:sz="0" w:space="0" w:color="auto"/>
        <w:right w:val="none" w:sz="0" w:space="0" w:color="auto"/>
      </w:divBdr>
    </w:div>
    <w:div w:id="123349643">
      <w:bodyDiv w:val="1"/>
      <w:marLeft w:val="0"/>
      <w:marRight w:val="0"/>
      <w:marTop w:val="0"/>
      <w:marBottom w:val="0"/>
      <w:divBdr>
        <w:top w:val="none" w:sz="0" w:space="0" w:color="auto"/>
        <w:left w:val="none" w:sz="0" w:space="0" w:color="auto"/>
        <w:bottom w:val="none" w:sz="0" w:space="0" w:color="auto"/>
        <w:right w:val="none" w:sz="0" w:space="0" w:color="auto"/>
      </w:divBdr>
    </w:div>
    <w:div w:id="125316216">
      <w:bodyDiv w:val="1"/>
      <w:marLeft w:val="0"/>
      <w:marRight w:val="0"/>
      <w:marTop w:val="0"/>
      <w:marBottom w:val="0"/>
      <w:divBdr>
        <w:top w:val="none" w:sz="0" w:space="0" w:color="auto"/>
        <w:left w:val="none" w:sz="0" w:space="0" w:color="auto"/>
        <w:bottom w:val="none" w:sz="0" w:space="0" w:color="auto"/>
        <w:right w:val="none" w:sz="0" w:space="0" w:color="auto"/>
      </w:divBdr>
      <w:divsChild>
        <w:div w:id="32964766">
          <w:marLeft w:val="0"/>
          <w:marRight w:val="0"/>
          <w:marTop w:val="0"/>
          <w:marBottom w:val="0"/>
          <w:divBdr>
            <w:top w:val="none" w:sz="0" w:space="0" w:color="auto"/>
            <w:left w:val="none" w:sz="0" w:space="0" w:color="auto"/>
            <w:bottom w:val="none" w:sz="0" w:space="0" w:color="auto"/>
            <w:right w:val="none" w:sz="0" w:space="0" w:color="auto"/>
          </w:divBdr>
        </w:div>
        <w:div w:id="531577895">
          <w:marLeft w:val="0"/>
          <w:marRight w:val="0"/>
          <w:marTop w:val="0"/>
          <w:marBottom w:val="0"/>
          <w:divBdr>
            <w:top w:val="none" w:sz="0" w:space="0" w:color="auto"/>
            <w:left w:val="none" w:sz="0" w:space="0" w:color="auto"/>
            <w:bottom w:val="none" w:sz="0" w:space="0" w:color="auto"/>
            <w:right w:val="none" w:sz="0" w:space="0" w:color="auto"/>
          </w:divBdr>
        </w:div>
        <w:div w:id="744764344">
          <w:marLeft w:val="0"/>
          <w:marRight w:val="0"/>
          <w:marTop w:val="0"/>
          <w:marBottom w:val="0"/>
          <w:divBdr>
            <w:top w:val="none" w:sz="0" w:space="0" w:color="auto"/>
            <w:left w:val="none" w:sz="0" w:space="0" w:color="auto"/>
            <w:bottom w:val="none" w:sz="0" w:space="0" w:color="auto"/>
            <w:right w:val="none" w:sz="0" w:space="0" w:color="auto"/>
          </w:divBdr>
        </w:div>
        <w:div w:id="939334533">
          <w:marLeft w:val="0"/>
          <w:marRight w:val="0"/>
          <w:marTop w:val="0"/>
          <w:marBottom w:val="0"/>
          <w:divBdr>
            <w:top w:val="none" w:sz="0" w:space="0" w:color="auto"/>
            <w:left w:val="none" w:sz="0" w:space="0" w:color="auto"/>
            <w:bottom w:val="none" w:sz="0" w:space="0" w:color="auto"/>
            <w:right w:val="none" w:sz="0" w:space="0" w:color="auto"/>
          </w:divBdr>
        </w:div>
        <w:div w:id="1482426365">
          <w:marLeft w:val="0"/>
          <w:marRight w:val="0"/>
          <w:marTop w:val="0"/>
          <w:marBottom w:val="0"/>
          <w:divBdr>
            <w:top w:val="none" w:sz="0" w:space="0" w:color="auto"/>
            <w:left w:val="none" w:sz="0" w:space="0" w:color="auto"/>
            <w:bottom w:val="none" w:sz="0" w:space="0" w:color="auto"/>
            <w:right w:val="none" w:sz="0" w:space="0" w:color="auto"/>
          </w:divBdr>
        </w:div>
        <w:div w:id="1564676042">
          <w:marLeft w:val="0"/>
          <w:marRight w:val="0"/>
          <w:marTop w:val="0"/>
          <w:marBottom w:val="0"/>
          <w:divBdr>
            <w:top w:val="none" w:sz="0" w:space="0" w:color="auto"/>
            <w:left w:val="none" w:sz="0" w:space="0" w:color="auto"/>
            <w:bottom w:val="none" w:sz="0" w:space="0" w:color="auto"/>
            <w:right w:val="none" w:sz="0" w:space="0" w:color="auto"/>
          </w:divBdr>
        </w:div>
        <w:div w:id="1678263820">
          <w:marLeft w:val="0"/>
          <w:marRight w:val="0"/>
          <w:marTop w:val="0"/>
          <w:marBottom w:val="0"/>
          <w:divBdr>
            <w:top w:val="none" w:sz="0" w:space="0" w:color="auto"/>
            <w:left w:val="none" w:sz="0" w:space="0" w:color="auto"/>
            <w:bottom w:val="none" w:sz="0" w:space="0" w:color="auto"/>
            <w:right w:val="none" w:sz="0" w:space="0" w:color="auto"/>
          </w:divBdr>
          <w:divsChild>
            <w:div w:id="242300963">
              <w:marLeft w:val="0"/>
              <w:marRight w:val="0"/>
              <w:marTop w:val="0"/>
              <w:marBottom w:val="0"/>
              <w:divBdr>
                <w:top w:val="none" w:sz="0" w:space="0" w:color="auto"/>
                <w:left w:val="none" w:sz="0" w:space="0" w:color="auto"/>
                <w:bottom w:val="none" w:sz="0" w:space="0" w:color="auto"/>
                <w:right w:val="none" w:sz="0" w:space="0" w:color="auto"/>
              </w:divBdr>
            </w:div>
            <w:div w:id="410079366">
              <w:marLeft w:val="0"/>
              <w:marRight w:val="0"/>
              <w:marTop w:val="0"/>
              <w:marBottom w:val="0"/>
              <w:divBdr>
                <w:top w:val="none" w:sz="0" w:space="0" w:color="auto"/>
                <w:left w:val="none" w:sz="0" w:space="0" w:color="auto"/>
                <w:bottom w:val="none" w:sz="0" w:space="0" w:color="auto"/>
                <w:right w:val="none" w:sz="0" w:space="0" w:color="auto"/>
              </w:divBdr>
            </w:div>
            <w:div w:id="660039907">
              <w:marLeft w:val="0"/>
              <w:marRight w:val="0"/>
              <w:marTop w:val="0"/>
              <w:marBottom w:val="0"/>
              <w:divBdr>
                <w:top w:val="none" w:sz="0" w:space="0" w:color="auto"/>
                <w:left w:val="none" w:sz="0" w:space="0" w:color="auto"/>
                <w:bottom w:val="none" w:sz="0" w:space="0" w:color="auto"/>
                <w:right w:val="none" w:sz="0" w:space="0" w:color="auto"/>
              </w:divBdr>
            </w:div>
            <w:div w:id="13598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4637">
      <w:bodyDiv w:val="1"/>
      <w:marLeft w:val="0"/>
      <w:marRight w:val="0"/>
      <w:marTop w:val="0"/>
      <w:marBottom w:val="0"/>
      <w:divBdr>
        <w:top w:val="none" w:sz="0" w:space="0" w:color="auto"/>
        <w:left w:val="none" w:sz="0" w:space="0" w:color="auto"/>
        <w:bottom w:val="none" w:sz="0" w:space="0" w:color="auto"/>
        <w:right w:val="none" w:sz="0" w:space="0" w:color="auto"/>
      </w:divBdr>
    </w:div>
    <w:div w:id="351612211">
      <w:bodyDiv w:val="1"/>
      <w:marLeft w:val="0"/>
      <w:marRight w:val="0"/>
      <w:marTop w:val="0"/>
      <w:marBottom w:val="0"/>
      <w:divBdr>
        <w:top w:val="none" w:sz="0" w:space="0" w:color="auto"/>
        <w:left w:val="none" w:sz="0" w:space="0" w:color="auto"/>
        <w:bottom w:val="none" w:sz="0" w:space="0" w:color="auto"/>
        <w:right w:val="none" w:sz="0" w:space="0" w:color="auto"/>
      </w:divBdr>
    </w:div>
    <w:div w:id="386535501">
      <w:bodyDiv w:val="1"/>
      <w:marLeft w:val="0"/>
      <w:marRight w:val="0"/>
      <w:marTop w:val="0"/>
      <w:marBottom w:val="0"/>
      <w:divBdr>
        <w:top w:val="none" w:sz="0" w:space="0" w:color="auto"/>
        <w:left w:val="none" w:sz="0" w:space="0" w:color="auto"/>
        <w:bottom w:val="none" w:sz="0" w:space="0" w:color="auto"/>
        <w:right w:val="none" w:sz="0" w:space="0" w:color="auto"/>
      </w:divBdr>
      <w:divsChild>
        <w:div w:id="87430132">
          <w:marLeft w:val="0"/>
          <w:marRight w:val="0"/>
          <w:marTop w:val="0"/>
          <w:marBottom w:val="0"/>
          <w:divBdr>
            <w:top w:val="none" w:sz="0" w:space="0" w:color="auto"/>
            <w:left w:val="none" w:sz="0" w:space="0" w:color="auto"/>
            <w:bottom w:val="none" w:sz="0" w:space="0" w:color="auto"/>
            <w:right w:val="none" w:sz="0" w:space="0" w:color="auto"/>
          </w:divBdr>
          <w:divsChild>
            <w:div w:id="1167093594">
              <w:marLeft w:val="0"/>
              <w:marRight w:val="0"/>
              <w:marTop w:val="0"/>
              <w:marBottom w:val="0"/>
              <w:divBdr>
                <w:top w:val="none" w:sz="0" w:space="0" w:color="auto"/>
                <w:left w:val="none" w:sz="0" w:space="0" w:color="auto"/>
                <w:bottom w:val="none" w:sz="0" w:space="0" w:color="auto"/>
                <w:right w:val="none" w:sz="0" w:space="0" w:color="auto"/>
              </w:divBdr>
            </w:div>
            <w:div w:id="1500804768">
              <w:marLeft w:val="0"/>
              <w:marRight w:val="0"/>
              <w:marTop w:val="0"/>
              <w:marBottom w:val="0"/>
              <w:divBdr>
                <w:top w:val="none" w:sz="0" w:space="0" w:color="auto"/>
                <w:left w:val="none" w:sz="0" w:space="0" w:color="auto"/>
                <w:bottom w:val="none" w:sz="0" w:space="0" w:color="auto"/>
                <w:right w:val="none" w:sz="0" w:space="0" w:color="auto"/>
              </w:divBdr>
            </w:div>
          </w:divsChild>
        </w:div>
        <w:div w:id="1309019991">
          <w:marLeft w:val="0"/>
          <w:marRight w:val="0"/>
          <w:marTop w:val="0"/>
          <w:marBottom w:val="0"/>
          <w:divBdr>
            <w:top w:val="none" w:sz="0" w:space="0" w:color="auto"/>
            <w:left w:val="none" w:sz="0" w:space="0" w:color="auto"/>
            <w:bottom w:val="none" w:sz="0" w:space="0" w:color="auto"/>
            <w:right w:val="none" w:sz="0" w:space="0" w:color="auto"/>
          </w:divBdr>
          <w:divsChild>
            <w:div w:id="200751457">
              <w:marLeft w:val="0"/>
              <w:marRight w:val="0"/>
              <w:marTop w:val="0"/>
              <w:marBottom w:val="0"/>
              <w:divBdr>
                <w:top w:val="none" w:sz="0" w:space="0" w:color="auto"/>
                <w:left w:val="none" w:sz="0" w:space="0" w:color="auto"/>
                <w:bottom w:val="none" w:sz="0" w:space="0" w:color="auto"/>
                <w:right w:val="none" w:sz="0" w:space="0" w:color="auto"/>
              </w:divBdr>
            </w:div>
            <w:div w:id="715811648">
              <w:marLeft w:val="0"/>
              <w:marRight w:val="0"/>
              <w:marTop w:val="0"/>
              <w:marBottom w:val="0"/>
              <w:divBdr>
                <w:top w:val="none" w:sz="0" w:space="0" w:color="auto"/>
                <w:left w:val="none" w:sz="0" w:space="0" w:color="auto"/>
                <w:bottom w:val="none" w:sz="0" w:space="0" w:color="auto"/>
                <w:right w:val="none" w:sz="0" w:space="0" w:color="auto"/>
              </w:divBdr>
            </w:div>
          </w:divsChild>
        </w:div>
        <w:div w:id="2008634790">
          <w:marLeft w:val="0"/>
          <w:marRight w:val="0"/>
          <w:marTop w:val="0"/>
          <w:marBottom w:val="0"/>
          <w:divBdr>
            <w:top w:val="none" w:sz="0" w:space="0" w:color="auto"/>
            <w:left w:val="none" w:sz="0" w:space="0" w:color="auto"/>
            <w:bottom w:val="none" w:sz="0" w:space="0" w:color="auto"/>
            <w:right w:val="none" w:sz="0" w:space="0" w:color="auto"/>
          </w:divBdr>
          <w:divsChild>
            <w:div w:id="353968233">
              <w:marLeft w:val="0"/>
              <w:marRight w:val="0"/>
              <w:marTop w:val="0"/>
              <w:marBottom w:val="0"/>
              <w:divBdr>
                <w:top w:val="none" w:sz="0" w:space="0" w:color="auto"/>
                <w:left w:val="none" w:sz="0" w:space="0" w:color="auto"/>
                <w:bottom w:val="none" w:sz="0" w:space="0" w:color="auto"/>
                <w:right w:val="none" w:sz="0" w:space="0" w:color="auto"/>
              </w:divBdr>
            </w:div>
            <w:div w:id="739255180">
              <w:marLeft w:val="0"/>
              <w:marRight w:val="0"/>
              <w:marTop w:val="0"/>
              <w:marBottom w:val="0"/>
              <w:divBdr>
                <w:top w:val="none" w:sz="0" w:space="0" w:color="auto"/>
                <w:left w:val="none" w:sz="0" w:space="0" w:color="auto"/>
                <w:bottom w:val="none" w:sz="0" w:space="0" w:color="auto"/>
                <w:right w:val="none" w:sz="0" w:space="0" w:color="auto"/>
              </w:divBdr>
            </w:div>
            <w:div w:id="17883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5927">
      <w:bodyDiv w:val="1"/>
      <w:marLeft w:val="0"/>
      <w:marRight w:val="0"/>
      <w:marTop w:val="0"/>
      <w:marBottom w:val="0"/>
      <w:divBdr>
        <w:top w:val="none" w:sz="0" w:space="0" w:color="auto"/>
        <w:left w:val="none" w:sz="0" w:space="0" w:color="auto"/>
        <w:bottom w:val="none" w:sz="0" w:space="0" w:color="auto"/>
        <w:right w:val="none" w:sz="0" w:space="0" w:color="auto"/>
      </w:divBdr>
    </w:div>
    <w:div w:id="401097509">
      <w:bodyDiv w:val="1"/>
      <w:marLeft w:val="0"/>
      <w:marRight w:val="0"/>
      <w:marTop w:val="0"/>
      <w:marBottom w:val="0"/>
      <w:divBdr>
        <w:top w:val="none" w:sz="0" w:space="0" w:color="auto"/>
        <w:left w:val="none" w:sz="0" w:space="0" w:color="auto"/>
        <w:bottom w:val="none" w:sz="0" w:space="0" w:color="auto"/>
        <w:right w:val="none" w:sz="0" w:space="0" w:color="auto"/>
      </w:divBdr>
    </w:div>
    <w:div w:id="690491078">
      <w:bodyDiv w:val="1"/>
      <w:marLeft w:val="0"/>
      <w:marRight w:val="0"/>
      <w:marTop w:val="0"/>
      <w:marBottom w:val="0"/>
      <w:divBdr>
        <w:top w:val="none" w:sz="0" w:space="0" w:color="auto"/>
        <w:left w:val="none" w:sz="0" w:space="0" w:color="auto"/>
        <w:bottom w:val="none" w:sz="0" w:space="0" w:color="auto"/>
        <w:right w:val="none" w:sz="0" w:space="0" w:color="auto"/>
      </w:divBdr>
    </w:div>
    <w:div w:id="787705439">
      <w:bodyDiv w:val="1"/>
      <w:marLeft w:val="0"/>
      <w:marRight w:val="0"/>
      <w:marTop w:val="0"/>
      <w:marBottom w:val="0"/>
      <w:divBdr>
        <w:top w:val="none" w:sz="0" w:space="0" w:color="auto"/>
        <w:left w:val="none" w:sz="0" w:space="0" w:color="auto"/>
        <w:bottom w:val="none" w:sz="0" w:space="0" w:color="auto"/>
        <w:right w:val="none" w:sz="0" w:space="0" w:color="auto"/>
      </w:divBdr>
    </w:div>
    <w:div w:id="795874334">
      <w:bodyDiv w:val="1"/>
      <w:marLeft w:val="0"/>
      <w:marRight w:val="0"/>
      <w:marTop w:val="0"/>
      <w:marBottom w:val="0"/>
      <w:divBdr>
        <w:top w:val="none" w:sz="0" w:space="0" w:color="auto"/>
        <w:left w:val="none" w:sz="0" w:space="0" w:color="auto"/>
        <w:bottom w:val="none" w:sz="0" w:space="0" w:color="auto"/>
        <w:right w:val="none" w:sz="0" w:space="0" w:color="auto"/>
      </w:divBdr>
    </w:div>
    <w:div w:id="832448859">
      <w:bodyDiv w:val="1"/>
      <w:marLeft w:val="0"/>
      <w:marRight w:val="0"/>
      <w:marTop w:val="0"/>
      <w:marBottom w:val="0"/>
      <w:divBdr>
        <w:top w:val="none" w:sz="0" w:space="0" w:color="auto"/>
        <w:left w:val="none" w:sz="0" w:space="0" w:color="auto"/>
        <w:bottom w:val="none" w:sz="0" w:space="0" w:color="auto"/>
        <w:right w:val="none" w:sz="0" w:space="0" w:color="auto"/>
      </w:divBdr>
    </w:div>
    <w:div w:id="889683533">
      <w:bodyDiv w:val="1"/>
      <w:marLeft w:val="0"/>
      <w:marRight w:val="0"/>
      <w:marTop w:val="0"/>
      <w:marBottom w:val="0"/>
      <w:divBdr>
        <w:top w:val="none" w:sz="0" w:space="0" w:color="auto"/>
        <w:left w:val="none" w:sz="0" w:space="0" w:color="auto"/>
        <w:bottom w:val="none" w:sz="0" w:space="0" w:color="auto"/>
        <w:right w:val="none" w:sz="0" w:space="0" w:color="auto"/>
      </w:divBdr>
    </w:div>
    <w:div w:id="902062905">
      <w:bodyDiv w:val="1"/>
      <w:marLeft w:val="0"/>
      <w:marRight w:val="0"/>
      <w:marTop w:val="0"/>
      <w:marBottom w:val="0"/>
      <w:divBdr>
        <w:top w:val="none" w:sz="0" w:space="0" w:color="auto"/>
        <w:left w:val="none" w:sz="0" w:space="0" w:color="auto"/>
        <w:bottom w:val="none" w:sz="0" w:space="0" w:color="auto"/>
        <w:right w:val="none" w:sz="0" w:space="0" w:color="auto"/>
      </w:divBdr>
      <w:divsChild>
        <w:div w:id="3214954">
          <w:marLeft w:val="0"/>
          <w:marRight w:val="0"/>
          <w:marTop w:val="0"/>
          <w:marBottom w:val="0"/>
          <w:divBdr>
            <w:top w:val="none" w:sz="0" w:space="0" w:color="auto"/>
            <w:left w:val="none" w:sz="0" w:space="0" w:color="auto"/>
            <w:bottom w:val="none" w:sz="0" w:space="0" w:color="auto"/>
            <w:right w:val="none" w:sz="0" w:space="0" w:color="auto"/>
          </w:divBdr>
        </w:div>
        <w:div w:id="19286003">
          <w:marLeft w:val="0"/>
          <w:marRight w:val="0"/>
          <w:marTop w:val="0"/>
          <w:marBottom w:val="0"/>
          <w:divBdr>
            <w:top w:val="none" w:sz="0" w:space="0" w:color="auto"/>
            <w:left w:val="none" w:sz="0" w:space="0" w:color="auto"/>
            <w:bottom w:val="none" w:sz="0" w:space="0" w:color="auto"/>
            <w:right w:val="none" w:sz="0" w:space="0" w:color="auto"/>
          </w:divBdr>
        </w:div>
        <w:div w:id="108621318">
          <w:marLeft w:val="0"/>
          <w:marRight w:val="0"/>
          <w:marTop w:val="0"/>
          <w:marBottom w:val="0"/>
          <w:divBdr>
            <w:top w:val="none" w:sz="0" w:space="0" w:color="auto"/>
            <w:left w:val="none" w:sz="0" w:space="0" w:color="auto"/>
            <w:bottom w:val="none" w:sz="0" w:space="0" w:color="auto"/>
            <w:right w:val="none" w:sz="0" w:space="0" w:color="auto"/>
          </w:divBdr>
        </w:div>
        <w:div w:id="183712628">
          <w:marLeft w:val="0"/>
          <w:marRight w:val="0"/>
          <w:marTop w:val="0"/>
          <w:marBottom w:val="0"/>
          <w:divBdr>
            <w:top w:val="none" w:sz="0" w:space="0" w:color="auto"/>
            <w:left w:val="none" w:sz="0" w:space="0" w:color="auto"/>
            <w:bottom w:val="none" w:sz="0" w:space="0" w:color="auto"/>
            <w:right w:val="none" w:sz="0" w:space="0" w:color="auto"/>
          </w:divBdr>
        </w:div>
        <w:div w:id="300306842">
          <w:marLeft w:val="0"/>
          <w:marRight w:val="0"/>
          <w:marTop w:val="0"/>
          <w:marBottom w:val="0"/>
          <w:divBdr>
            <w:top w:val="none" w:sz="0" w:space="0" w:color="auto"/>
            <w:left w:val="none" w:sz="0" w:space="0" w:color="auto"/>
            <w:bottom w:val="none" w:sz="0" w:space="0" w:color="auto"/>
            <w:right w:val="none" w:sz="0" w:space="0" w:color="auto"/>
          </w:divBdr>
        </w:div>
        <w:div w:id="300622904">
          <w:marLeft w:val="0"/>
          <w:marRight w:val="0"/>
          <w:marTop w:val="0"/>
          <w:marBottom w:val="0"/>
          <w:divBdr>
            <w:top w:val="none" w:sz="0" w:space="0" w:color="auto"/>
            <w:left w:val="none" w:sz="0" w:space="0" w:color="auto"/>
            <w:bottom w:val="none" w:sz="0" w:space="0" w:color="auto"/>
            <w:right w:val="none" w:sz="0" w:space="0" w:color="auto"/>
          </w:divBdr>
        </w:div>
        <w:div w:id="330792359">
          <w:marLeft w:val="0"/>
          <w:marRight w:val="0"/>
          <w:marTop w:val="0"/>
          <w:marBottom w:val="0"/>
          <w:divBdr>
            <w:top w:val="none" w:sz="0" w:space="0" w:color="auto"/>
            <w:left w:val="none" w:sz="0" w:space="0" w:color="auto"/>
            <w:bottom w:val="none" w:sz="0" w:space="0" w:color="auto"/>
            <w:right w:val="none" w:sz="0" w:space="0" w:color="auto"/>
          </w:divBdr>
        </w:div>
        <w:div w:id="387458561">
          <w:marLeft w:val="0"/>
          <w:marRight w:val="0"/>
          <w:marTop w:val="0"/>
          <w:marBottom w:val="0"/>
          <w:divBdr>
            <w:top w:val="none" w:sz="0" w:space="0" w:color="auto"/>
            <w:left w:val="none" w:sz="0" w:space="0" w:color="auto"/>
            <w:bottom w:val="none" w:sz="0" w:space="0" w:color="auto"/>
            <w:right w:val="none" w:sz="0" w:space="0" w:color="auto"/>
          </w:divBdr>
        </w:div>
        <w:div w:id="516190056">
          <w:marLeft w:val="0"/>
          <w:marRight w:val="0"/>
          <w:marTop w:val="0"/>
          <w:marBottom w:val="0"/>
          <w:divBdr>
            <w:top w:val="none" w:sz="0" w:space="0" w:color="auto"/>
            <w:left w:val="none" w:sz="0" w:space="0" w:color="auto"/>
            <w:bottom w:val="none" w:sz="0" w:space="0" w:color="auto"/>
            <w:right w:val="none" w:sz="0" w:space="0" w:color="auto"/>
          </w:divBdr>
        </w:div>
        <w:div w:id="620038813">
          <w:marLeft w:val="0"/>
          <w:marRight w:val="0"/>
          <w:marTop w:val="0"/>
          <w:marBottom w:val="0"/>
          <w:divBdr>
            <w:top w:val="none" w:sz="0" w:space="0" w:color="auto"/>
            <w:left w:val="none" w:sz="0" w:space="0" w:color="auto"/>
            <w:bottom w:val="none" w:sz="0" w:space="0" w:color="auto"/>
            <w:right w:val="none" w:sz="0" w:space="0" w:color="auto"/>
          </w:divBdr>
        </w:div>
        <w:div w:id="962805204">
          <w:marLeft w:val="0"/>
          <w:marRight w:val="0"/>
          <w:marTop w:val="0"/>
          <w:marBottom w:val="0"/>
          <w:divBdr>
            <w:top w:val="none" w:sz="0" w:space="0" w:color="auto"/>
            <w:left w:val="none" w:sz="0" w:space="0" w:color="auto"/>
            <w:bottom w:val="none" w:sz="0" w:space="0" w:color="auto"/>
            <w:right w:val="none" w:sz="0" w:space="0" w:color="auto"/>
          </w:divBdr>
        </w:div>
        <w:div w:id="1070809442">
          <w:marLeft w:val="0"/>
          <w:marRight w:val="0"/>
          <w:marTop w:val="0"/>
          <w:marBottom w:val="0"/>
          <w:divBdr>
            <w:top w:val="none" w:sz="0" w:space="0" w:color="auto"/>
            <w:left w:val="none" w:sz="0" w:space="0" w:color="auto"/>
            <w:bottom w:val="none" w:sz="0" w:space="0" w:color="auto"/>
            <w:right w:val="none" w:sz="0" w:space="0" w:color="auto"/>
          </w:divBdr>
        </w:div>
        <w:div w:id="1306621617">
          <w:marLeft w:val="0"/>
          <w:marRight w:val="0"/>
          <w:marTop w:val="0"/>
          <w:marBottom w:val="0"/>
          <w:divBdr>
            <w:top w:val="none" w:sz="0" w:space="0" w:color="auto"/>
            <w:left w:val="none" w:sz="0" w:space="0" w:color="auto"/>
            <w:bottom w:val="none" w:sz="0" w:space="0" w:color="auto"/>
            <w:right w:val="none" w:sz="0" w:space="0" w:color="auto"/>
          </w:divBdr>
        </w:div>
        <w:div w:id="1391536560">
          <w:marLeft w:val="0"/>
          <w:marRight w:val="0"/>
          <w:marTop w:val="0"/>
          <w:marBottom w:val="0"/>
          <w:divBdr>
            <w:top w:val="none" w:sz="0" w:space="0" w:color="auto"/>
            <w:left w:val="none" w:sz="0" w:space="0" w:color="auto"/>
            <w:bottom w:val="none" w:sz="0" w:space="0" w:color="auto"/>
            <w:right w:val="none" w:sz="0" w:space="0" w:color="auto"/>
          </w:divBdr>
        </w:div>
        <w:div w:id="1471288133">
          <w:marLeft w:val="0"/>
          <w:marRight w:val="0"/>
          <w:marTop w:val="0"/>
          <w:marBottom w:val="0"/>
          <w:divBdr>
            <w:top w:val="none" w:sz="0" w:space="0" w:color="auto"/>
            <w:left w:val="none" w:sz="0" w:space="0" w:color="auto"/>
            <w:bottom w:val="none" w:sz="0" w:space="0" w:color="auto"/>
            <w:right w:val="none" w:sz="0" w:space="0" w:color="auto"/>
          </w:divBdr>
        </w:div>
        <w:div w:id="1653371351">
          <w:marLeft w:val="0"/>
          <w:marRight w:val="0"/>
          <w:marTop w:val="0"/>
          <w:marBottom w:val="0"/>
          <w:divBdr>
            <w:top w:val="none" w:sz="0" w:space="0" w:color="auto"/>
            <w:left w:val="none" w:sz="0" w:space="0" w:color="auto"/>
            <w:bottom w:val="none" w:sz="0" w:space="0" w:color="auto"/>
            <w:right w:val="none" w:sz="0" w:space="0" w:color="auto"/>
          </w:divBdr>
        </w:div>
        <w:div w:id="2113743395">
          <w:marLeft w:val="0"/>
          <w:marRight w:val="0"/>
          <w:marTop w:val="0"/>
          <w:marBottom w:val="0"/>
          <w:divBdr>
            <w:top w:val="none" w:sz="0" w:space="0" w:color="auto"/>
            <w:left w:val="none" w:sz="0" w:space="0" w:color="auto"/>
            <w:bottom w:val="none" w:sz="0" w:space="0" w:color="auto"/>
            <w:right w:val="none" w:sz="0" w:space="0" w:color="auto"/>
          </w:divBdr>
        </w:div>
        <w:div w:id="2144496950">
          <w:marLeft w:val="0"/>
          <w:marRight w:val="0"/>
          <w:marTop w:val="0"/>
          <w:marBottom w:val="0"/>
          <w:divBdr>
            <w:top w:val="none" w:sz="0" w:space="0" w:color="auto"/>
            <w:left w:val="none" w:sz="0" w:space="0" w:color="auto"/>
            <w:bottom w:val="none" w:sz="0" w:space="0" w:color="auto"/>
            <w:right w:val="none" w:sz="0" w:space="0" w:color="auto"/>
          </w:divBdr>
        </w:div>
      </w:divsChild>
    </w:div>
    <w:div w:id="1061751893">
      <w:bodyDiv w:val="1"/>
      <w:marLeft w:val="0"/>
      <w:marRight w:val="0"/>
      <w:marTop w:val="0"/>
      <w:marBottom w:val="0"/>
      <w:divBdr>
        <w:top w:val="none" w:sz="0" w:space="0" w:color="auto"/>
        <w:left w:val="none" w:sz="0" w:space="0" w:color="auto"/>
        <w:bottom w:val="none" w:sz="0" w:space="0" w:color="auto"/>
        <w:right w:val="none" w:sz="0" w:space="0" w:color="auto"/>
      </w:divBdr>
      <w:divsChild>
        <w:div w:id="146216022">
          <w:marLeft w:val="0"/>
          <w:marRight w:val="0"/>
          <w:marTop w:val="0"/>
          <w:marBottom w:val="0"/>
          <w:divBdr>
            <w:top w:val="none" w:sz="0" w:space="0" w:color="auto"/>
            <w:left w:val="none" w:sz="0" w:space="0" w:color="auto"/>
            <w:bottom w:val="none" w:sz="0" w:space="0" w:color="auto"/>
            <w:right w:val="none" w:sz="0" w:space="0" w:color="auto"/>
          </w:divBdr>
        </w:div>
        <w:div w:id="176582943">
          <w:marLeft w:val="0"/>
          <w:marRight w:val="0"/>
          <w:marTop w:val="0"/>
          <w:marBottom w:val="0"/>
          <w:divBdr>
            <w:top w:val="none" w:sz="0" w:space="0" w:color="auto"/>
            <w:left w:val="none" w:sz="0" w:space="0" w:color="auto"/>
            <w:bottom w:val="none" w:sz="0" w:space="0" w:color="auto"/>
            <w:right w:val="none" w:sz="0" w:space="0" w:color="auto"/>
          </w:divBdr>
          <w:divsChild>
            <w:div w:id="1105425364">
              <w:marLeft w:val="0"/>
              <w:marRight w:val="0"/>
              <w:marTop w:val="0"/>
              <w:marBottom w:val="0"/>
              <w:divBdr>
                <w:top w:val="none" w:sz="0" w:space="0" w:color="auto"/>
                <w:left w:val="none" w:sz="0" w:space="0" w:color="auto"/>
                <w:bottom w:val="none" w:sz="0" w:space="0" w:color="auto"/>
                <w:right w:val="none" w:sz="0" w:space="0" w:color="auto"/>
              </w:divBdr>
            </w:div>
            <w:div w:id="1120607437">
              <w:marLeft w:val="0"/>
              <w:marRight w:val="0"/>
              <w:marTop w:val="0"/>
              <w:marBottom w:val="0"/>
              <w:divBdr>
                <w:top w:val="none" w:sz="0" w:space="0" w:color="auto"/>
                <w:left w:val="none" w:sz="0" w:space="0" w:color="auto"/>
                <w:bottom w:val="none" w:sz="0" w:space="0" w:color="auto"/>
                <w:right w:val="none" w:sz="0" w:space="0" w:color="auto"/>
              </w:divBdr>
            </w:div>
            <w:div w:id="1218396757">
              <w:marLeft w:val="0"/>
              <w:marRight w:val="0"/>
              <w:marTop w:val="0"/>
              <w:marBottom w:val="0"/>
              <w:divBdr>
                <w:top w:val="none" w:sz="0" w:space="0" w:color="auto"/>
                <w:left w:val="none" w:sz="0" w:space="0" w:color="auto"/>
                <w:bottom w:val="none" w:sz="0" w:space="0" w:color="auto"/>
                <w:right w:val="none" w:sz="0" w:space="0" w:color="auto"/>
              </w:divBdr>
            </w:div>
            <w:div w:id="2113549633">
              <w:marLeft w:val="0"/>
              <w:marRight w:val="0"/>
              <w:marTop w:val="0"/>
              <w:marBottom w:val="0"/>
              <w:divBdr>
                <w:top w:val="none" w:sz="0" w:space="0" w:color="auto"/>
                <w:left w:val="none" w:sz="0" w:space="0" w:color="auto"/>
                <w:bottom w:val="none" w:sz="0" w:space="0" w:color="auto"/>
                <w:right w:val="none" w:sz="0" w:space="0" w:color="auto"/>
              </w:divBdr>
            </w:div>
          </w:divsChild>
        </w:div>
        <w:div w:id="753403498">
          <w:marLeft w:val="0"/>
          <w:marRight w:val="0"/>
          <w:marTop w:val="0"/>
          <w:marBottom w:val="0"/>
          <w:divBdr>
            <w:top w:val="none" w:sz="0" w:space="0" w:color="auto"/>
            <w:left w:val="none" w:sz="0" w:space="0" w:color="auto"/>
            <w:bottom w:val="none" w:sz="0" w:space="0" w:color="auto"/>
            <w:right w:val="none" w:sz="0" w:space="0" w:color="auto"/>
          </w:divBdr>
        </w:div>
        <w:div w:id="1006133750">
          <w:marLeft w:val="0"/>
          <w:marRight w:val="0"/>
          <w:marTop w:val="0"/>
          <w:marBottom w:val="0"/>
          <w:divBdr>
            <w:top w:val="none" w:sz="0" w:space="0" w:color="auto"/>
            <w:left w:val="none" w:sz="0" w:space="0" w:color="auto"/>
            <w:bottom w:val="none" w:sz="0" w:space="0" w:color="auto"/>
            <w:right w:val="none" w:sz="0" w:space="0" w:color="auto"/>
          </w:divBdr>
        </w:div>
        <w:div w:id="1338852343">
          <w:marLeft w:val="0"/>
          <w:marRight w:val="0"/>
          <w:marTop w:val="0"/>
          <w:marBottom w:val="0"/>
          <w:divBdr>
            <w:top w:val="none" w:sz="0" w:space="0" w:color="auto"/>
            <w:left w:val="none" w:sz="0" w:space="0" w:color="auto"/>
            <w:bottom w:val="none" w:sz="0" w:space="0" w:color="auto"/>
            <w:right w:val="none" w:sz="0" w:space="0" w:color="auto"/>
          </w:divBdr>
        </w:div>
        <w:div w:id="1357273073">
          <w:marLeft w:val="0"/>
          <w:marRight w:val="0"/>
          <w:marTop w:val="0"/>
          <w:marBottom w:val="0"/>
          <w:divBdr>
            <w:top w:val="none" w:sz="0" w:space="0" w:color="auto"/>
            <w:left w:val="none" w:sz="0" w:space="0" w:color="auto"/>
            <w:bottom w:val="none" w:sz="0" w:space="0" w:color="auto"/>
            <w:right w:val="none" w:sz="0" w:space="0" w:color="auto"/>
          </w:divBdr>
          <w:divsChild>
            <w:div w:id="751005772">
              <w:marLeft w:val="0"/>
              <w:marRight w:val="0"/>
              <w:marTop w:val="0"/>
              <w:marBottom w:val="0"/>
              <w:divBdr>
                <w:top w:val="none" w:sz="0" w:space="0" w:color="auto"/>
                <w:left w:val="none" w:sz="0" w:space="0" w:color="auto"/>
                <w:bottom w:val="none" w:sz="0" w:space="0" w:color="auto"/>
                <w:right w:val="none" w:sz="0" w:space="0" w:color="auto"/>
              </w:divBdr>
            </w:div>
            <w:div w:id="1624993314">
              <w:marLeft w:val="0"/>
              <w:marRight w:val="0"/>
              <w:marTop w:val="0"/>
              <w:marBottom w:val="0"/>
              <w:divBdr>
                <w:top w:val="none" w:sz="0" w:space="0" w:color="auto"/>
                <w:left w:val="none" w:sz="0" w:space="0" w:color="auto"/>
                <w:bottom w:val="none" w:sz="0" w:space="0" w:color="auto"/>
                <w:right w:val="none" w:sz="0" w:space="0" w:color="auto"/>
              </w:divBdr>
            </w:div>
            <w:div w:id="1984581716">
              <w:marLeft w:val="0"/>
              <w:marRight w:val="0"/>
              <w:marTop w:val="0"/>
              <w:marBottom w:val="0"/>
              <w:divBdr>
                <w:top w:val="none" w:sz="0" w:space="0" w:color="auto"/>
                <w:left w:val="none" w:sz="0" w:space="0" w:color="auto"/>
                <w:bottom w:val="none" w:sz="0" w:space="0" w:color="auto"/>
                <w:right w:val="none" w:sz="0" w:space="0" w:color="auto"/>
              </w:divBdr>
            </w:div>
          </w:divsChild>
        </w:div>
        <w:div w:id="1682849426">
          <w:marLeft w:val="0"/>
          <w:marRight w:val="0"/>
          <w:marTop w:val="0"/>
          <w:marBottom w:val="0"/>
          <w:divBdr>
            <w:top w:val="none" w:sz="0" w:space="0" w:color="auto"/>
            <w:left w:val="none" w:sz="0" w:space="0" w:color="auto"/>
            <w:bottom w:val="none" w:sz="0" w:space="0" w:color="auto"/>
            <w:right w:val="none" w:sz="0" w:space="0" w:color="auto"/>
          </w:divBdr>
          <w:divsChild>
            <w:div w:id="391462430">
              <w:marLeft w:val="0"/>
              <w:marRight w:val="0"/>
              <w:marTop w:val="0"/>
              <w:marBottom w:val="0"/>
              <w:divBdr>
                <w:top w:val="none" w:sz="0" w:space="0" w:color="auto"/>
                <w:left w:val="none" w:sz="0" w:space="0" w:color="auto"/>
                <w:bottom w:val="none" w:sz="0" w:space="0" w:color="auto"/>
                <w:right w:val="none" w:sz="0" w:space="0" w:color="auto"/>
              </w:divBdr>
            </w:div>
            <w:div w:id="1389572913">
              <w:marLeft w:val="0"/>
              <w:marRight w:val="0"/>
              <w:marTop w:val="0"/>
              <w:marBottom w:val="0"/>
              <w:divBdr>
                <w:top w:val="none" w:sz="0" w:space="0" w:color="auto"/>
                <w:left w:val="none" w:sz="0" w:space="0" w:color="auto"/>
                <w:bottom w:val="none" w:sz="0" w:space="0" w:color="auto"/>
                <w:right w:val="none" w:sz="0" w:space="0" w:color="auto"/>
              </w:divBdr>
            </w:div>
            <w:div w:id="1785076520">
              <w:marLeft w:val="0"/>
              <w:marRight w:val="0"/>
              <w:marTop w:val="0"/>
              <w:marBottom w:val="0"/>
              <w:divBdr>
                <w:top w:val="none" w:sz="0" w:space="0" w:color="auto"/>
                <w:left w:val="none" w:sz="0" w:space="0" w:color="auto"/>
                <w:bottom w:val="none" w:sz="0" w:space="0" w:color="auto"/>
                <w:right w:val="none" w:sz="0" w:space="0" w:color="auto"/>
              </w:divBdr>
            </w:div>
          </w:divsChild>
        </w:div>
        <w:div w:id="1841192901">
          <w:marLeft w:val="0"/>
          <w:marRight w:val="0"/>
          <w:marTop w:val="0"/>
          <w:marBottom w:val="0"/>
          <w:divBdr>
            <w:top w:val="none" w:sz="0" w:space="0" w:color="auto"/>
            <w:left w:val="none" w:sz="0" w:space="0" w:color="auto"/>
            <w:bottom w:val="none" w:sz="0" w:space="0" w:color="auto"/>
            <w:right w:val="none" w:sz="0" w:space="0" w:color="auto"/>
          </w:divBdr>
        </w:div>
        <w:div w:id="1900050229">
          <w:marLeft w:val="0"/>
          <w:marRight w:val="0"/>
          <w:marTop w:val="0"/>
          <w:marBottom w:val="0"/>
          <w:divBdr>
            <w:top w:val="none" w:sz="0" w:space="0" w:color="auto"/>
            <w:left w:val="none" w:sz="0" w:space="0" w:color="auto"/>
            <w:bottom w:val="none" w:sz="0" w:space="0" w:color="auto"/>
            <w:right w:val="none" w:sz="0" w:space="0" w:color="auto"/>
          </w:divBdr>
          <w:divsChild>
            <w:div w:id="1402100919">
              <w:marLeft w:val="0"/>
              <w:marRight w:val="0"/>
              <w:marTop w:val="0"/>
              <w:marBottom w:val="0"/>
              <w:divBdr>
                <w:top w:val="none" w:sz="0" w:space="0" w:color="auto"/>
                <w:left w:val="none" w:sz="0" w:space="0" w:color="auto"/>
                <w:bottom w:val="none" w:sz="0" w:space="0" w:color="auto"/>
                <w:right w:val="none" w:sz="0" w:space="0" w:color="auto"/>
              </w:divBdr>
            </w:div>
          </w:divsChild>
        </w:div>
        <w:div w:id="1924728241">
          <w:marLeft w:val="0"/>
          <w:marRight w:val="0"/>
          <w:marTop w:val="0"/>
          <w:marBottom w:val="0"/>
          <w:divBdr>
            <w:top w:val="none" w:sz="0" w:space="0" w:color="auto"/>
            <w:left w:val="none" w:sz="0" w:space="0" w:color="auto"/>
            <w:bottom w:val="none" w:sz="0" w:space="0" w:color="auto"/>
            <w:right w:val="none" w:sz="0" w:space="0" w:color="auto"/>
          </w:divBdr>
          <w:divsChild>
            <w:div w:id="402143936">
              <w:marLeft w:val="0"/>
              <w:marRight w:val="0"/>
              <w:marTop w:val="0"/>
              <w:marBottom w:val="0"/>
              <w:divBdr>
                <w:top w:val="none" w:sz="0" w:space="0" w:color="auto"/>
                <w:left w:val="none" w:sz="0" w:space="0" w:color="auto"/>
                <w:bottom w:val="none" w:sz="0" w:space="0" w:color="auto"/>
                <w:right w:val="none" w:sz="0" w:space="0" w:color="auto"/>
              </w:divBdr>
            </w:div>
            <w:div w:id="1238129240">
              <w:marLeft w:val="0"/>
              <w:marRight w:val="0"/>
              <w:marTop w:val="0"/>
              <w:marBottom w:val="0"/>
              <w:divBdr>
                <w:top w:val="none" w:sz="0" w:space="0" w:color="auto"/>
                <w:left w:val="none" w:sz="0" w:space="0" w:color="auto"/>
                <w:bottom w:val="none" w:sz="0" w:space="0" w:color="auto"/>
                <w:right w:val="none" w:sz="0" w:space="0" w:color="auto"/>
              </w:divBdr>
            </w:div>
          </w:divsChild>
        </w:div>
        <w:div w:id="1960647338">
          <w:marLeft w:val="0"/>
          <w:marRight w:val="0"/>
          <w:marTop w:val="0"/>
          <w:marBottom w:val="0"/>
          <w:divBdr>
            <w:top w:val="none" w:sz="0" w:space="0" w:color="auto"/>
            <w:left w:val="none" w:sz="0" w:space="0" w:color="auto"/>
            <w:bottom w:val="none" w:sz="0" w:space="0" w:color="auto"/>
            <w:right w:val="none" w:sz="0" w:space="0" w:color="auto"/>
          </w:divBdr>
        </w:div>
        <w:div w:id="2076664729">
          <w:marLeft w:val="0"/>
          <w:marRight w:val="0"/>
          <w:marTop w:val="0"/>
          <w:marBottom w:val="0"/>
          <w:divBdr>
            <w:top w:val="none" w:sz="0" w:space="0" w:color="auto"/>
            <w:left w:val="none" w:sz="0" w:space="0" w:color="auto"/>
            <w:bottom w:val="none" w:sz="0" w:space="0" w:color="auto"/>
            <w:right w:val="none" w:sz="0" w:space="0" w:color="auto"/>
          </w:divBdr>
        </w:div>
        <w:div w:id="2143763759">
          <w:marLeft w:val="0"/>
          <w:marRight w:val="0"/>
          <w:marTop w:val="0"/>
          <w:marBottom w:val="0"/>
          <w:divBdr>
            <w:top w:val="none" w:sz="0" w:space="0" w:color="auto"/>
            <w:left w:val="none" w:sz="0" w:space="0" w:color="auto"/>
            <w:bottom w:val="none" w:sz="0" w:space="0" w:color="auto"/>
            <w:right w:val="none" w:sz="0" w:space="0" w:color="auto"/>
          </w:divBdr>
          <w:divsChild>
            <w:div w:id="16737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5138">
      <w:bodyDiv w:val="1"/>
      <w:marLeft w:val="0"/>
      <w:marRight w:val="0"/>
      <w:marTop w:val="0"/>
      <w:marBottom w:val="0"/>
      <w:divBdr>
        <w:top w:val="none" w:sz="0" w:space="0" w:color="auto"/>
        <w:left w:val="none" w:sz="0" w:space="0" w:color="auto"/>
        <w:bottom w:val="none" w:sz="0" w:space="0" w:color="auto"/>
        <w:right w:val="none" w:sz="0" w:space="0" w:color="auto"/>
      </w:divBdr>
    </w:div>
    <w:div w:id="1092704289">
      <w:bodyDiv w:val="1"/>
      <w:marLeft w:val="0"/>
      <w:marRight w:val="0"/>
      <w:marTop w:val="0"/>
      <w:marBottom w:val="0"/>
      <w:divBdr>
        <w:top w:val="none" w:sz="0" w:space="0" w:color="auto"/>
        <w:left w:val="none" w:sz="0" w:space="0" w:color="auto"/>
        <w:bottom w:val="none" w:sz="0" w:space="0" w:color="auto"/>
        <w:right w:val="none" w:sz="0" w:space="0" w:color="auto"/>
      </w:divBdr>
    </w:div>
    <w:div w:id="1100220072">
      <w:bodyDiv w:val="1"/>
      <w:marLeft w:val="0"/>
      <w:marRight w:val="0"/>
      <w:marTop w:val="0"/>
      <w:marBottom w:val="0"/>
      <w:divBdr>
        <w:top w:val="none" w:sz="0" w:space="0" w:color="auto"/>
        <w:left w:val="none" w:sz="0" w:space="0" w:color="auto"/>
        <w:bottom w:val="none" w:sz="0" w:space="0" w:color="auto"/>
        <w:right w:val="none" w:sz="0" w:space="0" w:color="auto"/>
      </w:divBdr>
      <w:divsChild>
        <w:div w:id="158430545">
          <w:marLeft w:val="0"/>
          <w:marRight w:val="0"/>
          <w:marTop w:val="0"/>
          <w:marBottom w:val="0"/>
          <w:divBdr>
            <w:top w:val="none" w:sz="0" w:space="0" w:color="auto"/>
            <w:left w:val="none" w:sz="0" w:space="0" w:color="auto"/>
            <w:bottom w:val="none" w:sz="0" w:space="0" w:color="auto"/>
            <w:right w:val="none" w:sz="0" w:space="0" w:color="auto"/>
          </w:divBdr>
        </w:div>
        <w:div w:id="1332180253">
          <w:marLeft w:val="0"/>
          <w:marRight w:val="0"/>
          <w:marTop w:val="0"/>
          <w:marBottom w:val="0"/>
          <w:divBdr>
            <w:top w:val="none" w:sz="0" w:space="0" w:color="auto"/>
            <w:left w:val="none" w:sz="0" w:space="0" w:color="auto"/>
            <w:bottom w:val="none" w:sz="0" w:space="0" w:color="auto"/>
            <w:right w:val="none" w:sz="0" w:space="0" w:color="auto"/>
          </w:divBdr>
        </w:div>
      </w:divsChild>
    </w:div>
    <w:div w:id="1265455863">
      <w:bodyDiv w:val="1"/>
      <w:marLeft w:val="0"/>
      <w:marRight w:val="0"/>
      <w:marTop w:val="0"/>
      <w:marBottom w:val="0"/>
      <w:divBdr>
        <w:top w:val="none" w:sz="0" w:space="0" w:color="auto"/>
        <w:left w:val="none" w:sz="0" w:space="0" w:color="auto"/>
        <w:bottom w:val="none" w:sz="0" w:space="0" w:color="auto"/>
        <w:right w:val="none" w:sz="0" w:space="0" w:color="auto"/>
      </w:divBdr>
    </w:div>
    <w:div w:id="1325619524">
      <w:bodyDiv w:val="1"/>
      <w:marLeft w:val="0"/>
      <w:marRight w:val="0"/>
      <w:marTop w:val="0"/>
      <w:marBottom w:val="0"/>
      <w:divBdr>
        <w:top w:val="none" w:sz="0" w:space="0" w:color="auto"/>
        <w:left w:val="none" w:sz="0" w:space="0" w:color="auto"/>
        <w:bottom w:val="none" w:sz="0" w:space="0" w:color="auto"/>
        <w:right w:val="none" w:sz="0" w:space="0" w:color="auto"/>
      </w:divBdr>
    </w:div>
    <w:div w:id="1382898593">
      <w:bodyDiv w:val="1"/>
      <w:marLeft w:val="0"/>
      <w:marRight w:val="0"/>
      <w:marTop w:val="0"/>
      <w:marBottom w:val="0"/>
      <w:divBdr>
        <w:top w:val="none" w:sz="0" w:space="0" w:color="auto"/>
        <w:left w:val="none" w:sz="0" w:space="0" w:color="auto"/>
        <w:bottom w:val="none" w:sz="0" w:space="0" w:color="auto"/>
        <w:right w:val="none" w:sz="0" w:space="0" w:color="auto"/>
      </w:divBdr>
    </w:div>
    <w:div w:id="1393389096">
      <w:bodyDiv w:val="1"/>
      <w:marLeft w:val="0"/>
      <w:marRight w:val="0"/>
      <w:marTop w:val="0"/>
      <w:marBottom w:val="0"/>
      <w:divBdr>
        <w:top w:val="none" w:sz="0" w:space="0" w:color="auto"/>
        <w:left w:val="none" w:sz="0" w:space="0" w:color="auto"/>
        <w:bottom w:val="none" w:sz="0" w:space="0" w:color="auto"/>
        <w:right w:val="none" w:sz="0" w:space="0" w:color="auto"/>
      </w:divBdr>
    </w:div>
    <w:div w:id="1400862304">
      <w:bodyDiv w:val="1"/>
      <w:marLeft w:val="0"/>
      <w:marRight w:val="0"/>
      <w:marTop w:val="0"/>
      <w:marBottom w:val="0"/>
      <w:divBdr>
        <w:top w:val="none" w:sz="0" w:space="0" w:color="auto"/>
        <w:left w:val="none" w:sz="0" w:space="0" w:color="auto"/>
        <w:bottom w:val="none" w:sz="0" w:space="0" w:color="auto"/>
        <w:right w:val="none" w:sz="0" w:space="0" w:color="auto"/>
      </w:divBdr>
    </w:div>
    <w:div w:id="1435323038">
      <w:bodyDiv w:val="1"/>
      <w:marLeft w:val="0"/>
      <w:marRight w:val="0"/>
      <w:marTop w:val="0"/>
      <w:marBottom w:val="0"/>
      <w:divBdr>
        <w:top w:val="none" w:sz="0" w:space="0" w:color="auto"/>
        <w:left w:val="none" w:sz="0" w:space="0" w:color="auto"/>
        <w:bottom w:val="none" w:sz="0" w:space="0" w:color="auto"/>
        <w:right w:val="none" w:sz="0" w:space="0" w:color="auto"/>
      </w:divBdr>
    </w:div>
    <w:div w:id="1440956067">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543518304">
      <w:bodyDiv w:val="1"/>
      <w:marLeft w:val="0"/>
      <w:marRight w:val="0"/>
      <w:marTop w:val="0"/>
      <w:marBottom w:val="0"/>
      <w:divBdr>
        <w:top w:val="none" w:sz="0" w:space="0" w:color="auto"/>
        <w:left w:val="none" w:sz="0" w:space="0" w:color="auto"/>
        <w:bottom w:val="none" w:sz="0" w:space="0" w:color="auto"/>
        <w:right w:val="none" w:sz="0" w:space="0" w:color="auto"/>
      </w:divBdr>
      <w:divsChild>
        <w:div w:id="69426595">
          <w:marLeft w:val="0"/>
          <w:marRight w:val="0"/>
          <w:marTop w:val="0"/>
          <w:marBottom w:val="0"/>
          <w:divBdr>
            <w:top w:val="none" w:sz="0" w:space="0" w:color="auto"/>
            <w:left w:val="none" w:sz="0" w:space="0" w:color="auto"/>
            <w:bottom w:val="none" w:sz="0" w:space="0" w:color="auto"/>
            <w:right w:val="none" w:sz="0" w:space="0" w:color="auto"/>
          </w:divBdr>
        </w:div>
        <w:div w:id="235676821">
          <w:marLeft w:val="0"/>
          <w:marRight w:val="0"/>
          <w:marTop w:val="0"/>
          <w:marBottom w:val="0"/>
          <w:divBdr>
            <w:top w:val="none" w:sz="0" w:space="0" w:color="auto"/>
            <w:left w:val="none" w:sz="0" w:space="0" w:color="auto"/>
            <w:bottom w:val="none" w:sz="0" w:space="0" w:color="auto"/>
            <w:right w:val="none" w:sz="0" w:space="0" w:color="auto"/>
          </w:divBdr>
        </w:div>
        <w:div w:id="969895777">
          <w:marLeft w:val="0"/>
          <w:marRight w:val="0"/>
          <w:marTop w:val="0"/>
          <w:marBottom w:val="0"/>
          <w:divBdr>
            <w:top w:val="none" w:sz="0" w:space="0" w:color="auto"/>
            <w:left w:val="none" w:sz="0" w:space="0" w:color="auto"/>
            <w:bottom w:val="none" w:sz="0" w:space="0" w:color="auto"/>
            <w:right w:val="none" w:sz="0" w:space="0" w:color="auto"/>
          </w:divBdr>
        </w:div>
        <w:div w:id="1219585953">
          <w:marLeft w:val="0"/>
          <w:marRight w:val="0"/>
          <w:marTop w:val="0"/>
          <w:marBottom w:val="0"/>
          <w:divBdr>
            <w:top w:val="none" w:sz="0" w:space="0" w:color="auto"/>
            <w:left w:val="none" w:sz="0" w:space="0" w:color="auto"/>
            <w:bottom w:val="none" w:sz="0" w:space="0" w:color="auto"/>
            <w:right w:val="none" w:sz="0" w:space="0" w:color="auto"/>
          </w:divBdr>
        </w:div>
        <w:div w:id="1410301449">
          <w:marLeft w:val="0"/>
          <w:marRight w:val="0"/>
          <w:marTop w:val="0"/>
          <w:marBottom w:val="0"/>
          <w:divBdr>
            <w:top w:val="none" w:sz="0" w:space="0" w:color="auto"/>
            <w:left w:val="none" w:sz="0" w:space="0" w:color="auto"/>
            <w:bottom w:val="none" w:sz="0" w:space="0" w:color="auto"/>
            <w:right w:val="none" w:sz="0" w:space="0" w:color="auto"/>
          </w:divBdr>
          <w:divsChild>
            <w:div w:id="1487670006">
              <w:marLeft w:val="0"/>
              <w:marRight w:val="0"/>
              <w:marTop w:val="0"/>
              <w:marBottom w:val="0"/>
              <w:divBdr>
                <w:top w:val="none" w:sz="0" w:space="0" w:color="auto"/>
                <w:left w:val="none" w:sz="0" w:space="0" w:color="auto"/>
                <w:bottom w:val="none" w:sz="0" w:space="0" w:color="auto"/>
                <w:right w:val="none" w:sz="0" w:space="0" w:color="auto"/>
              </w:divBdr>
            </w:div>
            <w:div w:id="1619532731">
              <w:marLeft w:val="0"/>
              <w:marRight w:val="0"/>
              <w:marTop w:val="0"/>
              <w:marBottom w:val="0"/>
              <w:divBdr>
                <w:top w:val="none" w:sz="0" w:space="0" w:color="auto"/>
                <w:left w:val="none" w:sz="0" w:space="0" w:color="auto"/>
                <w:bottom w:val="none" w:sz="0" w:space="0" w:color="auto"/>
                <w:right w:val="none" w:sz="0" w:space="0" w:color="auto"/>
              </w:divBdr>
            </w:div>
            <w:div w:id="2041776174">
              <w:marLeft w:val="0"/>
              <w:marRight w:val="0"/>
              <w:marTop w:val="0"/>
              <w:marBottom w:val="0"/>
              <w:divBdr>
                <w:top w:val="none" w:sz="0" w:space="0" w:color="auto"/>
                <w:left w:val="none" w:sz="0" w:space="0" w:color="auto"/>
                <w:bottom w:val="none" w:sz="0" w:space="0" w:color="auto"/>
                <w:right w:val="none" w:sz="0" w:space="0" w:color="auto"/>
              </w:divBdr>
            </w:div>
          </w:divsChild>
        </w:div>
        <w:div w:id="1438335174">
          <w:marLeft w:val="0"/>
          <w:marRight w:val="0"/>
          <w:marTop w:val="0"/>
          <w:marBottom w:val="0"/>
          <w:divBdr>
            <w:top w:val="none" w:sz="0" w:space="0" w:color="auto"/>
            <w:left w:val="none" w:sz="0" w:space="0" w:color="auto"/>
            <w:bottom w:val="none" w:sz="0" w:space="0" w:color="auto"/>
            <w:right w:val="none" w:sz="0" w:space="0" w:color="auto"/>
          </w:divBdr>
          <w:divsChild>
            <w:div w:id="1032878640">
              <w:marLeft w:val="0"/>
              <w:marRight w:val="0"/>
              <w:marTop w:val="0"/>
              <w:marBottom w:val="0"/>
              <w:divBdr>
                <w:top w:val="none" w:sz="0" w:space="0" w:color="auto"/>
                <w:left w:val="none" w:sz="0" w:space="0" w:color="auto"/>
                <w:bottom w:val="none" w:sz="0" w:space="0" w:color="auto"/>
                <w:right w:val="none" w:sz="0" w:space="0" w:color="auto"/>
              </w:divBdr>
            </w:div>
            <w:div w:id="1646009635">
              <w:marLeft w:val="0"/>
              <w:marRight w:val="0"/>
              <w:marTop w:val="0"/>
              <w:marBottom w:val="0"/>
              <w:divBdr>
                <w:top w:val="none" w:sz="0" w:space="0" w:color="auto"/>
                <w:left w:val="none" w:sz="0" w:space="0" w:color="auto"/>
                <w:bottom w:val="none" w:sz="0" w:space="0" w:color="auto"/>
                <w:right w:val="none" w:sz="0" w:space="0" w:color="auto"/>
              </w:divBdr>
            </w:div>
            <w:div w:id="1697585053">
              <w:marLeft w:val="0"/>
              <w:marRight w:val="0"/>
              <w:marTop w:val="0"/>
              <w:marBottom w:val="0"/>
              <w:divBdr>
                <w:top w:val="none" w:sz="0" w:space="0" w:color="auto"/>
                <w:left w:val="none" w:sz="0" w:space="0" w:color="auto"/>
                <w:bottom w:val="none" w:sz="0" w:space="0" w:color="auto"/>
                <w:right w:val="none" w:sz="0" w:space="0" w:color="auto"/>
              </w:divBdr>
            </w:div>
            <w:div w:id="1921715840">
              <w:marLeft w:val="0"/>
              <w:marRight w:val="0"/>
              <w:marTop w:val="0"/>
              <w:marBottom w:val="0"/>
              <w:divBdr>
                <w:top w:val="none" w:sz="0" w:space="0" w:color="auto"/>
                <w:left w:val="none" w:sz="0" w:space="0" w:color="auto"/>
                <w:bottom w:val="none" w:sz="0" w:space="0" w:color="auto"/>
                <w:right w:val="none" w:sz="0" w:space="0" w:color="auto"/>
              </w:divBdr>
            </w:div>
          </w:divsChild>
        </w:div>
        <w:div w:id="1736735076">
          <w:marLeft w:val="0"/>
          <w:marRight w:val="0"/>
          <w:marTop w:val="0"/>
          <w:marBottom w:val="0"/>
          <w:divBdr>
            <w:top w:val="none" w:sz="0" w:space="0" w:color="auto"/>
            <w:left w:val="none" w:sz="0" w:space="0" w:color="auto"/>
            <w:bottom w:val="none" w:sz="0" w:space="0" w:color="auto"/>
            <w:right w:val="none" w:sz="0" w:space="0" w:color="auto"/>
          </w:divBdr>
          <w:divsChild>
            <w:div w:id="80611489">
              <w:marLeft w:val="0"/>
              <w:marRight w:val="0"/>
              <w:marTop w:val="0"/>
              <w:marBottom w:val="0"/>
              <w:divBdr>
                <w:top w:val="none" w:sz="0" w:space="0" w:color="auto"/>
                <w:left w:val="none" w:sz="0" w:space="0" w:color="auto"/>
                <w:bottom w:val="none" w:sz="0" w:space="0" w:color="auto"/>
                <w:right w:val="none" w:sz="0" w:space="0" w:color="auto"/>
              </w:divBdr>
            </w:div>
            <w:div w:id="598682533">
              <w:marLeft w:val="0"/>
              <w:marRight w:val="0"/>
              <w:marTop w:val="0"/>
              <w:marBottom w:val="0"/>
              <w:divBdr>
                <w:top w:val="none" w:sz="0" w:space="0" w:color="auto"/>
                <w:left w:val="none" w:sz="0" w:space="0" w:color="auto"/>
                <w:bottom w:val="none" w:sz="0" w:space="0" w:color="auto"/>
                <w:right w:val="none" w:sz="0" w:space="0" w:color="auto"/>
              </w:divBdr>
            </w:div>
            <w:div w:id="767194740">
              <w:marLeft w:val="0"/>
              <w:marRight w:val="0"/>
              <w:marTop w:val="0"/>
              <w:marBottom w:val="0"/>
              <w:divBdr>
                <w:top w:val="none" w:sz="0" w:space="0" w:color="auto"/>
                <w:left w:val="none" w:sz="0" w:space="0" w:color="auto"/>
                <w:bottom w:val="none" w:sz="0" w:space="0" w:color="auto"/>
                <w:right w:val="none" w:sz="0" w:space="0" w:color="auto"/>
              </w:divBdr>
            </w:div>
            <w:div w:id="1298410556">
              <w:marLeft w:val="0"/>
              <w:marRight w:val="0"/>
              <w:marTop w:val="0"/>
              <w:marBottom w:val="0"/>
              <w:divBdr>
                <w:top w:val="none" w:sz="0" w:space="0" w:color="auto"/>
                <w:left w:val="none" w:sz="0" w:space="0" w:color="auto"/>
                <w:bottom w:val="none" w:sz="0" w:space="0" w:color="auto"/>
                <w:right w:val="none" w:sz="0" w:space="0" w:color="auto"/>
              </w:divBdr>
            </w:div>
            <w:div w:id="17913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3654">
      <w:bodyDiv w:val="1"/>
      <w:marLeft w:val="0"/>
      <w:marRight w:val="0"/>
      <w:marTop w:val="0"/>
      <w:marBottom w:val="0"/>
      <w:divBdr>
        <w:top w:val="none" w:sz="0" w:space="0" w:color="auto"/>
        <w:left w:val="none" w:sz="0" w:space="0" w:color="auto"/>
        <w:bottom w:val="none" w:sz="0" w:space="0" w:color="auto"/>
        <w:right w:val="none" w:sz="0" w:space="0" w:color="auto"/>
      </w:divBdr>
      <w:divsChild>
        <w:div w:id="353611">
          <w:marLeft w:val="0"/>
          <w:marRight w:val="0"/>
          <w:marTop w:val="0"/>
          <w:marBottom w:val="0"/>
          <w:divBdr>
            <w:top w:val="none" w:sz="0" w:space="0" w:color="auto"/>
            <w:left w:val="none" w:sz="0" w:space="0" w:color="auto"/>
            <w:bottom w:val="none" w:sz="0" w:space="0" w:color="auto"/>
            <w:right w:val="none" w:sz="0" w:space="0" w:color="auto"/>
          </w:divBdr>
        </w:div>
        <w:div w:id="273752395">
          <w:marLeft w:val="0"/>
          <w:marRight w:val="0"/>
          <w:marTop w:val="0"/>
          <w:marBottom w:val="0"/>
          <w:divBdr>
            <w:top w:val="none" w:sz="0" w:space="0" w:color="auto"/>
            <w:left w:val="none" w:sz="0" w:space="0" w:color="auto"/>
            <w:bottom w:val="none" w:sz="0" w:space="0" w:color="auto"/>
            <w:right w:val="none" w:sz="0" w:space="0" w:color="auto"/>
          </w:divBdr>
        </w:div>
        <w:div w:id="425349986">
          <w:marLeft w:val="0"/>
          <w:marRight w:val="0"/>
          <w:marTop w:val="0"/>
          <w:marBottom w:val="0"/>
          <w:divBdr>
            <w:top w:val="none" w:sz="0" w:space="0" w:color="auto"/>
            <w:left w:val="none" w:sz="0" w:space="0" w:color="auto"/>
            <w:bottom w:val="none" w:sz="0" w:space="0" w:color="auto"/>
            <w:right w:val="none" w:sz="0" w:space="0" w:color="auto"/>
          </w:divBdr>
        </w:div>
        <w:div w:id="1046098900">
          <w:marLeft w:val="0"/>
          <w:marRight w:val="0"/>
          <w:marTop w:val="0"/>
          <w:marBottom w:val="0"/>
          <w:divBdr>
            <w:top w:val="none" w:sz="0" w:space="0" w:color="auto"/>
            <w:left w:val="none" w:sz="0" w:space="0" w:color="auto"/>
            <w:bottom w:val="none" w:sz="0" w:space="0" w:color="auto"/>
            <w:right w:val="none" w:sz="0" w:space="0" w:color="auto"/>
          </w:divBdr>
        </w:div>
        <w:div w:id="1586650689">
          <w:marLeft w:val="0"/>
          <w:marRight w:val="0"/>
          <w:marTop w:val="0"/>
          <w:marBottom w:val="0"/>
          <w:divBdr>
            <w:top w:val="none" w:sz="0" w:space="0" w:color="auto"/>
            <w:left w:val="none" w:sz="0" w:space="0" w:color="auto"/>
            <w:bottom w:val="none" w:sz="0" w:space="0" w:color="auto"/>
            <w:right w:val="none" w:sz="0" w:space="0" w:color="auto"/>
          </w:divBdr>
        </w:div>
      </w:divsChild>
    </w:div>
    <w:div w:id="1568879808">
      <w:bodyDiv w:val="1"/>
      <w:marLeft w:val="0"/>
      <w:marRight w:val="0"/>
      <w:marTop w:val="0"/>
      <w:marBottom w:val="0"/>
      <w:divBdr>
        <w:top w:val="none" w:sz="0" w:space="0" w:color="auto"/>
        <w:left w:val="none" w:sz="0" w:space="0" w:color="auto"/>
        <w:bottom w:val="none" w:sz="0" w:space="0" w:color="auto"/>
        <w:right w:val="none" w:sz="0" w:space="0" w:color="auto"/>
      </w:divBdr>
    </w:div>
    <w:div w:id="1614941270">
      <w:bodyDiv w:val="1"/>
      <w:marLeft w:val="0"/>
      <w:marRight w:val="0"/>
      <w:marTop w:val="0"/>
      <w:marBottom w:val="0"/>
      <w:divBdr>
        <w:top w:val="none" w:sz="0" w:space="0" w:color="auto"/>
        <w:left w:val="none" w:sz="0" w:space="0" w:color="auto"/>
        <w:bottom w:val="none" w:sz="0" w:space="0" w:color="auto"/>
        <w:right w:val="none" w:sz="0" w:space="0" w:color="auto"/>
      </w:divBdr>
      <w:divsChild>
        <w:div w:id="556166466">
          <w:marLeft w:val="0"/>
          <w:marRight w:val="0"/>
          <w:marTop w:val="0"/>
          <w:marBottom w:val="0"/>
          <w:divBdr>
            <w:top w:val="none" w:sz="0" w:space="0" w:color="auto"/>
            <w:left w:val="none" w:sz="0" w:space="0" w:color="auto"/>
            <w:bottom w:val="none" w:sz="0" w:space="0" w:color="auto"/>
            <w:right w:val="none" w:sz="0" w:space="0" w:color="auto"/>
          </w:divBdr>
        </w:div>
        <w:div w:id="1691563635">
          <w:marLeft w:val="0"/>
          <w:marRight w:val="0"/>
          <w:marTop w:val="0"/>
          <w:marBottom w:val="0"/>
          <w:divBdr>
            <w:top w:val="none" w:sz="0" w:space="0" w:color="auto"/>
            <w:left w:val="none" w:sz="0" w:space="0" w:color="auto"/>
            <w:bottom w:val="none" w:sz="0" w:space="0" w:color="auto"/>
            <w:right w:val="none" w:sz="0" w:space="0" w:color="auto"/>
          </w:divBdr>
          <w:divsChild>
            <w:div w:id="764420257">
              <w:marLeft w:val="0"/>
              <w:marRight w:val="0"/>
              <w:marTop w:val="0"/>
              <w:marBottom w:val="0"/>
              <w:divBdr>
                <w:top w:val="none" w:sz="0" w:space="0" w:color="auto"/>
                <w:left w:val="none" w:sz="0" w:space="0" w:color="auto"/>
                <w:bottom w:val="none" w:sz="0" w:space="0" w:color="auto"/>
                <w:right w:val="none" w:sz="0" w:space="0" w:color="auto"/>
              </w:divBdr>
            </w:div>
          </w:divsChild>
        </w:div>
        <w:div w:id="1766874706">
          <w:marLeft w:val="0"/>
          <w:marRight w:val="0"/>
          <w:marTop w:val="0"/>
          <w:marBottom w:val="0"/>
          <w:divBdr>
            <w:top w:val="none" w:sz="0" w:space="0" w:color="auto"/>
            <w:left w:val="none" w:sz="0" w:space="0" w:color="auto"/>
            <w:bottom w:val="none" w:sz="0" w:space="0" w:color="auto"/>
            <w:right w:val="none" w:sz="0" w:space="0" w:color="auto"/>
          </w:divBdr>
        </w:div>
      </w:divsChild>
    </w:div>
    <w:div w:id="1660690830">
      <w:bodyDiv w:val="1"/>
      <w:marLeft w:val="0"/>
      <w:marRight w:val="0"/>
      <w:marTop w:val="0"/>
      <w:marBottom w:val="0"/>
      <w:divBdr>
        <w:top w:val="none" w:sz="0" w:space="0" w:color="auto"/>
        <w:left w:val="none" w:sz="0" w:space="0" w:color="auto"/>
        <w:bottom w:val="none" w:sz="0" w:space="0" w:color="auto"/>
        <w:right w:val="none" w:sz="0" w:space="0" w:color="auto"/>
      </w:divBdr>
    </w:div>
    <w:div w:id="1701007068">
      <w:bodyDiv w:val="1"/>
      <w:marLeft w:val="0"/>
      <w:marRight w:val="0"/>
      <w:marTop w:val="0"/>
      <w:marBottom w:val="0"/>
      <w:divBdr>
        <w:top w:val="none" w:sz="0" w:space="0" w:color="auto"/>
        <w:left w:val="none" w:sz="0" w:space="0" w:color="auto"/>
        <w:bottom w:val="none" w:sz="0" w:space="0" w:color="auto"/>
        <w:right w:val="none" w:sz="0" w:space="0" w:color="auto"/>
      </w:divBdr>
    </w:div>
    <w:div w:id="1723752672">
      <w:bodyDiv w:val="1"/>
      <w:marLeft w:val="0"/>
      <w:marRight w:val="0"/>
      <w:marTop w:val="0"/>
      <w:marBottom w:val="0"/>
      <w:divBdr>
        <w:top w:val="none" w:sz="0" w:space="0" w:color="auto"/>
        <w:left w:val="none" w:sz="0" w:space="0" w:color="auto"/>
        <w:bottom w:val="none" w:sz="0" w:space="0" w:color="auto"/>
        <w:right w:val="none" w:sz="0" w:space="0" w:color="auto"/>
      </w:divBdr>
      <w:divsChild>
        <w:div w:id="112872519">
          <w:marLeft w:val="0"/>
          <w:marRight w:val="0"/>
          <w:marTop w:val="0"/>
          <w:marBottom w:val="0"/>
          <w:divBdr>
            <w:top w:val="none" w:sz="0" w:space="0" w:color="auto"/>
            <w:left w:val="none" w:sz="0" w:space="0" w:color="auto"/>
            <w:bottom w:val="none" w:sz="0" w:space="0" w:color="auto"/>
            <w:right w:val="none" w:sz="0" w:space="0" w:color="auto"/>
          </w:divBdr>
        </w:div>
        <w:div w:id="118494974">
          <w:marLeft w:val="0"/>
          <w:marRight w:val="0"/>
          <w:marTop w:val="0"/>
          <w:marBottom w:val="0"/>
          <w:divBdr>
            <w:top w:val="none" w:sz="0" w:space="0" w:color="auto"/>
            <w:left w:val="none" w:sz="0" w:space="0" w:color="auto"/>
            <w:bottom w:val="none" w:sz="0" w:space="0" w:color="auto"/>
            <w:right w:val="none" w:sz="0" w:space="0" w:color="auto"/>
          </w:divBdr>
        </w:div>
        <w:div w:id="134223736">
          <w:marLeft w:val="0"/>
          <w:marRight w:val="0"/>
          <w:marTop w:val="0"/>
          <w:marBottom w:val="0"/>
          <w:divBdr>
            <w:top w:val="none" w:sz="0" w:space="0" w:color="auto"/>
            <w:left w:val="none" w:sz="0" w:space="0" w:color="auto"/>
            <w:bottom w:val="none" w:sz="0" w:space="0" w:color="auto"/>
            <w:right w:val="none" w:sz="0" w:space="0" w:color="auto"/>
          </w:divBdr>
        </w:div>
        <w:div w:id="150217880">
          <w:marLeft w:val="0"/>
          <w:marRight w:val="0"/>
          <w:marTop w:val="0"/>
          <w:marBottom w:val="0"/>
          <w:divBdr>
            <w:top w:val="none" w:sz="0" w:space="0" w:color="auto"/>
            <w:left w:val="none" w:sz="0" w:space="0" w:color="auto"/>
            <w:bottom w:val="none" w:sz="0" w:space="0" w:color="auto"/>
            <w:right w:val="none" w:sz="0" w:space="0" w:color="auto"/>
          </w:divBdr>
        </w:div>
        <w:div w:id="264731646">
          <w:marLeft w:val="0"/>
          <w:marRight w:val="0"/>
          <w:marTop w:val="0"/>
          <w:marBottom w:val="0"/>
          <w:divBdr>
            <w:top w:val="none" w:sz="0" w:space="0" w:color="auto"/>
            <w:left w:val="none" w:sz="0" w:space="0" w:color="auto"/>
            <w:bottom w:val="none" w:sz="0" w:space="0" w:color="auto"/>
            <w:right w:val="none" w:sz="0" w:space="0" w:color="auto"/>
          </w:divBdr>
        </w:div>
        <w:div w:id="293566743">
          <w:marLeft w:val="0"/>
          <w:marRight w:val="0"/>
          <w:marTop w:val="0"/>
          <w:marBottom w:val="0"/>
          <w:divBdr>
            <w:top w:val="none" w:sz="0" w:space="0" w:color="auto"/>
            <w:left w:val="none" w:sz="0" w:space="0" w:color="auto"/>
            <w:bottom w:val="none" w:sz="0" w:space="0" w:color="auto"/>
            <w:right w:val="none" w:sz="0" w:space="0" w:color="auto"/>
          </w:divBdr>
        </w:div>
        <w:div w:id="318071675">
          <w:marLeft w:val="0"/>
          <w:marRight w:val="0"/>
          <w:marTop w:val="0"/>
          <w:marBottom w:val="0"/>
          <w:divBdr>
            <w:top w:val="none" w:sz="0" w:space="0" w:color="auto"/>
            <w:left w:val="none" w:sz="0" w:space="0" w:color="auto"/>
            <w:bottom w:val="none" w:sz="0" w:space="0" w:color="auto"/>
            <w:right w:val="none" w:sz="0" w:space="0" w:color="auto"/>
          </w:divBdr>
        </w:div>
        <w:div w:id="616253793">
          <w:marLeft w:val="0"/>
          <w:marRight w:val="0"/>
          <w:marTop w:val="0"/>
          <w:marBottom w:val="0"/>
          <w:divBdr>
            <w:top w:val="none" w:sz="0" w:space="0" w:color="auto"/>
            <w:left w:val="none" w:sz="0" w:space="0" w:color="auto"/>
            <w:bottom w:val="none" w:sz="0" w:space="0" w:color="auto"/>
            <w:right w:val="none" w:sz="0" w:space="0" w:color="auto"/>
          </w:divBdr>
        </w:div>
        <w:div w:id="624311795">
          <w:marLeft w:val="0"/>
          <w:marRight w:val="0"/>
          <w:marTop w:val="0"/>
          <w:marBottom w:val="0"/>
          <w:divBdr>
            <w:top w:val="none" w:sz="0" w:space="0" w:color="auto"/>
            <w:left w:val="none" w:sz="0" w:space="0" w:color="auto"/>
            <w:bottom w:val="none" w:sz="0" w:space="0" w:color="auto"/>
            <w:right w:val="none" w:sz="0" w:space="0" w:color="auto"/>
          </w:divBdr>
        </w:div>
        <w:div w:id="673268332">
          <w:marLeft w:val="0"/>
          <w:marRight w:val="0"/>
          <w:marTop w:val="0"/>
          <w:marBottom w:val="0"/>
          <w:divBdr>
            <w:top w:val="none" w:sz="0" w:space="0" w:color="auto"/>
            <w:left w:val="none" w:sz="0" w:space="0" w:color="auto"/>
            <w:bottom w:val="none" w:sz="0" w:space="0" w:color="auto"/>
            <w:right w:val="none" w:sz="0" w:space="0" w:color="auto"/>
          </w:divBdr>
        </w:div>
        <w:div w:id="743993455">
          <w:marLeft w:val="0"/>
          <w:marRight w:val="0"/>
          <w:marTop w:val="0"/>
          <w:marBottom w:val="0"/>
          <w:divBdr>
            <w:top w:val="none" w:sz="0" w:space="0" w:color="auto"/>
            <w:left w:val="none" w:sz="0" w:space="0" w:color="auto"/>
            <w:bottom w:val="none" w:sz="0" w:space="0" w:color="auto"/>
            <w:right w:val="none" w:sz="0" w:space="0" w:color="auto"/>
          </w:divBdr>
        </w:div>
        <w:div w:id="856311012">
          <w:marLeft w:val="0"/>
          <w:marRight w:val="0"/>
          <w:marTop w:val="0"/>
          <w:marBottom w:val="0"/>
          <w:divBdr>
            <w:top w:val="none" w:sz="0" w:space="0" w:color="auto"/>
            <w:left w:val="none" w:sz="0" w:space="0" w:color="auto"/>
            <w:bottom w:val="none" w:sz="0" w:space="0" w:color="auto"/>
            <w:right w:val="none" w:sz="0" w:space="0" w:color="auto"/>
          </w:divBdr>
        </w:div>
        <w:div w:id="884755785">
          <w:marLeft w:val="0"/>
          <w:marRight w:val="0"/>
          <w:marTop w:val="0"/>
          <w:marBottom w:val="0"/>
          <w:divBdr>
            <w:top w:val="none" w:sz="0" w:space="0" w:color="auto"/>
            <w:left w:val="none" w:sz="0" w:space="0" w:color="auto"/>
            <w:bottom w:val="none" w:sz="0" w:space="0" w:color="auto"/>
            <w:right w:val="none" w:sz="0" w:space="0" w:color="auto"/>
          </w:divBdr>
        </w:div>
        <w:div w:id="894269089">
          <w:marLeft w:val="0"/>
          <w:marRight w:val="0"/>
          <w:marTop w:val="0"/>
          <w:marBottom w:val="0"/>
          <w:divBdr>
            <w:top w:val="none" w:sz="0" w:space="0" w:color="auto"/>
            <w:left w:val="none" w:sz="0" w:space="0" w:color="auto"/>
            <w:bottom w:val="none" w:sz="0" w:space="0" w:color="auto"/>
            <w:right w:val="none" w:sz="0" w:space="0" w:color="auto"/>
          </w:divBdr>
        </w:div>
        <w:div w:id="906497477">
          <w:marLeft w:val="0"/>
          <w:marRight w:val="0"/>
          <w:marTop w:val="0"/>
          <w:marBottom w:val="0"/>
          <w:divBdr>
            <w:top w:val="none" w:sz="0" w:space="0" w:color="auto"/>
            <w:left w:val="none" w:sz="0" w:space="0" w:color="auto"/>
            <w:bottom w:val="none" w:sz="0" w:space="0" w:color="auto"/>
            <w:right w:val="none" w:sz="0" w:space="0" w:color="auto"/>
          </w:divBdr>
        </w:div>
        <w:div w:id="1060251980">
          <w:marLeft w:val="0"/>
          <w:marRight w:val="0"/>
          <w:marTop w:val="0"/>
          <w:marBottom w:val="0"/>
          <w:divBdr>
            <w:top w:val="none" w:sz="0" w:space="0" w:color="auto"/>
            <w:left w:val="none" w:sz="0" w:space="0" w:color="auto"/>
            <w:bottom w:val="none" w:sz="0" w:space="0" w:color="auto"/>
            <w:right w:val="none" w:sz="0" w:space="0" w:color="auto"/>
          </w:divBdr>
        </w:div>
        <w:div w:id="1202325158">
          <w:marLeft w:val="0"/>
          <w:marRight w:val="0"/>
          <w:marTop w:val="0"/>
          <w:marBottom w:val="0"/>
          <w:divBdr>
            <w:top w:val="none" w:sz="0" w:space="0" w:color="auto"/>
            <w:left w:val="none" w:sz="0" w:space="0" w:color="auto"/>
            <w:bottom w:val="none" w:sz="0" w:space="0" w:color="auto"/>
            <w:right w:val="none" w:sz="0" w:space="0" w:color="auto"/>
          </w:divBdr>
        </w:div>
        <w:div w:id="1208491237">
          <w:marLeft w:val="0"/>
          <w:marRight w:val="0"/>
          <w:marTop w:val="0"/>
          <w:marBottom w:val="0"/>
          <w:divBdr>
            <w:top w:val="none" w:sz="0" w:space="0" w:color="auto"/>
            <w:left w:val="none" w:sz="0" w:space="0" w:color="auto"/>
            <w:bottom w:val="none" w:sz="0" w:space="0" w:color="auto"/>
            <w:right w:val="none" w:sz="0" w:space="0" w:color="auto"/>
          </w:divBdr>
        </w:div>
        <w:div w:id="1215659567">
          <w:marLeft w:val="0"/>
          <w:marRight w:val="0"/>
          <w:marTop w:val="0"/>
          <w:marBottom w:val="0"/>
          <w:divBdr>
            <w:top w:val="none" w:sz="0" w:space="0" w:color="auto"/>
            <w:left w:val="none" w:sz="0" w:space="0" w:color="auto"/>
            <w:bottom w:val="none" w:sz="0" w:space="0" w:color="auto"/>
            <w:right w:val="none" w:sz="0" w:space="0" w:color="auto"/>
          </w:divBdr>
        </w:div>
        <w:div w:id="1241138053">
          <w:marLeft w:val="0"/>
          <w:marRight w:val="0"/>
          <w:marTop w:val="0"/>
          <w:marBottom w:val="0"/>
          <w:divBdr>
            <w:top w:val="none" w:sz="0" w:space="0" w:color="auto"/>
            <w:left w:val="none" w:sz="0" w:space="0" w:color="auto"/>
            <w:bottom w:val="none" w:sz="0" w:space="0" w:color="auto"/>
            <w:right w:val="none" w:sz="0" w:space="0" w:color="auto"/>
          </w:divBdr>
        </w:div>
        <w:div w:id="1247231961">
          <w:marLeft w:val="0"/>
          <w:marRight w:val="0"/>
          <w:marTop w:val="0"/>
          <w:marBottom w:val="0"/>
          <w:divBdr>
            <w:top w:val="none" w:sz="0" w:space="0" w:color="auto"/>
            <w:left w:val="none" w:sz="0" w:space="0" w:color="auto"/>
            <w:bottom w:val="none" w:sz="0" w:space="0" w:color="auto"/>
            <w:right w:val="none" w:sz="0" w:space="0" w:color="auto"/>
          </w:divBdr>
        </w:div>
        <w:div w:id="1331985938">
          <w:marLeft w:val="0"/>
          <w:marRight w:val="0"/>
          <w:marTop w:val="0"/>
          <w:marBottom w:val="0"/>
          <w:divBdr>
            <w:top w:val="none" w:sz="0" w:space="0" w:color="auto"/>
            <w:left w:val="none" w:sz="0" w:space="0" w:color="auto"/>
            <w:bottom w:val="none" w:sz="0" w:space="0" w:color="auto"/>
            <w:right w:val="none" w:sz="0" w:space="0" w:color="auto"/>
          </w:divBdr>
        </w:div>
        <w:div w:id="1534003295">
          <w:marLeft w:val="0"/>
          <w:marRight w:val="0"/>
          <w:marTop w:val="0"/>
          <w:marBottom w:val="0"/>
          <w:divBdr>
            <w:top w:val="none" w:sz="0" w:space="0" w:color="auto"/>
            <w:left w:val="none" w:sz="0" w:space="0" w:color="auto"/>
            <w:bottom w:val="none" w:sz="0" w:space="0" w:color="auto"/>
            <w:right w:val="none" w:sz="0" w:space="0" w:color="auto"/>
          </w:divBdr>
        </w:div>
        <w:div w:id="1713580793">
          <w:marLeft w:val="0"/>
          <w:marRight w:val="0"/>
          <w:marTop w:val="0"/>
          <w:marBottom w:val="0"/>
          <w:divBdr>
            <w:top w:val="none" w:sz="0" w:space="0" w:color="auto"/>
            <w:left w:val="none" w:sz="0" w:space="0" w:color="auto"/>
            <w:bottom w:val="none" w:sz="0" w:space="0" w:color="auto"/>
            <w:right w:val="none" w:sz="0" w:space="0" w:color="auto"/>
          </w:divBdr>
        </w:div>
        <w:div w:id="1810707671">
          <w:marLeft w:val="0"/>
          <w:marRight w:val="0"/>
          <w:marTop w:val="0"/>
          <w:marBottom w:val="0"/>
          <w:divBdr>
            <w:top w:val="none" w:sz="0" w:space="0" w:color="auto"/>
            <w:left w:val="none" w:sz="0" w:space="0" w:color="auto"/>
            <w:bottom w:val="none" w:sz="0" w:space="0" w:color="auto"/>
            <w:right w:val="none" w:sz="0" w:space="0" w:color="auto"/>
          </w:divBdr>
        </w:div>
        <w:div w:id="1871066582">
          <w:marLeft w:val="0"/>
          <w:marRight w:val="0"/>
          <w:marTop w:val="0"/>
          <w:marBottom w:val="0"/>
          <w:divBdr>
            <w:top w:val="none" w:sz="0" w:space="0" w:color="auto"/>
            <w:left w:val="none" w:sz="0" w:space="0" w:color="auto"/>
            <w:bottom w:val="none" w:sz="0" w:space="0" w:color="auto"/>
            <w:right w:val="none" w:sz="0" w:space="0" w:color="auto"/>
          </w:divBdr>
        </w:div>
        <w:div w:id="1941792547">
          <w:marLeft w:val="0"/>
          <w:marRight w:val="0"/>
          <w:marTop w:val="0"/>
          <w:marBottom w:val="0"/>
          <w:divBdr>
            <w:top w:val="none" w:sz="0" w:space="0" w:color="auto"/>
            <w:left w:val="none" w:sz="0" w:space="0" w:color="auto"/>
            <w:bottom w:val="none" w:sz="0" w:space="0" w:color="auto"/>
            <w:right w:val="none" w:sz="0" w:space="0" w:color="auto"/>
          </w:divBdr>
        </w:div>
      </w:divsChild>
    </w:div>
    <w:div w:id="1758093660">
      <w:bodyDiv w:val="1"/>
      <w:marLeft w:val="0"/>
      <w:marRight w:val="0"/>
      <w:marTop w:val="0"/>
      <w:marBottom w:val="0"/>
      <w:divBdr>
        <w:top w:val="none" w:sz="0" w:space="0" w:color="auto"/>
        <w:left w:val="none" w:sz="0" w:space="0" w:color="auto"/>
        <w:bottom w:val="none" w:sz="0" w:space="0" w:color="auto"/>
        <w:right w:val="none" w:sz="0" w:space="0" w:color="auto"/>
      </w:divBdr>
    </w:div>
    <w:div w:id="1782266269">
      <w:bodyDiv w:val="1"/>
      <w:marLeft w:val="0"/>
      <w:marRight w:val="0"/>
      <w:marTop w:val="0"/>
      <w:marBottom w:val="0"/>
      <w:divBdr>
        <w:top w:val="none" w:sz="0" w:space="0" w:color="auto"/>
        <w:left w:val="none" w:sz="0" w:space="0" w:color="auto"/>
        <w:bottom w:val="none" w:sz="0" w:space="0" w:color="auto"/>
        <w:right w:val="none" w:sz="0" w:space="0" w:color="auto"/>
      </w:divBdr>
      <w:divsChild>
        <w:div w:id="493185965">
          <w:marLeft w:val="0"/>
          <w:marRight w:val="0"/>
          <w:marTop w:val="0"/>
          <w:marBottom w:val="0"/>
          <w:divBdr>
            <w:top w:val="none" w:sz="0" w:space="0" w:color="auto"/>
            <w:left w:val="none" w:sz="0" w:space="0" w:color="auto"/>
            <w:bottom w:val="none" w:sz="0" w:space="0" w:color="auto"/>
            <w:right w:val="none" w:sz="0" w:space="0" w:color="auto"/>
          </w:divBdr>
        </w:div>
        <w:div w:id="1132406523">
          <w:marLeft w:val="0"/>
          <w:marRight w:val="0"/>
          <w:marTop w:val="0"/>
          <w:marBottom w:val="0"/>
          <w:divBdr>
            <w:top w:val="none" w:sz="0" w:space="0" w:color="auto"/>
            <w:left w:val="none" w:sz="0" w:space="0" w:color="auto"/>
            <w:bottom w:val="none" w:sz="0" w:space="0" w:color="auto"/>
            <w:right w:val="none" w:sz="0" w:space="0" w:color="auto"/>
          </w:divBdr>
        </w:div>
        <w:div w:id="1281184230">
          <w:marLeft w:val="0"/>
          <w:marRight w:val="0"/>
          <w:marTop w:val="0"/>
          <w:marBottom w:val="0"/>
          <w:divBdr>
            <w:top w:val="none" w:sz="0" w:space="0" w:color="auto"/>
            <w:left w:val="none" w:sz="0" w:space="0" w:color="auto"/>
            <w:bottom w:val="none" w:sz="0" w:space="0" w:color="auto"/>
            <w:right w:val="none" w:sz="0" w:space="0" w:color="auto"/>
          </w:divBdr>
        </w:div>
        <w:div w:id="2005013409">
          <w:marLeft w:val="0"/>
          <w:marRight w:val="0"/>
          <w:marTop w:val="0"/>
          <w:marBottom w:val="0"/>
          <w:divBdr>
            <w:top w:val="none" w:sz="0" w:space="0" w:color="auto"/>
            <w:left w:val="none" w:sz="0" w:space="0" w:color="auto"/>
            <w:bottom w:val="none" w:sz="0" w:space="0" w:color="auto"/>
            <w:right w:val="none" w:sz="0" w:space="0" w:color="auto"/>
          </w:divBdr>
        </w:div>
        <w:div w:id="2018657480">
          <w:marLeft w:val="0"/>
          <w:marRight w:val="0"/>
          <w:marTop w:val="0"/>
          <w:marBottom w:val="0"/>
          <w:divBdr>
            <w:top w:val="none" w:sz="0" w:space="0" w:color="auto"/>
            <w:left w:val="none" w:sz="0" w:space="0" w:color="auto"/>
            <w:bottom w:val="none" w:sz="0" w:space="0" w:color="auto"/>
            <w:right w:val="none" w:sz="0" w:space="0" w:color="auto"/>
          </w:divBdr>
        </w:div>
      </w:divsChild>
    </w:div>
    <w:div w:id="1788114104">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23153363">
      <w:bodyDiv w:val="1"/>
      <w:marLeft w:val="0"/>
      <w:marRight w:val="0"/>
      <w:marTop w:val="0"/>
      <w:marBottom w:val="0"/>
      <w:divBdr>
        <w:top w:val="none" w:sz="0" w:space="0" w:color="auto"/>
        <w:left w:val="none" w:sz="0" w:space="0" w:color="auto"/>
        <w:bottom w:val="none" w:sz="0" w:space="0" w:color="auto"/>
        <w:right w:val="none" w:sz="0" w:space="0" w:color="auto"/>
      </w:divBdr>
      <w:divsChild>
        <w:div w:id="713966336">
          <w:marLeft w:val="0"/>
          <w:marRight w:val="0"/>
          <w:marTop w:val="0"/>
          <w:marBottom w:val="0"/>
          <w:divBdr>
            <w:top w:val="none" w:sz="0" w:space="0" w:color="auto"/>
            <w:left w:val="none" w:sz="0" w:space="0" w:color="auto"/>
            <w:bottom w:val="none" w:sz="0" w:space="0" w:color="auto"/>
            <w:right w:val="none" w:sz="0" w:space="0" w:color="auto"/>
          </w:divBdr>
        </w:div>
        <w:div w:id="911963644">
          <w:marLeft w:val="0"/>
          <w:marRight w:val="0"/>
          <w:marTop w:val="0"/>
          <w:marBottom w:val="0"/>
          <w:divBdr>
            <w:top w:val="none" w:sz="0" w:space="0" w:color="auto"/>
            <w:left w:val="none" w:sz="0" w:space="0" w:color="auto"/>
            <w:bottom w:val="none" w:sz="0" w:space="0" w:color="auto"/>
            <w:right w:val="none" w:sz="0" w:space="0" w:color="auto"/>
          </w:divBdr>
        </w:div>
        <w:div w:id="1211377696">
          <w:marLeft w:val="0"/>
          <w:marRight w:val="0"/>
          <w:marTop w:val="0"/>
          <w:marBottom w:val="0"/>
          <w:divBdr>
            <w:top w:val="none" w:sz="0" w:space="0" w:color="auto"/>
            <w:left w:val="none" w:sz="0" w:space="0" w:color="auto"/>
            <w:bottom w:val="none" w:sz="0" w:space="0" w:color="auto"/>
            <w:right w:val="none" w:sz="0" w:space="0" w:color="auto"/>
          </w:divBdr>
        </w:div>
      </w:divsChild>
    </w:div>
    <w:div w:id="1856190097">
      <w:bodyDiv w:val="1"/>
      <w:marLeft w:val="0"/>
      <w:marRight w:val="0"/>
      <w:marTop w:val="0"/>
      <w:marBottom w:val="0"/>
      <w:divBdr>
        <w:top w:val="none" w:sz="0" w:space="0" w:color="auto"/>
        <w:left w:val="none" w:sz="0" w:space="0" w:color="auto"/>
        <w:bottom w:val="none" w:sz="0" w:space="0" w:color="auto"/>
        <w:right w:val="none" w:sz="0" w:space="0" w:color="auto"/>
      </w:divBdr>
    </w:div>
    <w:div w:id="1864588699">
      <w:bodyDiv w:val="1"/>
      <w:marLeft w:val="0"/>
      <w:marRight w:val="0"/>
      <w:marTop w:val="0"/>
      <w:marBottom w:val="0"/>
      <w:divBdr>
        <w:top w:val="none" w:sz="0" w:space="0" w:color="auto"/>
        <w:left w:val="none" w:sz="0" w:space="0" w:color="auto"/>
        <w:bottom w:val="none" w:sz="0" w:space="0" w:color="auto"/>
        <w:right w:val="none" w:sz="0" w:space="0" w:color="auto"/>
      </w:divBdr>
    </w:div>
    <w:div w:id="1890720420">
      <w:bodyDiv w:val="1"/>
      <w:marLeft w:val="0"/>
      <w:marRight w:val="0"/>
      <w:marTop w:val="0"/>
      <w:marBottom w:val="0"/>
      <w:divBdr>
        <w:top w:val="none" w:sz="0" w:space="0" w:color="auto"/>
        <w:left w:val="none" w:sz="0" w:space="0" w:color="auto"/>
        <w:bottom w:val="none" w:sz="0" w:space="0" w:color="auto"/>
        <w:right w:val="none" w:sz="0" w:space="0" w:color="auto"/>
      </w:divBdr>
      <w:divsChild>
        <w:div w:id="64569844">
          <w:marLeft w:val="0"/>
          <w:marRight w:val="0"/>
          <w:marTop w:val="0"/>
          <w:marBottom w:val="0"/>
          <w:divBdr>
            <w:top w:val="none" w:sz="0" w:space="0" w:color="auto"/>
            <w:left w:val="none" w:sz="0" w:space="0" w:color="auto"/>
            <w:bottom w:val="none" w:sz="0" w:space="0" w:color="auto"/>
            <w:right w:val="none" w:sz="0" w:space="0" w:color="auto"/>
          </w:divBdr>
        </w:div>
        <w:div w:id="82068082">
          <w:marLeft w:val="0"/>
          <w:marRight w:val="0"/>
          <w:marTop w:val="0"/>
          <w:marBottom w:val="0"/>
          <w:divBdr>
            <w:top w:val="none" w:sz="0" w:space="0" w:color="auto"/>
            <w:left w:val="none" w:sz="0" w:space="0" w:color="auto"/>
            <w:bottom w:val="none" w:sz="0" w:space="0" w:color="auto"/>
            <w:right w:val="none" w:sz="0" w:space="0" w:color="auto"/>
          </w:divBdr>
        </w:div>
        <w:div w:id="234630739">
          <w:marLeft w:val="0"/>
          <w:marRight w:val="0"/>
          <w:marTop w:val="0"/>
          <w:marBottom w:val="0"/>
          <w:divBdr>
            <w:top w:val="none" w:sz="0" w:space="0" w:color="auto"/>
            <w:left w:val="none" w:sz="0" w:space="0" w:color="auto"/>
            <w:bottom w:val="none" w:sz="0" w:space="0" w:color="auto"/>
            <w:right w:val="none" w:sz="0" w:space="0" w:color="auto"/>
          </w:divBdr>
        </w:div>
        <w:div w:id="354502220">
          <w:marLeft w:val="0"/>
          <w:marRight w:val="0"/>
          <w:marTop w:val="0"/>
          <w:marBottom w:val="0"/>
          <w:divBdr>
            <w:top w:val="none" w:sz="0" w:space="0" w:color="auto"/>
            <w:left w:val="none" w:sz="0" w:space="0" w:color="auto"/>
            <w:bottom w:val="none" w:sz="0" w:space="0" w:color="auto"/>
            <w:right w:val="none" w:sz="0" w:space="0" w:color="auto"/>
          </w:divBdr>
        </w:div>
        <w:div w:id="364987053">
          <w:marLeft w:val="0"/>
          <w:marRight w:val="0"/>
          <w:marTop w:val="0"/>
          <w:marBottom w:val="0"/>
          <w:divBdr>
            <w:top w:val="none" w:sz="0" w:space="0" w:color="auto"/>
            <w:left w:val="none" w:sz="0" w:space="0" w:color="auto"/>
            <w:bottom w:val="none" w:sz="0" w:space="0" w:color="auto"/>
            <w:right w:val="none" w:sz="0" w:space="0" w:color="auto"/>
          </w:divBdr>
        </w:div>
        <w:div w:id="484395635">
          <w:marLeft w:val="0"/>
          <w:marRight w:val="0"/>
          <w:marTop w:val="0"/>
          <w:marBottom w:val="0"/>
          <w:divBdr>
            <w:top w:val="none" w:sz="0" w:space="0" w:color="auto"/>
            <w:left w:val="none" w:sz="0" w:space="0" w:color="auto"/>
            <w:bottom w:val="none" w:sz="0" w:space="0" w:color="auto"/>
            <w:right w:val="none" w:sz="0" w:space="0" w:color="auto"/>
          </w:divBdr>
        </w:div>
        <w:div w:id="639532642">
          <w:marLeft w:val="0"/>
          <w:marRight w:val="0"/>
          <w:marTop w:val="0"/>
          <w:marBottom w:val="0"/>
          <w:divBdr>
            <w:top w:val="none" w:sz="0" w:space="0" w:color="auto"/>
            <w:left w:val="none" w:sz="0" w:space="0" w:color="auto"/>
            <w:bottom w:val="none" w:sz="0" w:space="0" w:color="auto"/>
            <w:right w:val="none" w:sz="0" w:space="0" w:color="auto"/>
          </w:divBdr>
        </w:div>
        <w:div w:id="698506167">
          <w:marLeft w:val="0"/>
          <w:marRight w:val="0"/>
          <w:marTop w:val="0"/>
          <w:marBottom w:val="0"/>
          <w:divBdr>
            <w:top w:val="none" w:sz="0" w:space="0" w:color="auto"/>
            <w:left w:val="none" w:sz="0" w:space="0" w:color="auto"/>
            <w:bottom w:val="none" w:sz="0" w:space="0" w:color="auto"/>
            <w:right w:val="none" w:sz="0" w:space="0" w:color="auto"/>
          </w:divBdr>
        </w:div>
        <w:div w:id="760954985">
          <w:marLeft w:val="0"/>
          <w:marRight w:val="0"/>
          <w:marTop w:val="0"/>
          <w:marBottom w:val="0"/>
          <w:divBdr>
            <w:top w:val="none" w:sz="0" w:space="0" w:color="auto"/>
            <w:left w:val="none" w:sz="0" w:space="0" w:color="auto"/>
            <w:bottom w:val="none" w:sz="0" w:space="0" w:color="auto"/>
            <w:right w:val="none" w:sz="0" w:space="0" w:color="auto"/>
          </w:divBdr>
        </w:div>
        <w:div w:id="766076956">
          <w:marLeft w:val="0"/>
          <w:marRight w:val="0"/>
          <w:marTop w:val="0"/>
          <w:marBottom w:val="0"/>
          <w:divBdr>
            <w:top w:val="none" w:sz="0" w:space="0" w:color="auto"/>
            <w:left w:val="none" w:sz="0" w:space="0" w:color="auto"/>
            <w:bottom w:val="none" w:sz="0" w:space="0" w:color="auto"/>
            <w:right w:val="none" w:sz="0" w:space="0" w:color="auto"/>
          </w:divBdr>
        </w:div>
        <w:div w:id="850073514">
          <w:marLeft w:val="0"/>
          <w:marRight w:val="0"/>
          <w:marTop w:val="0"/>
          <w:marBottom w:val="0"/>
          <w:divBdr>
            <w:top w:val="none" w:sz="0" w:space="0" w:color="auto"/>
            <w:left w:val="none" w:sz="0" w:space="0" w:color="auto"/>
            <w:bottom w:val="none" w:sz="0" w:space="0" w:color="auto"/>
            <w:right w:val="none" w:sz="0" w:space="0" w:color="auto"/>
          </w:divBdr>
        </w:div>
        <w:div w:id="1055929306">
          <w:marLeft w:val="0"/>
          <w:marRight w:val="0"/>
          <w:marTop w:val="0"/>
          <w:marBottom w:val="0"/>
          <w:divBdr>
            <w:top w:val="none" w:sz="0" w:space="0" w:color="auto"/>
            <w:left w:val="none" w:sz="0" w:space="0" w:color="auto"/>
            <w:bottom w:val="none" w:sz="0" w:space="0" w:color="auto"/>
            <w:right w:val="none" w:sz="0" w:space="0" w:color="auto"/>
          </w:divBdr>
        </w:div>
        <w:div w:id="1086610272">
          <w:marLeft w:val="0"/>
          <w:marRight w:val="0"/>
          <w:marTop w:val="0"/>
          <w:marBottom w:val="0"/>
          <w:divBdr>
            <w:top w:val="none" w:sz="0" w:space="0" w:color="auto"/>
            <w:left w:val="none" w:sz="0" w:space="0" w:color="auto"/>
            <w:bottom w:val="none" w:sz="0" w:space="0" w:color="auto"/>
            <w:right w:val="none" w:sz="0" w:space="0" w:color="auto"/>
          </w:divBdr>
        </w:div>
        <w:div w:id="1152453852">
          <w:marLeft w:val="0"/>
          <w:marRight w:val="0"/>
          <w:marTop w:val="0"/>
          <w:marBottom w:val="0"/>
          <w:divBdr>
            <w:top w:val="none" w:sz="0" w:space="0" w:color="auto"/>
            <w:left w:val="none" w:sz="0" w:space="0" w:color="auto"/>
            <w:bottom w:val="none" w:sz="0" w:space="0" w:color="auto"/>
            <w:right w:val="none" w:sz="0" w:space="0" w:color="auto"/>
          </w:divBdr>
        </w:div>
        <w:div w:id="1228954705">
          <w:marLeft w:val="0"/>
          <w:marRight w:val="0"/>
          <w:marTop w:val="0"/>
          <w:marBottom w:val="0"/>
          <w:divBdr>
            <w:top w:val="none" w:sz="0" w:space="0" w:color="auto"/>
            <w:left w:val="none" w:sz="0" w:space="0" w:color="auto"/>
            <w:bottom w:val="none" w:sz="0" w:space="0" w:color="auto"/>
            <w:right w:val="none" w:sz="0" w:space="0" w:color="auto"/>
          </w:divBdr>
        </w:div>
        <w:div w:id="1229344315">
          <w:marLeft w:val="0"/>
          <w:marRight w:val="0"/>
          <w:marTop w:val="0"/>
          <w:marBottom w:val="0"/>
          <w:divBdr>
            <w:top w:val="none" w:sz="0" w:space="0" w:color="auto"/>
            <w:left w:val="none" w:sz="0" w:space="0" w:color="auto"/>
            <w:bottom w:val="none" w:sz="0" w:space="0" w:color="auto"/>
            <w:right w:val="none" w:sz="0" w:space="0" w:color="auto"/>
          </w:divBdr>
        </w:div>
        <w:div w:id="1259288996">
          <w:marLeft w:val="0"/>
          <w:marRight w:val="0"/>
          <w:marTop w:val="0"/>
          <w:marBottom w:val="0"/>
          <w:divBdr>
            <w:top w:val="none" w:sz="0" w:space="0" w:color="auto"/>
            <w:left w:val="none" w:sz="0" w:space="0" w:color="auto"/>
            <w:bottom w:val="none" w:sz="0" w:space="0" w:color="auto"/>
            <w:right w:val="none" w:sz="0" w:space="0" w:color="auto"/>
          </w:divBdr>
        </w:div>
        <w:div w:id="1471242650">
          <w:marLeft w:val="0"/>
          <w:marRight w:val="0"/>
          <w:marTop w:val="0"/>
          <w:marBottom w:val="0"/>
          <w:divBdr>
            <w:top w:val="none" w:sz="0" w:space="0" w:color="auto"/>
            <w:left w:val="none" w:sz="0" w:space="0" w:color="auto"/>
            <w:bottom w:val="none" w:sz="0" w:space="0" w:color="auto"/>
            <w:right w:val="none" w:sz="0" w:space="0" w:color="auto"/>
          </w:divBdr>
        </w:div>
        <w:div w:id="1548183057">
          <w:marLeft w:val="0"/>
          <w:marRight w:val="0"/>
          <w:marTop w:val="0"/>
          <w:marBottom w:val="0"/>
          <w:divBdr>
            <w:top w:val="none" w:sz="0" w:space="0" w:color="auto"/>
            <w:left w:val="none" w:sz="0" w:space="0" w:color="auto"/>
            <w:bottom w:val="none" w:sz="0" w:space="0" w:color="auto"/>
            <w:right w:val="none" w:sz="0" w:space="0" w:color="auto"/>
          </w:divBdr>
        </w:div>
        <w:div w:id="1620061655">
          <w:marLeft w:val="0"/>
          <w:marRight w:val="0"/>
          <w:marTop w:val="0"/>
          <w:marBottom w:val="0"/>
          <w:divBdr>
            <w:top w:val="none" w:sz="0" w:space="0" w:color="auto"/>
            <w:left w:val="none" w:sz="0" w:space="0" w:color="auto"/>
            <w:bottom w:val="none" w:sz="0" w:space="0" w:color="auto"/>
            <w:right w:val="none" w:sz="0" w:space="0" w:color="auto"/>
          </w:divBdr>
        </w:div>
        <w:div w:id="1657102479">
          <w:marLeft w:val="0"/>
          <w:marRight w:val="0"/>
          <w:marTop w:val="0"/>
          <w:marBottom w:val="0"/>
          <w:divBdr>
            <w:top w:val="none" w:sz="0" w:space="0" w:color="auto"/>
            <w:left w:val="none" w:sz="0" w:space="0" w:color="auto"/>
            <w:bottom w:val="none" w:sz="0" w:space="0" w:color="auto"/>
            <w:right w:val="none" w:sz="0" w:space="0" w:color="auto"/>
          </w:divBdr>
        </w:div>
        <w:div w:id="1723213672">
          <w:marLeft w:val="0"/>
          <w:marRight w:val="0"/>
          <w:marTop w:val="0"/>
          <w:marBottom w:val="0"/>
          <w:divBdr>
            <w:top w:val="none" w:sz="0" w:space="0" w:color="auto"/>
            <w:left w:val="none" w:sz="0" w:space="0" w:color="auto"/>
            <w:bottom w:val="none" w:sz="0" w:space="0" w:color="auto"/>
            <w:right w:val="none" w:sz="0" w:space="0" w:color="auto"/>
          </w:divBdr>
        </w:div>
        <w:div w:id="1955747600">
          <w:marLeft w:val="0"/>
          <w:marRight w:val="0"/>
          <w:marTop w:val="0"/>
          <w:marBottom w:val="0"/>
          <w:divBdr>
            <w:top w:val="none" w:sz="0" w:space="0" w:color="auto"/>
            <w:left w:val="none" w:sz="0" w:space="0" w:color="auto"/>
            <w:bottom w:val="none" w:sz="0" w:space="0" w:color="auto"/>
            <w:right w:val="none" w:sz="0" w:space="0" w:color="auto"/>
          </w:divBdr>
        </w:div>
        <w:div w:id="1976372280">
          <w:marLeft w:val="0"/>
          <w:marRight w:val="0"/>
          <w:marTop w:val="0"/>
          <w:marBottom w:val="0"/>
          <w:divBdr>
            <w:top w:val="none" w:sz="0" w:space="0" w:color="auto"/>
            <w:left w:val="none" w:sz="0" w:space="0" w:color="auto"/>
            <w:bottom w:val="none" w:sz="0" w:space="0" w:color="auto"/>
            <w:right w:val="none" w:sz="0" w:space="0" w:color="auto"/>
          </w:divBdr>
        </w:div>
        <w:div w:id="1998416540">
          <w:marLeft w:val="0"/>
          <w:marRight w:val="0"/>
          <w:marTop w:val="0"/>
          <w:marBottom w:val="0"/>
          <w:divBdr>
            <w:top w:val="none" w:sz="0" w:space="0" w:color="auto"/>
            <w:left w:val="none" w:sz="0" w:space="0" w:color="auto"/>
            <w:bottom w:val="none" w:sz="0" w:space="0" w:color="auto"/>
            <w:right w:val="none" w:sz="0" w:space="0" w:color="auto"/>
          </w:divBdr>
        </w:div>
        <w:div w:id="2114402658">
          <w:marLeft w:val="0"/>
          <w:marRight w:val="0"/>
          <w:marTop w:val="0"/>
          <w:marBottom w:val="0"/>
          <w:divBdr>
            <w:top w:val="none" w:sz="0" w:space="0" w:color="auto"/>
            <w:left w:val="none" w:sz="0" w:space="0" w:color="auto"/>
            <w:bottom w:val="none" w:sz="0" w:space="0" w:color="auto"/>
            <w:right w:val="none" w:sz="0" w:space="0" w:color="auto"/>
          </w:divBdr>
        </w:div>
      </w:divsChild>
    </w:div>
    <w:div w:id="1946228261">
      <w:bodyDiv w:val="1"/>
      <w:marLeft w:val="0"/>
      <w:marRight w:val="0"/>
      <w:marTop w:val="0"/>
      <w:marBottom w:val="0"/>
      <w:divBdr>
        <w:top w:val="none" w:sz="0" w:space="0" w:color="auto"/>
        <w:left w:val="none" w:sz="0" w:space="0" w:color="auto"/>
        <w:bottom w:val="none" w:sz="0" w:space="0" w:color="auto"/>
        <w:right w:val="none" w:sz="0" w:space="0" w:color="auto"/>
      </w:divBdr>
      <w:divsChild>
        <w:div w:id="146676746">
          <w:marLeft w:val="0"/>
          <w:marRight w:val="0"/>
          <w:marTop w:val="0"/>
          <w:marBottom w:val="0"/>
          <w:divBdr>
            <w:top w:val="none" w:sz="0" w:space="0" w:color="auto"/>
            <w:left w:val="none" w:sz="0" w:space="0" w:color="auto"/>
            <w:bottom w:val="none" w:sz="0" w:space="0" w:color="auto"/>
            <w:right w:val="none" w:sz="0" w:space="0" w:color="auto"/>
          </w:divBdr>
        </w:div>
        <w:div w:id="847213652">
          <w:marLeft w:val="0"/>
          <w:marRight w:val="0"/>
          <w:marTop w:val="0"/>
          <w:marBottom w:val="0"/>
          <w:divBdr>
            <w:top w:val="none" w:sz="0" w:space="0" w:color="auto"/>
            <w:left w:val="none" w:sz="0" w:space="0" w:color="auto"/>
            <w:bottom w:val="none" w:sz="0" w:space="0" w:color="auto"/>
            <w:right w:val="none" w:sz="0" w:space="0" w:color="auto"/>
          </w:divBdr>
        </w:div>
        <w:div w:id="1067338427">
          <w:marLeft w:val="0"/>
          <w:marRight w:val="0"/>
          <w:marTop w:val="0"/>
          <w:marBottom w:val="0"/>
          <w:divBdr>
            <w:top w:val="none" w:sz="0" w:space="0" w:color="auto"/>
            <w:left w:val="none" w:sz="0" w:space="0" w:color="auto"/>
            <w:bottom w:val="none" w:sz="0" w:space="0" w:color="auto"/>
            <w:right w:val="none" w:sz="0" w:space="0" w:color="auto"/>
          </w:divBdr>
          <w:divsChild>
            <w:div w:id="549537408">
              <w:marLeft w:val="0"/>
              <w:marRight w:val="0"/>
              <w:marTop w:val="0"/>
              <w:marBottom w:val="0"/>
              <w:divBdr>
                <w:top w:val="none" w:sz="0" w:space="0" w:color="auto"/>
                <w:left w:val="none" w:sz="0" w:space="0" w:color="auto"/>
                <w:bottom w:val="none" w:sz="0" w:space="0" w:color="auto"/>
                <w:right w:val="none" w:sz="0" w:space="0" w:color="auto"/>
              </w:divBdr>
            </w:div>
            <w:div w:id="1462723632">
              <w:marLeft w:val="0"/>
              <w:marRight w:val="0"/>
              <w:marTop w:val="0"/>
              <w:marBottom w:val="0"/>
              <w:divBdr>
                <w:top w:val="none" w:sz="0" w:space="0" w:color="auto"/>
                <w:left w:val="none" w:sz="0" w:space="0" w:color="auto"/>
                <w:bottom w:val="none" w:sz="0" w:space="0" w:color="auto"/>
                <w:right w:val="none" w:sz="0" w:space="0" w:color="auto"/>
              </w:divBdr>
            </w:div>
          </w:divsChild>
        </w:div>
        <w:div w:id="1142501637">
          <w:marLeft w:val="0"/>
          <w:marRight w:val="0"/>
          <w:marTop w:val="0"/>
          <w:marBottom w:val="0"/>
          <w:divBdr>
            <w:top w:val="none" w:sz="0" w:space="0" w:color="auto"/>
            <w:left w:val="none" w:sz="0" w:space="0" w:color="auto"/>
            <w:bottom w:val="none" w:sz="0" w:space="0" w:color="auto"/>
            <w:right w:val="none" w:sz="0" w:space="0" w:color="auto"/>
          </w:divBdr>
        </w:div>
        <w:div w:id="1479885109">
          <w:marLeft w:val="0"/>
          <w:marRight w:val="0"/>
          <w:marTop w:val="0"/>
          <w:marBottom w:val="0"/>
          <w:divBdr>
            <w:top w:val="none" w:sz="0" w:space="0" w:color="auto"/>
            <w:left w:val="none" w:sz="0" w:space="0" w:color="auto"/>
            <w:bottom w:val="none" w:sz="0" w:space="0" w:color="auto"/>
            <w:right w:val="none" w:sz="0" w:space="0" w:color="auto"/>
          </w:divBdr>
        </w:div>
      </w:divsChild>
    </w:div>
    <w:div w:id="1968705051">
      <w:bodyDiv w:val="1"/>
      <w:marLeft w:val="0"/>
      <w:marRight w:val="0"/>
      <w:marTop w:val="0"/>
      <w:marBottom w:val="0"/>
      <w:divBdr>
        <w:top w:val="none" w:sz="0" w:space="0" w:color="auto"/>
        <w:left w:val="none" w:sz="0" w:space="0" w:color="auto"/>
        <w:bottom w:val="none" w:sz="0" w:space="0" w:color="auto"/>
        <w:right w:val="none" w:sz="0" w:space="0" w:color="auto"/>
      </w:divBdr>
    </w:div>
    <w:div w:id="2061317821">
      <w:bodyDiv w:val="1"/>
      <w:marLeft w:val="0"/>
      <w:marRight w:val="0"/>
      <w:marTop w:val="0"/>
      <w:marBottom w:val="0"/>
      <w:divBdr>
        <w:top w:val="none" w:sz="0" w:space="0" w:color="auto"/>
        <w:left w:val="none" w:sz="0" w:space="0" w:color="auto"/>
        <w:bottom w:val="none" w:sz="0" w:space="0" w:color="auto"/>
        <w:right w:val="none" w:sz="0" w:space="0" w:color="auto"/>
      </w:divBdr>
    </w:div>
    <w:div w:id="2086994024">
      <w:bodyDiv w:val="1"/>
      <w:marLeft w:val="0"/>
      <w:marRight w:val="0"/>
      <w:marTop w:val="0"/>
      <w:marBottom w:val="0"/>
      <w:divBdr>
        <w:top w:val="none" w:sz="0" w:space="0" w:color="auto"/>
        <w:left w:val="none" w:sz="0" w:space="0" w:color="auto"/>
        <w:bottom w:val="none" w:sz="0" w:space="0" w:color="auto"/>
        <w:right w:val="none" w:sz="0" w:space="0" w:color="auto"/>
      </w:divBdr>
    </w:div>
    <w:div w:id="2098361072">
      <w:bodyDiv w:val="1"/>
      <w:marLeft w:val="0"/>
      <w:marRight w:val="0"/>
      <w:marTop w:val="0"/>
      <w:marBottom w:val="0"/>
      <w:divBdr>
        <w:top w:val="none" w:sz="0" w:space="0" w:color="auto"/>
        <w:left w:val="none" w:sz="0" w:space="0" w:color="auto"/>
        <w:bottom w:val="none" w:sz="0" w:space="0" w:color="auto"/>
        <w:right w:val="none" w:sz="0" w:space="0" w:color="auto"/>
      </w:divBdr>
    </w:div>
    <w:div w:id="2103649153">
      <w:bodyDiv w:val="1"/>
      <w:marLeft w:val="0"/>
      <w:marRight w:val="0"/>
      <w:marTop w:val="0"/>
      <w:marBottom w:val="0"/>
      <w:divBdr>
        <w:top w:val="none" w:sz="0" w:space="0" w:color="auto"/>
        <w:left w:val="none" w:sz="0" w:space="0" w:color="auto"/>
        <w:bottom w:val="none" w:sz="0" w:space="0" w:color="auto"/>
        <w:right w:val="none" w:sz="0" w:space="0" w:color="auto"/>
      </w:divBdr>
    </w:div>
    <w:div w:id="2110150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cid:image001.png@01CC5B5E.C6C84990"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5.xm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header" Target="header3.xml"/><Relationship Id="rId31" Type="http://schemas.openxmlformats.org/officeDocument/2006/relationships/customXml" Target="../customXml/item3.xml"/><Relationship Id="rId4"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labour/employment-and-unemployment/potential-workers/latest-release" TargetMode="External"/><Relationship Id="rId13" Type="http://schemas.openxmlformats.org/officeDocument/2006/relationships/hyperlink" Target="https://www.oecd.org/els/family/database.htm" TargetMode="External"/><Relationship Id="rId18" Type="http://schemas.openxmlformats.org/officeDocument/2006/relationships/hyperlink" Target="https://www.aph.gov.au/DocumentStore.ashx?id=7511a57e-05a2-464c-bb7e-22aac587c1fb&amp;subId=660063" TargetMode="External"/><Relationship Id="rId26" Type="http://schemas.openxmlformats.org/officeDocument/2006/relationships/hyperlink" Target="https://www.dewr.gov.au/employment-research-and-evaluations/resources/parentsnext-2018-2021-evaluation-report" TargetMode="External"/><Relationship Id="rId39" Type="http://schemas.openxmlformats.org/officeDocument/2006/relationships/hyperlink" Target="https://www.dewr.gov.au/employment-research-and-evaluations/resources/parentsnext-2018-2021-evaluation-report" TargetMode="External"/><Relationship Id="rId3" Type="http://schemas.openxmlformats.org/officeDocument/2006/relationships/hyperlink" Target="https://guides.dss.gov.au/social-security-guide" TargetMode="External"/><Relationship Id="rId21" Type="http://schemas.openxmlformats.org/officeDocument/2006/relationships/hyperlink" Target="https://www.aph.gov.au/Parliamentary_Business/Committees/House/Workforce_Australia_Employment_Services/WorkforceAustralia/Submissions" TargetMode="External"/><Relationship Id="rId34" Type="http://schemas.openxmlformats.org/officeDocument/2006/relationships/hyperlink" Target="https://data.gov.au/data/dataset/dss-payment-demographic-data" TargetMode="External"/><Relationship Id="rId7" Type="http://schemas.openxmlformats.org/officeDocument/2006/relationships/hyperlink" Target="https://www.oecd-ilibrary.org/social-issues-migration-health/faces-of-joblessness-in-australia_c51b96ef-en" TargetMode="External"/><Relationship Id="rId12" Type="http://schemas.openxmlformats.org/officeDocument/2006/relationships/hyperlink" Target="https://treasury.gov.au/publication/p2023-372004" TargetMode="External"/><Relationship Id="rId17" Type="http://schemas.openxmlformats.org/officeDocument/2006/relationships/hyperlink" Target="https://aifs.gov.au/research/commissioned-reports/parents-welfare-receipt-and-their-childrens-employment-and-education" TargetMode="External"/><Relationship Id="rId25" Type="http://schemas.openxmlformats.org/officeDocument/2006/relationships/hyperlink" Target="https://www.dewr.gov.au/employment-services-evaluations/resources/parentsnext-2016-2018-evaluation-report" TargetMode="External"/><Relationship Id="rId33" Type="http://schemas.openxmlformats.org/officeDocument/2006/relationships/hyperlink" Target="https://treasury.gov.au/employment-whitepaper/final-report" TargetMode="External"/><Relationship Id="rId38" Type="http://schemas.openxmlformats.org/officeDocument/2006/relationships/hyperlink" Target="https://www.dewr.gov.au/consultation-new-voluntary-parent-support-service/resources/consultation-approach-new-voluntary-service-parents" TargetMode="External"/><Relationship Id="rId2" Type="http://schemas.openxmlformats.org/officeDocument/2006/relationships/hyperlink" Target="https://budget.gov.au/" TargetMode="External"/><Relationship Id="rId16" Type="http://schemas.openxmlformats.org/officeDocument/2006/relationships/hyperlink" Target="https://lifecoursecentre.org.au/working-papers/intergenerational-welfare-dependency-in-australia-a-review-of-the-literature/" TargetMode="External"/><Relationship Id="rId20" Type="http://schemas.openxmlformats.org/officeDocument/2006/relationships/hyperlink" Target="https://www.aph.gov.au/DocumentStore.ashx?id=7511a57e-05a2-464c-bb7e-22aac587c1fb&amp;subId=660063" TargetMode="External"/><Relationship Id="rId29" Type="http://schemas.openxmlformats.org/officeDocument/2006/relationships/hyperlink" Target="https://www.voced.edu.au/content/ngv%3A45845" TargetMode="External"/><Relationship Id="rId1" Type="http://schemas.openxmlformats.org/officeDocument/2006/relationships/hyperlink" Target="https://ministers.dewr.gov.au/gallagher/albanese-government-scrap-parentsnext-program" TargetMode="External"/><Relationship Id="rId6" Type="http://schemas.openxmlformats.org/officeDocument/2006/relationships/hyperlink" Target="https://www.dewr.gov.au/employment-research-and-evaluations/resources/parentsnext-2018-2021-evaluation-report" TargetMode="External"/><Relationship Id="rId11" Type="http://schemas.openxmlformats.org/officeDocument/2006/relationships/hyperlink" Target="https://treasury.gov.au/publication/2023-intergenerational-report" TargetMode="External"/><Relationship Id="rId24" Type="http://schemas.openxmlformats.org/officeDocument/2006/relationships/hyperlink" Target="https://www.dewr.gov.au/employment-services-evaluations/resources/helping-young-parents-and-supporting-jobless-families-research-report" TargetMode="External"/><Relationship Id="rId32" Type="http://schemas.openxmlformats.org/officeDocument/2006/relationships/hyperlink" Target="https://www.abs.gov.au/statistics/labour/employment-and-unemployment/labour-force-status-families/latest-release" TargetMode="External"/><Relationship Id="rId37" Type="http://schemas.openxmlformats.org/officeDocument/2006/relationships/hyperlink" Target="https://www.aph.gov.au/Parliamentary_Business/Committees/House/Workforce_Australia_Employment_Services/WorkforceAustralia/Interim_Report" TargetMode="External"/><Relationship Id="rId40" Type="http://schemas.openxmlformats.org/officeDocument/2006/relationships/hyperlink" Target="https://oia.pmc.gov.au/published-impact-analyses-and-reports/new-employment-services-model-0" TargetMode="External"/><Relationship Id="rId5" Type="http://schemas.openxmlformats.org/officeDocument/2006/relationships/hyperlink" Target="https://www.pc.gov.au/research/completed/rising-inequality" TargetMode="External"/><Relationship Id="rId15" Type="http://schemas.openxmlformats.org/officeDocument/2006/relationships/hyperlink" Target="https://www.dss.gov.au/sites/default/files/documents/09_2016/parents_factsheet.pdf" TargetMode="External"/><Relationship Id="rId23" Type="http://schemas.openxmlformats.org/officeDocument/2006/relationships/hyperlink" Target="https://www.aph.gov.au/Parliamentary_Business/Committees/House/Workforce_Australia_Employment_Services/WorkforceAustralia/Interim_Report" TargetMode="External"/><Relationship Id="rId28" Type="http://schemas.openxmlformats.org/officeDocument/2006/relationships/hyperlink" Target="https://www.pmc.gov.au/resources/national-strategy-achieve-gender-equality-discussion-paper/current-state/burden-care" TargetMode="External"/><Relationship Id="rId36" Type="http://schemas.openxmlformats.org/officeDocument/2006/relationships/hyperlink" Target="https://treasury.gov.au/employment-whitepaper/final-report" TargetMode="External"/><Relationship Id="rId10" Type="http://schemas.openxmlformats.org/officeDocument/2006/relationships/hyperlink" Target="https://www.equityeconomics.com.au/report-archive/how-australias-parenting-policies-are-failing-women-and-our-economy" TargetMode="External"/><Relationship Id="rId19" Type="http://schemas.openxmlformats.org/officeDocument/2006/relationships/hyperlink" Target="https://www.aph.gov.au/Parliamentary_Business/Committees/House/Former_Committees/Intergenerational_Welfare_Dependence/IGWD/Final_Report" TargetMode="External"/><Relationship Id="rId31" Type="http://schemas.openxmlformats.org/officeDocument/2006/relationships/hyperlink" Target="https://povertyandinequality.acoss.org.au/poverty-in-australia-2023-who-is-affected/" TargetMode="External"/><Relationship Id="rId4" Type="http://schemas.openxmlformats.org/officeDocument/2006/relationships/hyperlink" Target="https://www.aph.gov.au/Parliamentary_Business/Committees/House/Workforce_Australia_Employment_Services/WorkforceAustralia/Interim_Report" TargetMode="External"/><Relationship Id="rId9" Type="http://schemas.openxmlformats.org/officeDocument/2006/relationships/hyperlink" Target="https://stats.oecd.org/" TargetMode="External"/><Relationship Id="rId14" Type="http://schemas.openxmlformats.org/officeDocument/2006/relationships/hyperlink" Target="https://treasury.gov.au/publication/2023-intergenerational-report" TargetMode="External"/><Relationship Id="rId22" Type="http://schemas.openxmlformats.org/officeDocument/2006/relationships/hyperlink" Target="https://treasury.gov.au/employment-whitepaper/final-report" TargetMode="External"/><Relationship Id="rId27" Type="http://schemas.openxmlformats.org/officeDocument/2006/relationships/hyperlink" Target="https://guides.dss.gov.au/social-security-guide" TargetMode="External"/><Relationship Id="rId30" Type="http://schemas.openxmlformats.org/officeDocument/2006/relationships/hyperlink" Target="https://www.voced.edu.au/content/ngv%3A45845" TargetMode="External"/><Relationship Id="rId35" Type="http://schemas.openxmlformats.org/officeDocument/2006/relationships/hyperlink" Target="https://www.dewr.gov.au/employment-research-and-evaluations/resources/parentsnext-2018-2021-evaluation-report"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DOCID-322795542-42339</_dlc_DocId>
    <_dlc_DocIdUrl xmlns="4195ad5f-cdf2-4c4a-8d9b-b7944a108e98">
      <Url>https://pmc01.sharepoint.com/sites/CRMOBPR/_layouts/15/DocIdRedir.aspx?ID=DOCID-322795542-42339</Url>
      <Description>DOCID-322795542-42339</Description>
    </_dlc_DocIdUrl>
  </documentManagement>
</p:properties>
</file>

<file path=customXml/itemProps1.xml><?xml version="1.0" encoding="utf-8"?>
<ds:datastoreItem xmlns:ds="http://schemas.openxmlformats.org/officeDocument/2006/customXml" ds:itemID="{00AD64F6-4B2E-440F-A38B-AED6D86841EB}"/>
</file>

<file path=customXml/itemProps2.xml><?xml version="1.0" encoding="utf-8"?>
<ds:datastoreItem xmlns:ds="http://schemas.openxmlformats.org/officeDocument/2006/customXml" ds:itemID="{347D80AB-14F9-4852-B721-FB640465AD6C}"/>
</file>

<file path=customXml/itemProps3.xml><?xml version="1.0" encoding="utf-8"?>
<ds:datastoreItem xmlns:ds="http://schemas.openxmlformats.org/officeDocument/2006/customXml" ds:itemID="{B12EB3F9-0390-4C76-AF71-FDECEA917699}"/>
</file>

<file path=customXml/itemProps4.xml><?xml version="1.0" encoding="utf-8"?>
<ds:datastoreItem xmlns:ds="http://schemas.openxmlformats.org/officeDocument/2006/customXml" ds:itemID="{8BCA3F91-9893-4612-AF27-B533D8ACD929}"/>
</file>

<file path=docProps/app.xml><?xml version="1.0" encoding="utf-8"?>
<Properties xmlns="http://schemas.openxmlformats.org/officeDocument/2006/extended-properties" xmlns:vt="http://schemas.openxmlformats.org/officeDocument/2006/docPropsVTypes">
  <Template>Normal</Template>
  <TotalTime>0</TotalTime>
  <Pages>53</Pages>
  <Words>17947</Words>
  <Characters>102299</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2023-12-06T22:54:00Z</dcterms:created>
  <dcterms:modified xsi:type="dcterms:W3CDTF">2023-12-06T23:05:00Z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b13730a2-cbb2-4dee-a75a-5697cb0301cd</vt:lpwstr>
  </property>
  <property fmtid="{D5CDD505-2E9C-101B-9397-08002B2CF9AE}" pid="4" name="MediaServiceImageTags">
    <vt:lpwstr/>
  </property>
</Properties>
</file>