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charts/colors3.xml" ContentType="application/vnd.ms-office.chartcolorstyle+xml"/>
  <Override PartName="/word/theme/themeOverride3.xml" ContentType="application/vnd.openxmlformats-officedocument.themeOverride+xml"/>
  <Override PartName="/word/charts/colors1.xml" ContentType="application/vnd.ms-office.chartcolorstyle+xml"/>
  <Override PartName="/word/charts/chart1.xml" ContentType="application/vnd.openxmlformats-officedocument.drawingml.chart+xml"/>
  <Override PartName="/word/theme/themeOverride1.xml" ContentType="application/vnd.openxmlformats-officedocument.themeOverride+xml"/>
  <Override PartName="/word/charts/style1.xml" ContentType="application/vnd.ms-office.chartstyle+xml"/>
  <Override PartName="/word/charts/style2.xml" ContentType="application/vnd.ms-office.chartstyle+xml"/>
  <Override PartName="/word/theme/theme1.xml" ContentType="application/vnd.openxmlformats-officedocument.theme+xml"/>
  <Override PartName="/word/charts/style3.xml" ContentType="application/vnd.ms-office.chartstyle+xml"/>
  <Override PartName="/word/charts/chart3.xml" ContentType="application/vnd.openxmlformats-officedocument.drawingml.chart+xml"/>
  <Override PartName="/word/charts/chart2.xml" ContentType="application/vnd.openxmlformats-officedocument.drawingml.chart+xml"/>
  <Override PartName="/word/theme/themeOverride2.xml" ContentType="application/vnd.openxmlformats-officedocument.themeOverride+xml"/>
  <Override PartName="/word/charts/colors2.xml" ContentType="application/vnd.ms-office.chartcolorstyl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ajorEastAsia" w:cs="Arial"/>
          <w:b/>
          <w:color w:val="auto"/>
          <w:sz w:val="28"/>
          <w:szCs w:val="40"/>
        </w:rPr>
        <w:id w:val="-145591017"/>
        <w:docPartObj>
          <w:docPartGallery w:val="Cover Pages"/>
          <w:docPartUnique/>
        </w:docPartObj>
      </w:sdtPr>
      <w:sdtEndPr>
        <w:rPr>
          <w:b w:val="0"/>
          <w:noProof/>
        </w:rPr>
      </w:sdtEndPr>
      <w:sdtContent>
        <w:p w14:paraId="5179B5CA" w14:textId="42150713" w:rsidR="0023294E" w:rsidRPr="000A53C0" w:rsidRDefault="0023294E" w:rsidP="00234FEF">
          <w:pPr>
            <w:pStyle w:val="BodyText"/>
            <w:rPr>
              <w:rFonts w:cs="Arial"/>
            </w:rPr>
          </w:pPr>
        </w:p>
        <w:p w14:paraId="453FF234" w14:textId="77777777" w:rsidR="00094DD1" w:rsidRPr="000A53C0" w:rsidRDefault="00094DD1" w:rsidP="00183C12">
          <w:pPr>
            <w:jc w:val="both"/>
            <w:rPr>
              <w:rFonts w:cs="Arial"/>
            </w:rPr>
          </w:pPr>
        </w:p>
        <w:sdt>
          <w:sdtPr>
            <w:rPr>
              <w:rFonts w:eastAsiaTheme="majorEastAsia" w:cs="Arial"/>
              <w:b/>
              <w:color w:val="auto"/>
              <w:sz w:val="28"/>
              <w:szCs w:val="40"/>
            </w:rPr>
            <w:id w:val="645014639"/>
            <w:docPartObj>
              <w:docPartGallery w:val="Cover Pages"/>
              <w:docPartUnique/>
            </w:docPartObj>
          </w:sdtPr>
          <w:sdtEndPr>
            <w:rPr>
              <w:rFonts w:eastAsiaTheme="minorHAnsi" w:cstheme="minorBidi"/>
              <w:b w:val="0"/>
              <w:noProof/>
              <w:sz w:val="22"/>
              <w:szCs w:val="22"/>
            </w:rPr>
          </w:sdtEndPr>
          <w:sdtContent>
            <w:p w14:paraId="7B237016" w14:textId="77777777" w:rsidR="009C6C45" w:rsidRPr="000A53C0" w:rsidRDefault="009C6C45" w:rsidP="009C6C45">
              <w:pPr>
                <w:pStyle w:val="BodyText"/>
                <w:rPr>
                  <w:rFonts w:cs="Arial"/>
                </w:rPr>
              </w:pPr>
            </w:p>
            <w:p w14:paraId="198FFD79" w14:textId="77777777" w:rsidR="009C6C45" w:rsidRPr="001321CE" w:rsidRDefault="009C6C45" w:rsidP="009C6C45">
              <w:pPr>
                <w:spacing w:after="60" w:line="240" w:lineRule="auto"/>
                <w:outlineLvl w:val="1"/>
                <w:rPr>
                  <w:rFonts w:eastAsia="Times New Roman" w:cs="Times New Roman"/>
                  <w:color w:val="E20000"/>
                  <w:szCs w:val="24"/>
                </w:rPr>
              </w:pPr>
              <w:r w:rsidRPr="001321CE">
                <w:rPr>
                  <w:rFonts w:eastAsia="Times New Roman" w:cs="Times New Roman"/>
                  <w:color w:val="E20000"/>
                  <w:szCs w:val="24"/>
                </w:rPr>
                <w:t>Safe Work Australia</w:t>
              </w:r>
            </w:p>
            <w:p w14:paraId="43FBB9A3" w14:textId="77777777" w:rsidR="009C6C45" w:rsidRPr="001321CE" w:rsidRDefault="009C6C45" w:rsidP="009C6C45">
              <w:pPr>
                <w:tabs>
                  <w:tab w:val="left" w:pos="357"/>
                  <w:tab w:val="right" w:leader="dot" w:pos="6379"/>
                  <w:tab w:val="right" w:leader="dot" w:pos="9072"/>
                </w:tabs>
                <w:spacing w:after="100" w:line="240" w:lineRule="auto"/>
                <w:ind w:right="2647"/>
                <w:rPr>
                  <w:rFonts w:eastAsia="Calibri" w:cs="Times New Roman"/>
                  <w:b/>
                  <w:bCs/>
                  <w:sz w:val="56"/>
                  <w:szCs w:val="56"/>
                </w:rPr>
              </w:pPr>
              <w:r w:rsidRPr="001321CE">
                <w:rPr>
                  <w:rFonts w:eastAsia="Calibri" w:cs="Times New Roman"/>
                  <w:b/>
                  <w:bCs/>
                  <w:sz w:val="56"/>
                  <w:szCs w:val="56"/>
                </w:rPr>
                <w:t xml:space="preserve">Decision Regulation </w:t>
              </w:r>
              <w:r>
                <w:rPr>
                  <w:rFonts w:eastAsia="Calibri" w:cs="Times New Roman"/>
                  <w:b/>
                  <w:bCs/>
                  <w:sz w:val="56"/>
                  <w:szCs w:val="56"/>
                </w:rPr>
                <w:br/>
              </w:r>
              <w:r w:rsidRPr="001321CE">
                <w:rPr>
                  <w:rFonts w:eastAsia="Calibri" w:cs="Times New Roman"/>
                  <w:b/>
                  <w:bCs/>
                  <w:sz w:val="56"/>
                  <w:szCs w:val="56"/>
                </w:rPr>
                <w:t>Impact Statement</w:t>
              </w:r>
              <w:r>
                <w:rPr>
                  <w:rFonts w:eastAsia="Calibri" w:cs="Times New Roman"/>
                  <w:b/>
                  <w:bCs/>
                  <w:sz w:val="56"/>
                  <w:szCs w:val="56"/>
                </w:rPr>
                <w:t>:</w:t>
              </w:r>
            </w:p>
            <w:p w14:paraId="2B0D8246" w14:textId="77777777" w:rsidR="009C6C45" w:rsidRDefault="009C6C45" w:rsidP="009C6C45">
              <w:pPr>
                <w:tabs>
                  <w:tab w:val="left" w:pos="357"/>
                  <w:tab w:val="right" w:leader="dot" w:pos="6379"/>
                </w:tabs>
                <w:spacing w:after="100" w:line="240" w:lineRule="auto"/>
                <w:ind w:right="2647"/>
                <w:rPr>
                  <w:rFonts w:eastAsia="Calibri" w:cs="Times New Roman"/>
                  <w:b/>
                  <w:bCs/>
                  <w:sz w:val="56"/>
                  <w:szCs w:val="56"/>
                </w:rPr>
              </w:pPr>
              <w:r w:rsidRPr="001321CE">
                <w:rPr>
                  <w:rFonts w:eastAsia="Calibri" w:cs="Times New Roman"/>
                  <w:b/>
                  <w:bCs/>
                  <w:sz w:val="56"/>
                  <w:szCs w:val="56"/>
                </w:rPr>
                <w:t xml:space="preserve">Prohibition on the use of engineered stone </w:t>
              </w:r>
            </w:p>
            <w:p w14:paraId="404B8C06" w14:textId="77777777" w:rsidR="009C6C45" w:rsidRPr="001321CE" w:rsidRDefault="009C6C45" w:rsidP="009C6C45">
              <w:pPr>
                <w:tabs>
                  <w:tab w:val="left" w:pos="357"/>
                  <w:tab w:val="right" w:leader="dot" w:pos="6379"/>
                </w:tabs>
                <w:spacing w:after="100" w:line="240" w:lineRule="auto"/>
                <w:ind w:right="2647"/>
                <w:rPr>
                  <w:rFonts w:eastAsia="Calibri" w:cs="Times New Roman"/>
                  <w:bCs/>
                  <w:caps/>
                  <w:noProof/>
                  <w:sz w:val="36"/>
                  <w:szCs w:val="36"/>
                </w:rPr>
              </w:pPr>
              <w:r w:rsidRPr="001321CE">
                <w:rPr>
                  <w:rFonts w:eastAsia="Calibri" w:cs="Times New Roman"/>
                  <w:bCs/>
                  <w:noProof/>
                  <w:sz w:val="36"/>
                  <w:szCs w:val="36"/>
                </w:rPr>
                <w:t>August 2023</w:t>
              </w:r>
            </w:p>
            <w:p w14:paraId="2D479ECB" w14:textId="77777777" w:rsidR="009C6C45" w:rsidRDefault="00233122" w:rsidP="009C6C45">
              <w:pPr>
                <w:rPr>
                  <w:noProof/>
                </w:rPr>
              </w:pPr>
            </w:p>
          </w:sdtContent>
        </w:sdt>
        <w:p w14:paraId="74CC9761" w14:textId="30C51165" w:rsidR="0023294E" w:rsidRPr="000A53C0" w:rsidRDefault="00233122" w:rsidP="00514CCB">
          <w:pPr>
            <w:pStyle w:val="Heading2"/>
          </w:pPr>
        </w:p>
      </w:sdtContent>
    </w:sdt>
    <w:p w14:paraId="7836DDAA" w14:textId="6F772459" w:rsidR="1CAA549B" w:rsidRPr="000A53C0" w:rsidRDefault="1CAA549B" w:rsidP="000F019A">
      <w:pPr>
        <w:jc w:val="both"/>
        <w:rPr>
          <w:rFonts w:cs="Arial"/>
        </w:rPr>
        <w:sectPr w:rsidR="1CAA549B" w:rsidRPr="000A53C0" w:rsidSect="009C6C45">
          <w:headerReference w:type="even" r:id="rId9"/>
          <w:headerReference w:type="default" r:id="rId10"/>
          <w:footerReference w:type="even" r:id="rId11"/>
          <w:footerReference w:type="default" r:id="rId12"/>
          <w:headerReference w:type="first" r:id="rId13"/>
          <w:footerReference w:type="first" r:id="rId14"/>
          <w:pgSz w:w="11906" w:h="16838"/>
          <w:pgMar w:top="4253" w:right="851" w:bottom="1135" w:left="851" w:header="567" w:footer="57" w:gutter="0"/>
          <w:pgNumType w:start="0"/>
          <w:cols w:space="708"/>
          <w:titlePg/>
          <w:docGrid w:linePitch="360"/>
        </w:sectPr>
      </w:pPr>
      <w:r w:rsidRPr="000A53C0">
        <w:rPr>
          <w:rFonts w:cs="Arial"/>
        </w:rPr>
        <w:br w:type="page"/>
      </w:r>
    </w:p>
    <w:p w14:paraId="2F39B033" w14:textId="77777777" w:rsidR="002A2EE5" w:rsidRPr="00B232BA" w:rsidRDefault="002A2EE5" w:rsidP="002A2EE5">
      <w:pPr>
        <w:spacing w:before="10200" w:after="60" w:line="240" w:lineRule="auto"/>
        <w:rPr>
          <w:rFonts w:eastAsia="Calibri" w:cs="Times New Roman"/>
          <w:b/>
          <w:sz w:val="16"/>
          <w:szCs w:val="24"/>
        </w:rPr>
      </w:pPr>
      <w:r w:rsidRPr="00B232BA">
        <w:rPr>
          <w:rFonts w:eastAsia="Calibri" w:cs="Times New Roman"/>
          <w:b/>
          <w:sz w:val="16"/>
          <w:szCs w:val="24"/>
        </w:rPr>
        <w:lastRenderedPageBreak/>
        <w:t>Disclaimer</w:t>
      </w:r>
    </w:p>
    <w:p w14:paraId="53294FB8" w14:textId="77777777" w:rsidR="002A2EE5" w:rsidRPr="00B232BA" w:rsidRDefault="002A2EE5" w:rsidP="002A2EE5">
      <w:pPr>
        <w:spacing w:after="60" w:line="240" w:lineRule="auto"/>
        <w:rPr>
          <w:rFonts w:eastAsia="Calibri" w:cs="Times New Roman"/>
          <w:b/>
          <w:sz w:val="16"/>
          <w:szCs w:val="24"/>
          <w:lang w:eastAsia="en-AU"/>
        </w:rPr>
      </w:pPr>
      <w:r w:rsidRPr="00B232BA">
        <w:rPr>
          <w:rFonts w:eastAsia="Calibri" w:cs="Times New Roman"/>
          <w:sz w:val="16"/>
          <w:szCs w:val="24"/>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2E432B6" w14:textId="77777777" w:rsidR="002A2EE5" w:rsidRPr="00B232BA" w:rsidRDefault="002A2EE5" w:rsidP="002A2EE5">
      <w:pPr>
        <w:spacing w:after="60" w:line="240" w:lineRule="auto"/>
        <w:rPr>
          <w:rFonts w:eastAsia="Calibri" w:cs="Times New Roman"/>
          <w:b/>
          <w:sz w:val="16"/>
          <w:szCs w:val="24"/>
          <w:lang w:eastAsia="en-AU"/>
        </w:rPr>
      </w:pPr>
      <w:r w:rsidRPr="00B232BA">
        <w:rPr>
          <w:rFonts w:eastAsia="Calibri" w:cs="Times New Roman"/>
          <w:sz w:val="16"/>
          <w:szCs w:val="24"/>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377A6D66" w14:textId="77777777" w:rsidR="002A2EE5" w:rsidRPr="00B232BA" w:rsidRDefault="002A2EE5" w:rsidP="002A2EE5">
      <w:pPr>
        <w:spacing w:before="120" w:after="120" w:line="276" w:lineRule="auto"/>
        <w:rPr>
          <w:rFonts w:eastAsia="Times New Roman" w:cs="Times New Roman"/>
          <w:b/>
          <w:spacing w:val="-3"/>
          <w:sz w:val="16"/>
          <w:szCs w:val="16"/>
        </w:rPr>
      </w:pPr>
      <w:r w:rsidRPr="00B232BA">
        <w:rPr>
          <w:rFonts w:eastAsia="Times New Roman" w:cs="Times New Roman"/>
          <w:b/>
          <w:spacing w:val="-3"/>
          <w:sz w:val="16"/>
          <w:szCs w:val="16"/>
        </w:rPr>
        <w:t>Creative Commons</w:t>
      </w:r>
    </w:p>
    <w:p w14:paraId="6EC3B081" w14:textId="14355BEB" w:rsidR="002A2EE5" w:rsidRPr="00B232BA" w:rsidRDefault="002A2EE5" w:rsidP="002A2EE5">
      <w:pPr>
        <w:spacing w:before="120" w:after="120" w:line="276" w:lineRule="auto"/>
        <w:rPr>
          <w:rFonts w:eastAsia="Times New Roman" w:cs="Times New Roman"/>
          <w:sz w:val="16"/>
          <w:szCs w:val="16"/>
          <w:lang w:eastAsia="en-AU"/>
        </w:rPr>
      </w:pPr>
      <w:r w:rsidRPr="00B232BA">
        <w:rPr>
          <w:rFonts w:eastAsia="Times New Roman" w:cs="Times New Roman"/>
          <w:bCs/>
          <w:sz w:val="16"/>
          <w:szCs w:val="16"/>
        </w:rPr>
        <w:t>With the exception of the Safe Work Australia logo, this copyright work is licensed under a Creative Commons Attribution 4.0 International licence. To view a copy of this licence, visit creativecommons.org/licenses</w:t>
      </w:r>
      <w:r w:rsidR="008264C2">
        <w:rPr>
          <w:rFonts w:eastAsia="Times New Roman" w:cs="Times New Roman"/>
          <w:bCs/>
          <w:sz w:val="16"/>
          <w:szCs w:val="16"/>
        </w:rPr>
        <w:t>.</w:t>
      </w:r>
      <w:r w:rsidRPr="00B232BA">
        <w:rPr>
          <w:rFonts w:eastAsia="Times New Roman" w:cs="Times New Roman"/>
          <w:bCs/>
          <w:sz w:val="16"/>
          <w:szCs w:val="16"/>
        </w:rPr>
        <w:t xml:space="preserve"> In essence, you are free to copy, communicate and adapt the work, even commercially, as long as you attribute the work to Safe Work Australia and abide by the other licence terms.</w:t>
      </w:r>
    </w:p>
    <w:p w14:paraId="64572585" w14:textId="77777777" w:rsidR="002A2EE5" w:rsidRPr="00B232BA" w:rsidRDefault="002A2EE5" w:rsidP="002A2EE5">
      <w:pPr>
        <w:spacing w:after="60" w:line="240" w:lineRule="auto"/>
        <w:rPr>
          <w:rFonts w:eastAsia="Calibri" w:cs="Times New Roman"/>
          <w:b/>
          <w:sz w:val="16"/>
          <w:szCs w:val="24"/>
        </w:rPr>
      </w:pPr>
      <w:r w:rsidRPr="00B232BA">
        <w:rPr>
          <w:rFonts w:eastAsia="Calibri" w:cs="Times New Roman"/>
          <w:b/>
          <w:sz w:val="16"/>
          <w:szCs w:val="24"/>
        </w:rPr>
        <w:t>Contact information</w:t>
      </w:r>
    </w:p>
    <w:p w14:paraId="7E474571" w14:textId="77777777" w:rsidR="002A2EE5" w:rsidRPr="00B232BA" w:rsidRDefault="002A2EE5" w:rsidP="002A2EE5">
      <w:pPr>
        <w:spacing w:after="60" w:line="240" w:lineRule="auto"/>
        <w:rPr>
          <w:rFonts w:eastAsia="Calibri" w:cs="Times New Roman"/>
          <w:sz w:val="16"/>
          <w:szCs w:val="24"/>
        </w:rPr>
      </w:pPr>
      <w:r w:rsidRPr="00B232BA">
        <w:rPr>
          <w:rFonts w:eastAsia="Calibri" w:cs="Times New Roman"/>
          <w:sz w:val="16"/>
          <w:szCs w:val="24"/>
          <w:lang w:eastAsia="en-AU"/>
        </w:rPr>
        <w:t xml:space="preserve">Safe Work Australia | </w:t>
      </w:r>
      <w:hyperlink r:id="rId15" w:tooltip="Send email to info@swa.gov.au" w:history="1">
        <w:r w:rsidRPr="00B232BA">
          <w:rPr>
            <w:rFonts w:eastAsia="Times New Roman" w:cs="Times New Roman"/>
            <w:color w:val="145B85"/>
            <w:sz w:val="16"/>
            <w:szCs w:val="24"/>
            <w:u w:val="single"/>
            <w:lang w:eastAsia="en-AU"/>
          </w:rPr>
          <w:t>mailto:info@swa.gov.au</w:t>
        </w:r>
      </w:hyperlink>
      <w:r w:rsidRPr="00B232BA">
        <w:rPr>
          <w:rFonts w:eastAsia="Calibri" w:cs="Times New Roman"/>
          <w:sz w:val="16"/>
          <w:szCs w:val="24"/>
          <w:lang w:eastAsia="en-AU"/>
        </w:rPr>
        <w:t xml:space="preserve"> | </w:t>
      </w:r>
      <w:hyperlink r:id="rId16" w:history="1">
        <w:r w:rsidRPr="00B232BA">
          <w:rPr>
            <w:rFonts w:eastAsia="Times New Roman" w:cs="Times New Roman"/>
            <w:color w:val="145B85"/>
            <w:sz w:val="16"/>
            <w:szCs w:val="24"/>
            <w:u w:val="single"/>
            <w:lang w:eastAsia="en-AU"/>
          </w:rPr>
          <w:t>www.swa.gov.au</w:t>
        </w:r>
      </w:hyperlink>
    </w:p>
    <w:p w14:paraId="4E5629A2" w14:textId="09AC39FF" w:rsidR="002E2007" w:rsidRPr="000A53C0" w:rsidRDefault="0011200A" w:rsidP="00823CCE">
      <w:pPr>
        <w:pStyle w:val="SWADisclaimerbodytext"/>
        <w:jc w:val="both"/>
        <w:rPr>
          <w:rFonts w:cs="Arial"/>
        </w:rPr>
      </w:pPr>
      <w:r w:rsidRPr="000A53C0">
        <w:rPr>
          <w:rFonts w:cs="Arial"/>
        </w:rPr>
        <w:br w:type="page"/>
      </w:r>
    </w:p>
    <w:p w14:paraId="3128A440" w14:textId="6B91C11B" w:rsidR="001B35DC" w:rsidRPr="000A53C0" w:rsidRDefault="001B35DC" w:rsidP="00C80198">
      <w:pPr>
        <w:pStyle w:val="Heading1"/>
      </w:pPr>
      <w:bookmarkStart w:id="1" w:name="_Toc142991308"/>
      <w:bookmarkStart w:id="2" w:name="_Toc92873016"/>
      <w:r w:rsidRPr="00C80198">
        <w:lastRenderedPageBreak/>
        <w:t>Contents</w:t>
      </w:r>
      <w:bookmarkEnd w:id="1"/>
    </w:p>
    <w:bookmarkEnd w:id="2"/>
    <w:p w14:paraId="4D08E966" w14:textId="0897F2E9" w:rsidR="00B90315" w:rsidRPr="000A53C0" w:rsidRDefault="001B35DC">
      <w:pPr>
        <w:pStyle w:val="TOC1"/>
        <w:rPr>
          <w:rFonts w:eastAsiaTheme="minorEastAsia" w:cs="Arial"/>
          <w:noProof/>
          <w:kern w:val="2"/>
          <w:lang w:eastAsia="en-AU"/>
          <w14:ligatures w14:val="standardContextual"/>
        </w:rPr>
      </w:pPr>
      <w:r w:rsidRPr="000A53C0">
        <w:rPr>
          <w:rFonts w:cs="Arial"/>
          <w:color w:val="2B579A"/>
          <w:shd w:val="clear" w:color="auto" w:fill="E6E6E6"/>
        </w:rPr>
        <w:fldChar w:fldCharType="begin"/>
      </w:r>
      <w:r w:rsidRPr="000A53C0">
        <w:rPr>
          <w:rFonts w:cs="Arial"/>
          <w:color w:val="2B579A"/>
          <w:shd w:val="clear" w:color="auto" w:fill="E6E6E6"/>
        </w:rPr>
        <w:instrText xml:space="preserve"> TOC \o "1-2" \h \z \u </w:instrText>
      </w:r>
      <w:r w:rsidRPr="000A53C0">
        <w:rPr>
          <w:rFonts w:cs="Arial"/>
          <w:color w:val="2B579A"/>
          <w:shd w:val="clear" w:color="auto" w:fill="E6E6E6"/>
        </w:rPr>
        <w:fldChar w:fldCharType="separate"/>
      </w:r>
      <w:hyperlink w:anchor="_Toc142991308" w:history="1">
        <w:r w:rsidR="00B90315" w:rsidRPr="000A53C0">
          <w:rPr>
            <w:rStyle w:val="Hyperlink"/>
            <w:rFonts w:ascii="Arial" w:hAnsi="Arial" w:cs="Arial"/>
            <w:noProof/>
          </w:rPr>
          <w:t>Contents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_Toc142991308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w:t>
        </w:r>
        <w:r w:rsidR="00B90315" w:rsidRPr="000A53C0">
          <w:rPr>
            <w:rFonts w:cs="Arial"/>
            <w:noProof/>
            <w:webHidden/>
          </w:rPr>
          <w:fldChar w:fldCharType="end"/>
        </w:r>
      </w:hyperlink>
    </w:p>
    <w:p w14:paraId="69EEC7F7" w14:textId="66636E11" w:rsidR="00B90315" w:rsidRPr="000A53C0" w:rsidRDefault="00233122">
      <w:pPr>
        <w:pStyle w:val="TOC1"/>
        <w:rPr>
          <w:rFonts w:eastAsiaTheme="minorEastAsia" w:cs="Arial"/>
          <w:noProof/>
          <w:kern w:val="2"/>
          <w:lang w:eastAsia="en-AU"/>
          <w14:ligatures w14:val="standardContextual"/>
        </w:rPr>
      </w:pPr>
      <w:hyperlink w:anchor="_Toc142991309" w:history="1">
        <w:r w:rsidR="00B90315" w:rsidRPr="000A53C0">
          <w:rPr>
            <w:rStyle w:val="Hyperlink"/>
            <w:rFonts w:ascii="Arial" w:hAnsi="Arial" w:cs="Arial"/>
            <w:noProof/>
          </w:rPr>
          <w:t>Abbreviations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_Toc142991309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w:t>
        </w:r>
        <w:r w:rsidR="00B90315" w:rsidRPr="000A53C0">
          <w:rPr>
            <w:rFonts w:cs="Arial"/>
            <w:noProof/>
            <w:webHidden/>
          </w:rPr>
          <w:fldChar w:fldCharType="end"/>
        </w:r>
      </w:hyperlink>
    </w:p>
    <w:p w14:paraId="087A4DBD" w14:textId="18CE6315" w:rsidR="00B90315" w:rsidRPr="000A53C0" w:rsidRDefault="00233122">
      <w:pPr>
        <w:pStyle w:val="TOC1"/>
        <w:rPr>
          <w:rFonts w:eastAsiaTheme="minorEastAsia" w:cs="Arial"/>
          <w:noProof/>
          <w:kern w:val="2"/>
          <w:lang w:eastAsia="en-AU"/>
          <w14:ligatures w14:val="standardContextual"/>
        </w:rPr>
      </w:pPr>
      <w:hyperlink w:anchor="_Toc142991310" w:history="1">
        <w:r w:rsidR="00B90315" w:rsidRPr="000A53C0">
          <w:rPr>
            <w:rStyle w:val="Hyperlink"/>
            <w:rFonts w:ascii="Arial" w:hAnsi="Arial" w:cs="Arial"/>
            <w:noProof/>
          </w:rPr>
          <w:t>Background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w:t>
        </w:r>
        <w:r w:rsidR="00B90315" w:rsidRPr="000A53C0">
          <w:rPr>
            <w:rFonts w:cs="Arial"/>
            <w:noProof/>
            <w:webHidden/>
          </w:rPr>
          <w:fldChar w:fldCharType="end"/>
        </w:r>
      </w:hyperlink>
    </w:p>
    <w:p w14:paraId="5704FA90" w14:textId="021CB71C" w:rsidR="00B90315" w:rsidRPr="000A53C0" w:rsidRDefault="00233122">
      <w:pPr>
        <w:pStyle w:val="TOC1"/>
        <w:rPr>
          <w:rFonts w:eastAsiaTheme="minorEastAsia" w:cs="Arial"/>
          <w:noProof/>
          <w:kern w:val="2"/>
          <w:lang w:eastAsia="en-AU"/>
          <w14:ligatures w14:val="standardContextual"/>
        </w:rPr>
      </w:pPr>
      <w:hyperlink w:anchor="_Toc142991311" w:history="1">
        <w:r w:rsidR="00B90315" w:rsidRPr="000A53C0">
          <w:rPr>
            <w:rStyle w:val="Hyperlink"/>
            <w:rFonts w:ascii="Arial" w:hAnsi="Arial" w:cs="Arial"/>
            <w:noProof/>
          </w:rPr>
          <w:t>Acknowledgements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w:t>
        </w:r>
        <w:r w:rsidR="00B90315" w:rsidRPr="000A53C0">
          <w:rPr>
            <w:rFonts w:cs="Arial"/>
            <w:noProof/>
            <w:webHidden/>
          </w:rPr>
          <w:fldChar w:fldCharType="end"/>
        </w:r>
      </w:hyperlink>
    </w:p>
    <w:p w14:paraId="750D5B46" w14:textId="59409735" w:rsidR="00B90315" w:rsidRPr="000A53C0" w:rsidRDefault="00233122">
      <w:pPr>
        <w:pStyle w:val="TOC1"/>
        <w:rPr>
          <w:rFonts w:eastAsiaTheme="minorEastAsia" w:cs="Arial"/>
          <w:noProof/>
          <w:kern w:val="2"/>
          <w:lang w:eastAsia="en-AU"/>
          <w14:ligatures w14:val="standardContextual"/>
        </w:rPr>
      </w:pPr>
      <w:hyperlink w:anchor="_Toc142991312" w:history="1">
        <w:r w:rsidR="00B90315" w:rsidRPr="000A53C0">
          <w:rPr>
            <w:rStyle w:val="Hyperlink"/>
            <w:rFonts w:ascii="Arial" w:hAnsi="Arial" w:cs="Arial"/>
            <w:noProof/>
          </w:rPr>
          <w:t>Executive summary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6</w:t>
        </w:r>
        <w:r w:rsidR="00B90315" w:rsidRPr="000A53C0">
          <w:rPr>
            <w:rFonts w:cs="Arial"/>
            <w:noProof/>
            <w:webHidden/>
          </w:rPr>
          <w:fldChar w:fldCharType="end"/>
        </w:r>
      </w:hyperlink>
    </w:p>
    <w:p w14:paraId="1C737B07" w14:textId="75F7211C" w:rsidR="00B90315" w:rsidRPr="000A53C0" w:rsidRDefault="00233122">
      <w:pPr>
        <w:pStyle w:val="TOC1"/>
        <w:tabs>
          <w:tab w:val="left" w:pos="400"/>
        </w:tabs>
        <w:rPr>
          <w:rFonts w:eastAsiaTheme="minorEastAsia" w:cs="Arial"/>
          <w:noProof/>
          <w:kern w:val="2"/>
          <w:lang w:eastAsia="en-AU"/>
          <w14:ligatures w14:val="standardContextual"/>
        </w:rPr>
      </w:pPr>
      <w:hyperlink w:anchor="_Toc142991313" w:history="1">
        <w:r w:rsidR="00B90315" w:rsidRPr="000A53C0">
          <w:rPr>
            <w:rStyle w:val="Hyperlink"/>
            <w:rFonts w:ascii="Arial" w:hAnsi="Arial" w:cs="Arial"/>
            <w:bCs/>
            <w:noProof/>
          </w:rPr>
          <w:t>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Introduction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11</w:t>
        </w:r>
        <w:r w:rsidR="00B90315" w:rsidRPr="000A53C0">
          <w:rPr>
            <w:rFonts w:cs="Arial"/>
            <w:noProof/>
            <w:webHidden/>
          </w:rPr>
          <w:fldChar w:fldCharType="end"/>
        </w:r>
      </w:hyperlink>
    </w:p>
    <w:p w14:paraId="154372EB" w14:textId="2D2C9EA5" w:rsidR="00B90315" w:rsidRPr="000A53C0" w:rsidRDefault="00233122">
      <w:pPr>
        <w:pStyle w:val="TOC2"/>
        <w:rPr>
          <w:rFonts w:eastAsiaTheme="minorEastAsia" w:cs="Arial"/>
          <w:noProof/>
          <w:kern w:val="2"/>
          <w:lang w:eastAsia="en-AU"/>
          <w14:ligatures w14:val="standardContextual"/>
        </w:rPr>
      </w:pPr>
      <w:hyperlink w:anchor="_Toc142991314" w:history="1">
        <w:r w:rsidR="00B90315" w:rsidRPr="000A53C0">
          <w:rPr>
            <w:rStyle w:val="Hyperlink"/>
            <w:rFonts w:ascii="Arial" w:hAnsi="Arial" w:cs="Arial"/>
            <w:noProof/>
          </w:rPr>
          <w:t>1.1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About Safe Work Australia</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11</w:t>
        </w:r>
        <w:r w:rsidR="00B90315" w:rsidRPr="000A53C0">
          <w:rPr>
            <w:rFonts w:cs="Arial"/>
            <w:noProof/>
            <w:webHidden/>
          </w:rPr>
          <w:fldChar w:fldCharType="end"/>
        </w:r>
      </w:hyperlink>
    </w:p>
    <w:p w14:paraId="579C5DC3" w14:textId="523DCE46" w:rsidR="00B90315" w:rsidRPr="000A53C0" w:rsidRDefault="00233122">
      <w:pPr>
        <w:pStyle w:val="TOC2"/>
        <w:rPr>
          <w:rFonts w:eastAsiaTheme="minorEastAsia" w:cs="Arial"/>
          <w:noProof/>
          <w:kern w:val="2"/>
          <w:lang w:eastAsia="en-AU"/>
          <w14:ligatures w14:val="standardContextual"/>
        </w:rPr>
      </w:pPr>
      <w:hyperlink w:anchor="_Toc142991315" w:history="1">
        <w:r w:rsidR="00B90315" w:rsidRPr="000A53C0">
          <w:rPr>
            <w:rStyle w:val="Hyperlink"/>
            <w:rFonts w:ascii="Arial" w:hAnsi="Arial" w:cs="Arial"/>
            <w:noProof/>
          </w:rPr>
          <w:t>1.2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Background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11</w:t>
        </w:r>
        <w:r w:rsidR="00B90315" w:rsidRPr="000A53C0">
          <w:rPr>
            <w:rFonts w:cs="Arial"/>
            <w:noProof/>
            <w:webHidden/>
          </w:rPr>
          <w:fldChar w:fldCharType="end"/>
        </w:r>
      </w:hyperlink>
    </w:p>
    <w:p w14:paraId="24C5EB1E" w14:textId="4EFEA2E7" w:rsidR="00B90315" w:rsidRPr="000A53C0" w:rsidRDefault="00233122">
      <w:pPr>
        <w:pStyle w:val="TOC2"/>
        <w:rPr>
          <w:rFonts w:eastAsiaTheme="minorEastAsia" w:cs="Arial"/>
          <w:noProof/>
          <w:kern w:val="2"/>
          <w:lang w:eastAsia="en-AU"/>
          <w14:ligatures w14:val="standardContextual"/>
        </w:rPr>
      </w:pPr>
      <w:hyperlink w:anchor="_Toc142991316" w:history="1">
        <w:r w:rsidR="00B90315" w:rsidRPr="000A53C0">
          <w:rPr>
            <w:rStyle w:val="Hyperlink"/>
            <w:rFonts w:ascii="Arial" w:hAnsi="Arial" w:cs="Arial"/>
            <w:noProof/>
          </w:rPr>
          <w:t>1.3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The case for government intervention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12</w:t>
        </w:r>
        <w:r w:rsidR="00B90315" w:rsidRPr="000A53C0">
          <w:rPr>
            <w:rFonts w:cs="Arial"/>
            <w:noProof/>
            <w:webHidden/>
          </w:rPr>
          <w:fldChar w:fldCharType="end"/>
        </w:r>
      </w:hyperlink>
    </w:p>
    <w:p w14:paraId="57D9993E" w14:textId="6857341F" w:rsidR="00B90315" w:rsidRPr="000A53C0" w:rsidRDefault="00233122">
      <w:pPr>
        <w:pStyle w:val="TOC2"/>
        <w:rPr>
          <w:rFonts w:eastAsiaTheme="minorEastAsia" w:cs="Arial"/>
          <w:noProof/>
          <w:kern w:val="2"/>
          <w:lang w:eastAsia="en-AU"/>
          <w14:ligatures w14:val="standardContextual"/>
        </w:rPr>
      </w:pPr>
      <w:hyperlink w:anchor="_Toc142991317" w:history="1">
        <w:r w:rsidR="00B90315" w:rsidRPr="000A53C0">
          <w:rPr>
            <w:rStyle w:val="Hyperlink"/>
            <w:rFonts w:ascii="Arial" w:hAnsi="Arial" w:cs="Arial"/>
            <w:noProof/>
          </w:rPr>
          <w:t>1.4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Objectives of government intervention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12</w:t>
        </w:r>
        <w:r w:rsidR="00B90315" w:rsidRPr="000A53C0">
          <w:rPr>
            <w:rFonts w:cs="Arial"/>
            <w:noProof/>
            <w:webHidden/>
          </w:rPr>
          <w:fldChar w:fldCharType="end"/>
        </w:r>
      </w:hyperlink>
    </w:p>
    <w:p w14:paraId="51D8B3F8" w14:textId="25C52FBA" w:rsidR="00B90315" w:rsidRPr="000A53C0" w:rsidRDefault="00233122">
      <w:pPr>
        <w:pStyle w:val="TOC2"/>
        <w:rPr>
          <w:rFonts w:eastAsiaTheme="minorEastAsia" w:cs="Arial"/>
          <w:noProof/>
          <w:kern w:val="2"/>
          <w:lang w:eastAsia="en-AU"/>
          <w14:ligatures w14:val="standardContextual"/>
        </w:rPr>
      </w:pPr>
      <w:hyperlink w:anchor="_Toc142991318" w:history="1">
        <w:r w:rsidR="00B90315" w:rsidRPr="000A53C0">
          <w:rPr>
            <w:rStyle w:val="Hyperlink"/>
            <w:rFonts w:ascii="Arial" w:hAnsi="Arial" w:cs="Arial"/>
            <w:noProof/>
          </w:rPr>
          <w:t>1.5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Purpose and scope of this Decision Regulation Impact Statement</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12</w:t>
        </w:r>
        <w:r w:rsidR="00B90315" w:rsidRPr="000A53C0">
          <w:rPr>
            <w:rFonts w:cs="Arial"/>
            <w:noProof/>
            <w:webHidden/>
          </w:rPr>
          <w:fldChar w:fldCharType="end"/>
        </w:r>
      </w:hyperlink>
    </w:p>
    <w:p w14:paraId="017CFFC6" w14:textId="4F6CFAA1" w:rsidR="00B90315" w:rsidRPr="000A53C0" w:rsidRDefault="00233122">
      <w:pPr>
        <w:pStyle w:val="TOC2"/>
        <w:rPr>
          <w:rFonts w:eastAsiaTheme="minorEastAsia" w:cs="Arial"/>
          <w:noProof/>
          <w:kern w:val="2"/>
          <w:lang w:eastAsia="en-AU"/>
          <w14:ligatures w14:val="standardContextual"/>
        </w:rPr>
      </w:pPr>
      <w:hyperlink w:anchor="_Toc142991319" w:history="1">
        <w:r w:rsidR="00B90315" w:rsidRPr="000A53C0">
          <w:rPr>
            <w:rStyle w:val="Hyperlink"/>
            <w:rFonts w:ascii="Arial" w:hAnsi="Arial" w:cs="Arial"/>
            <w:noProof/>
          </w:rPr>
          <w:t>1.6</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Structure of this Decision RIS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_Toc142991319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13</w:t>
        </w:r>
        <w:r w:rsidR="00B90315" w:rsidRPr="000A53C0">
          <w:rPr>
            <w:rFonts w:cs="Arial"/>
            <w:noProof/>
            <w:webHidden/>
          </w:rPr>
          <w:fldChar w:fldCharType="end"/>
        </w:r>
      </w:hyperlink>
    </w:p>
    <w:p w14:paraId="336CF7C4" w14:textId="4B81874A" w:rsidR="00B90315" w:rsidRPr="000A53C0" w:rsidRDefault="00233122">
      <w:pPr>
        <w:pStyle w:val="TOC1"/>
        <w:tabs>
          <w:tab w:val="left" w:pos="400"/>
        </w:tabs>
        <w:rPr>
          <w:rFonts w:eastAsiaTheme="minorEastAsia" w:cs="Arial"/>
          <w:noProof/>
          <w:kern w:val="2"/>
          <w:lang w:eastAsia="en-AU"/>
          <w14:ligatures w14:val="standardContextual"/>
        </w:rPr>
      </w:pPr>
      <w:hyperlink w:anchor="_Toc142991320" w:history="1">
        <w:r w:rsidR="00B90315" w:rsidRPr="000A53C0">
          <w:rPr>
            <w:rStyle w:val="Hyperlink"/>
            <w:rFonts w:ascii="Arial" w:hAnsi="Arial" w:cs="Arial"/>
            <w:noProof/>
          </w:rPr>
          <w:t>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Statement of the problem</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14</w:t>
        </w:r>
        <w:r w:rsidR="00B90315" w:rsidRPr="000A53C0">
          <w:rPr>
            <w:rFonts w:cs="Arial"/>
            <w:noProof/>
            <w:webHidden/>
          </w:rPr>
          <w:fldChar w:fldCharType="end"/>
        </w:r>
      </w:hyperlink>
    </w:p>
    <w:p w14:paraId="7669F3D1" w14:textId="261A5460" w:rsidR="00B90315" w:rsidRPr="000A53C0" w:rsidRDefault="00233122">
      <w:pPr>
        <w:pStyle w:val="TOC2"/>
        <w:rPr>
          <w:rFonts w:eastAsiaTheme="minorEastAsia" w:cs="Arial"/>
          <w:noProof/>
          <w:kern w:val="2"/>
          <w:lang w:eastAsia="en-AU"/>
          <w14:ligatures w14:val="standardContextual"/>
        </w:rPr>
      </w:pPr>
      <w:hyperlink w:anchor="_Toc142991321" w:history="1">
        <w:r w:rsidR="00B90315" w:rsidRPr="000A53C0">
          <w:rPr>
            <w:rStyle w:val="Hyperlink"/>
            <w:rFonts w:ascii="Arial" w:hAnsi="Arial" w:cs="Arial"/>
            <w:noProof/>
          </w:rPr>
          <w:t>2.1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Defining the problem</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14</w:t>
        </w:r>
        <w:r w:rsidR="00B90315" w:rsidRPr="000A53C0">
          <w:rPr>
            <w:rFonts w:cs="Arial"/>
            <w:noProof/>
            <w:webHidden/>
          </w:rPr>
          <w:fldChar w:fldCharType="end"/>
        </w:r>
      </w:hyperlink>
    </w:p>
    <w:p w14:paraId="59BB878E" w14:textId="04B38905" w:rsidR="00B90315" w:rsidRPr="000A53C0" w:rsidRDefault="00233122">
      <w:pPr>
        <w:pStyle w:val="TOC2"/>
        <w:rPr>
          <w:rFonts w:eastAsiaTheme="minorEastAsia" w:cs="Arial"/>
          <w:noProof/>
          <w:kern w:val="2"/>
          <w:lang w:eastAsia="en-AU"/>
          <w14:ligatures w14:val="standardContextual"/>
        </w:rPr>
      </w:pPr>
      <w:hyperlink w:anchor="_Toc142991322" w:history="1">
        <w:r w:rsidR="00B90315" w:rsidRPr="000A53C0">
          <w:rPr>
            <w:rStyle w:val="Hyperlink"/>
            <w:rFonts w:ascii="Arial" w:hAnsi="Arial" w:cs="Arial"/>
            <w:noProof/>
          </w:rPr>
          <w:t>2.2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Engineered stone –unique hazards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15</w:t>
        </w:r>
        <w:r w:rsidR="00B90315" w:rsidRPr="000A53C0">
          <w:rPr>
            <w:rFonts w:cs="Arial"/>
            <w:noProof/>
            <w:webHidden/>
          </w:rPr>
          <w:fldChar w:fldCharType="end"/>
        </w:r>
      </w:hyperlink>
    </w:p>
    <w:p w14:paraId="0A4C471A" w14:textId="6239A624" w:rsidR="00B90315" w:rsidRPr="000A53C0" w:rsidRDefault="00233122">
      <w:pPr>
        <w:pStyle w:val="TOC2"/>
        <w:rPr>
          <w:rFonts w:eastAsiaTheme="minorEastAsia" w:cs="Arial"/>
          <w:noProof/>
          <w:kern w:val="2"/>
          <w:lang w:eastAsia="en-AU"/>
          <w14:ligatures w14:val="standardContextual"/>
        </w:rPr>
      </w:pPr>
      <w:hyperlink w:anchor="_Toc142991323" w:history="1">
        <w:r w:rsidR="00B90315" w:rsidRPr="000A53C0">
          <w:rPr>
            <w:rStyle w:val="Hyperlink"/>
            <w:rFonts w:ascii="Arial" w:hAnsi="Arial" w:cs="Arial"/>
            <w:noProof/>
          </w:rPr>
          <w:t>2.3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Duties under the WHS legal framework</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17</w:t>
        </w:r>
        <w:r w:rsidR="00B90315" w:rsidRPr="000A53C0">
          <w:rPr>
            <w:rFonts w:cs="Arial"/>
            <w:noProof/>
            <w:webHidden/>
          </w:rPr>
          <w:fldChar w:fldCharType="end"/>
        </w:r>
      </w:hyperlink>
    </w:p>
    <w:p w14:paraId="2B50753B" w14:textId="30CFCE48" w:rsidR="00B90315" w:rsidRPr="000A53C0" w:rsidRDefault="00233122">
      <w:pPr>
        <w:pStyle w:val="TOC2"/>
        <w:rPr>
          <w:rFonts w:eastAsiaTheme="minorEastAsia" w:cs="Arial"/>
          <w:noProof/>
          <w:kern w:val="2"/>
          <w:lang w:eastAsia="en-AU"/>
          <w14:ligatures w14:val="standardContextual"/>
        </w:rPr>
      </w:pPr>
      <w:hyperlink w:anchor="_Toc142991324" w:history="1">
        <w:r w:rsidR="00B90315" w:rsidRPr="000A53C0">
          <w:rPr>
            <w:rStyle w:val="Hyperlink"/>
            <w:rFonts w:ascii="Arial" w:hAnsi="Arial" w:cs="Arial"/>
            <w:noProof/>
          </w:rPr>
          <w:t>2.4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Inadequate levels of compliance in the engineered stone industry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19</w:t>
        </w:r>
        <w:r w:rsidR="00B90315" w:rsidRPr="000A53C0">
          <w:rPr>
            <w:rFonts w:cs="Arial"/>
            <w:noProof/>
            <w:webHidden/>
          </w:rPr>
          <w:fldChar w:fldCharType="end"/>
        </w:r>
      </w:hyperlink>
    </w:p>
    <w:p w14:paraId="48AE2888" w14:textId="65B2B7E0" w:rsidR="00B90315" w:rsidRPr="000A53C0" w:rsidRDefault="00233122">
      <w:pPr>
        <w:pStyle w:val="TOC2"/>
        <w:rPr>
          <w:rFonts w:eastAsiaTheme="minorEastAsia" w:cs="Arial"/>
          <w:noProof/>
          <w:kern w:val="2"/>
          <w:lang w:eastAsia="en-AU"/>
          <w14:ligatures w14:val="standardContextual"/>
        </w:rPr>
      </w:pPr>
      <w:hyperlink w:anchor="_Toc142991325" w:history="1">
        <w:r w:rsidR="00B90315" w:rsidRPr="000A53C0">
          <w:rPr>
            <w:rStyle w:val="Hyperlink"/>
            <w:rFonts w:ascii="Arial" w:hAnsi="Arial" w:cs="Arial"/>
            <w:noProof/>
          </w:rPr>
          <w:t>2.5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The nature of the engineered stone industry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23</w:t>
        </w:r>
        <w:r w:rsidR="00B90315" w:rsidRPr="000A53C0">
          <w:rPr>
            <w:rFonts w:cs="Arial"/>
            <w:noProof/>
            <w:webHidden/>
          </w:rPr>
          <w:fldChar w:fldCharType="end"/>
        </w:r>
      </w:hyperlink>
    </w:p>
    <w:p w14:paraId="5C55C9EA" w14:textId="34FDFE19" w:rsidR="00B90315" w:rsidRPr="000A53C0" w:rsidRDefault="00233122">
      <w:pPr>
        <w:pStyle w:val="TOC2"/>
        <w:rPr>
          <w:rFonts w:eastAsiaTheme="minorEastAsia" w:cs="Arial"/>
          <w:noProof/>
          <w:kern w:val="2"/>
          <w:lang w:eastAsia="en-AU"/>
          <w14:ligatures w14:val="standardContextual"/>
        </w:rPr>
      </w:pPr>
      <w:hyperlink w:anchor="_Toc142991326" w:history="1">
        <w:r w:rsidR="00B90315" w:rsidRPr="000A53C0">
          <w:rPr>
            <w:rStyle w:val="Hyperlink"/>
            <w:rFonts w:ascii="Arial" w:hAnsi="Arial" w:cs="Arial"/>
            <w:noProof/>
          </w:rPr>
          <w:t>2.6</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Silicosis disease onset and profile differs in engineered stone workers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23</w:t>
        </w:r>
        <w:r w:rsidR="00B90315" w:rsidRPr="000A53C0">
          <w:rPr>
            <w:rFonts w:cs="Arial"/>
            <w:noProof/>
            <w:webHidden/>
          </w:rPr>
          <w:fldChar w:fldCharType="end"/>
        </w:r>
      </w:hyperlink>
    </w:p>
    <w:p w14:paraId="622FEE0C" w14:textId="07722427" w:rsidR="00B90315" w:rsidRPr="000A53C0" w:rsidRDefault="00233122">
      <w:pPr>
        <w:pStyle w:val="TOC2"/>
        <w:rPr>
          <w:rFonts w:eastAsiaTheme="minorEastAsia" w:cs="Arial"/>
          <w:noProof/>
          <w:kern w:val="2"/>
          <w:lang w:eastAsia="en-AU"/>
          <w14:ligatures w14:val="standardContextual"/>
        </w:rPr>
      </w:pPr>
      <w:hyperlink w:anchor="_Toc142991327" w:history="1">
        <w:r w:rsidR="00B90315" w:rsidRPr="000A53C0">
          <w:rPr>
            <w:rStyle w:val="Hyperlink"/>
            <w:rFonts w:ascii="Arial" w:hAnsi="Arial" w:cs="Arial"/>
            <w:noProof/>
          </w:rPr>
          <w:t>2.7</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Problem statement summary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26</w:t>
        </w:r>
        <w:r w:rsidR="00B90315" w:rsidRPr="000A53C0">
          <w:rPr>
            <w:rFonts w:cs="Arial"/>
            <w:noProof/>
            <w:webHidden/>
          </w:rPr>
          <w:fldChar w:fldCharType="end"/>
        </w:r>
      </w:hyperlink>
    </w:p>
    <w:p w14:paraId="63CC2C9B" w14:textId="2C0F3F18" w:rsidR="00B90315" w:rsidRPr="000A53C0" w:rsidRDefault="00233122">
      <w:pPr>
        <w:pStyle w:val="TOC1"/>
        <w:tabs>
          <w:tab w:val="left" w:pos="400"/>
        </w:tabs>
        <w:rPr>
          <w:rFonts w:eastAsiaTheme="minorEastAsia" w:cs="Arial"/>
          <w:noProof/>
          <w:kern w:val="2"/>
          <w:lang w:eastAsia="en-AU"/>
          <w14:ligatures w14:val="standardContextual"/>
        </w:rPr>
      </w:pPr>
      <w:hyperlink w:anchor="_Toc142991328" w:history="1">
        <w:r w:rsidR="00B90315" w:rsidRPr="000A53C0">
          <w:rPr>
            <w:rStyle w:val="Hyperlink"/>
            <w:rFonts w:ascii="Arial" w:hAnsi="Arial" w:cs="Arial"/>
            <w:noProof/>
          </w:rPr>
          <w:t>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What policy options are being considered?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27</w:t>
        </w:r>
        <w:r w:rsidR="00B90315" w:rsidRPr="000A53C0">
          <w:rPr>
            <w:rFonts w:cs="Arial"/>
            <w:noProof/>
            <w:webHidden/>
          </w:rPr>
          <w:fldChar w:fldCharType="end"/>
        </w:r>
      </w:hyperlink>
    </w:p>
    <w:p w14:paraId="2AD825E1" w14:textId="3C12DA28" w:rsidR="00B90315" w:rsidRPr="000A53C0" w:rsidRDefault="00233122">
      <w:pPr>
        <w:pStyle w:val="TOC2"/>
        <w:rPr>
          <w:rFonts w:eastAsiaTheme="minorEastAsia" w:cs="Arial"/>
          <w:noProof/>
          <w:kern w:val="2"/>
          <w:lang w:eastAsia="en-AU"/>
          <w14:ligatures w14:val="standardContextual"/>
        </w:rPr>
      </w:pPr>
      <w:hyperlink w:anchor="_Toc142991329" w:history="1">
        <w:r w:rsidR="00B90315" w:rsidRPr="000A53C0">
          <w:rPr>
            <w:rStyle w:val="Hyperlink"/>
            <w:rFonts w:ascii="Arial" w:hAnsi="Arial" w:cs="Arial"/>
            <w:noProof/>
          </w:rPr>
          <w:t>3.1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Overview</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_Toc142991329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27</w:t>
        </w:r>
        <w:r w:rsidR="00B90315" w:rsidRPr="000A53C0">
          <w:rPr>
            <w:rFonts w:cs="Arial"/>
            <w:noProof/>
            <w:webHidden/>
          </w:rPr>
          <w:fldChar w:fldCharType="end"/>
        </w:r>
      </w:hyperlink>
    </w:p>
    <w:p w14:paraId="4131EDF9" w14:textId="768F4987" w:rsidR="00B90315" w:rsidRPr="000A53C0" w:rsidRDefault="00233122">
      <w:pPr>
        <w:pStyle w:val="TOC2"/>
        <w:rPr>
          <w:rFonts w:eastAsiaTheme="minorEastAsia" w:cs="Arial"/>
          <w:noProof/>
          <w:kern w:val="2"/>
          <w:lang w:eastAsia="en-AU"/>
          <w14:ligatures w14:val="standardContextual"/>
        </w:rPr>
      </w:pPr>
      <w:hyperlink w:anchor="_Toc142991330" w:history="1">
        <w:r w:rsidR="00B90315" w:rsidRPr="000A53C0">
          <w:rPr>
            <w:rStyle w:val="Hyperlink"/>
            <w:rFonts w:ascii="Arial" w:hAnsi="Arial" w:cs="Arial"/>
            <w:noProof/>
          </w:rPr>
          <w:t>3.2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Base case</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27</w:t>
        </w:r>
        <w:r w:rsidR="00B90315" w:rsidRPr="000A53C0">
          <w:rPr>
            <w:rFonts w:cs="Arial"/>
            <w:noProof/>
            <w:webHidden/>
          </w:rPr>
          <w:fldChar w:fldCharType="end"/>
        </w:r>
      </w:hyperlink>
    </w:p>
    <w:p w14:paraId="33833D01" w14:textId="3B8F3FCA" w:rsidR="00B90315" w:rsidRPr="000A53C0" w:rsidRDefault="00233122">
      <w:pPr>
        <w:pStyle w:val="TOC2"/>
        <w:rPr>
          <w:rFonts w:eastAsiaTheme="minorEastAsia" w:cs="Arial"/>
          <w:noProof/>
          <w:kern w:val="2"/>
          <w:lang w:eastAsia="en-AU"/>
          <w14:ligatures w14:val="standardContextual"/>
        </w:rPr>
      </w:pPr>
      <w:hyperlink w:anchor="_Toc142991331" w:history="1">
        <w:r w:rsidR="00B90315" w:rsidRPr="000A53C0">
          <w:rPr>
            <w:rStyle w:val="Hyperlink"/>
            <w:rFonts w:ascii="Arial" w:hAnsi="Arial" w:cs="Arial"/>
            <w:noProof/>
          </w:rPr>
          <w:t>3.3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1: Prohibition on the use of all engineered stone</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27</w:t>
        </w:r>
        <w:r w:rsidR="00B90315" w:rsidRPr="000A53C0">
          <w:rPr>
            <w:rFonts w:cs="Arial"/>
            <w:noProof/>
            <w:webHidden/>
          </w:rPr>
          <w:fldChar w:fldCharType="end"/>
        </w:r>
      </w:hyperlink>
    </w:p>
    <w:p w14:paraId="4CC81725" w14:textId="653B630D" w:rsidR="00B90315" w:rsidRPr="000A53C0" w:rsidRDefault="00233122">
      <w:pPr>
        <w:pStyle w:val="TOC2"/>
        <w:rPr>
          <w:rFonts w:eastAsiaTheme="minorEastAsia" w:cs="Arial"/>
          <w:noProof/>
          <w:kern w:val="2"/>
          <w:lang w:eastAsia="en-AU"/>
          <w14:ligatures w14:val="standardContextual"/>
        </w:rPr>
      </w:pPr>
      <w:hyperlink w:anchor="_Toc142991332" w:history="1">
        <w:r w:rsidR="00B90315" w:rsidRPr="000A53C0">
          <w:rPr>
            <w:rStyle w:val="Hyperlink"/>
            <w:rFonts w:ascii="Arial" w:hAnsi="Arial" w:cs="Arial"/>
            <w:noProof/>
          </w:rPr>
          <w:t>3.4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2: Prohibition on the use of engineered stone containing 40% or more crystalline silica</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28</w:t>
        </w:r>
        <w:r w:rsidR="00B90315" w:rsidRPr="000A53C0">
          <w:rPr>
            <w:rFonts w:cs="Arial"/>
            <w:noProof/>
            <w:webHidden/>
          </w:rPr>
          <w:fldChar w:fldCharType="end"/>
        </w:r>
      </w:hyperlink>
    </w:p>
    <w:p w14:paraId="332CC0BB" w14:textId="5579264E" w:rsidR="00B90315" w:rsidRPr="000A53C0" w:rsidRDefault="00233122">
      <w:pPr>
        <w:pStyle w:val="TOC2"/>
        <w:rPr>
          <w:rFonts w:eastAsiaTheme="minorEastAsia" w:cs="Arial"/>
          <w:noProof/>
          <w:kern w:val="2"/>
          <w:lang w:eastAsia="en-AU"/>
          <w14:ligatures w14:val="standardContextual"/>
        </w:rPr>
      </w:pPr>
      <w:hyperlink w:anchor="_Toc142991333" w:history="1">
        <w:r w:rsidR="00B90315" w:rsidRPr="000A53C0">
          <w:rPr>
            <w:rStyle w:val="Hyperlink"/>
            <w:rFonts w:ascii="Arial" w:hAnsi="Arial" w:cs="Arial"/>
            <w:noProof/>
          </w:rPr>
          <w:t>3.5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3: As for Option 2, with an accompanying licensing scheme for PCBUs working with engineered stone containing less than 40% crystalline silica</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28</w:t>
        </w:r>
        <w:r w:rsidR="00B90315" w:rsidRPr="000A53C0">
          <w:rPr>
            <w:rFonts w:cs="Arial"/>
            <w:noProof/>
            <w:webHidden/>
          </w:rPr>
          <w:fldChar w:fldCharType="end"/>
        </w:r>
      </w:hyperlink>
    </w:p>
    <w:p w14:paraId="56EA9B0D" w14:textId="01108C38" w:rsidR="00B90315" w:rsidRPr="000A53C0" w:rsidRDefault="00233122">
      <w:pPr>
        <w:pStyle w:val="TOC1"/>
        <w:tabs>
          <w:tab w:val="left" w:pos="400"/>
        </w:tabs>
        <w:rPr>
          <w:rFonts w:eastAsiaTheme="minorEastAsia" w:cs="Arial"/>
          <w:noProof/>
          <w:kern w:val="2"/>
          <w:lang w:eastAsia="en-AU"/>
          <w14:ligatures w14:val="standardContextual"/>
        </w:rPr>
      </w:pPr>
      <w:hyperlink w:anchor="_Toc142991334" w:history="1">
        <w:r w:rsidR="00B90315" w:rsidRPr="000A53C0">
          <w:rPr>
            <w:rStyle w:val="Hyperlink"/>
            <w:rFonts w:ascii="Arial" w:hAnsi="Arial" w:cs="Arial"/>
            <w:noProof/>
          </w:rPr>
          <w:t>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What is the likely impact of the options?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29</w:t>
        </w:r>
        <w:r w:rsidR="00B90315" w:rsidRPr="000A53C0">
          <w:rPr>
            <w:rFonts w:cs="Arial"/>
            <w:noProof/>
            <w:webHidden/>
          </w:rPr>
          <w:fldChar w:fldCharType="end"/>
        </w:r>
      </w:hyperlink>
    </w:p>
    <w:p w14:paraId="014B28C1" w14:textId="13FB7814" w:rsidR="00B90315" w:rsidRPr="000A53C0" w:rsidRDefault="00233122">
      <w:pPr>
        <w:pStyle w:val="TOC2"/>
        <w:rPr>
          <w:rFonts w:eastAsiaTheme="minorEastAsia" w:cs="Arial"/>
          <w:noProof/>
          <w:kern w:val="2"/>
          <w:lang w:eastAsia="en-AU"/>
          <w14:ligatures w14:val="standardContextual"/>
        </w:rPr>
      </w:pPr>
      <w:hyperlink w:anchor="_Toc142991335" w:history="1">
        <w:r w:rsidR="00B90315" w:rsidRPr="000A53C0">
          <w:rPr>
            <w:rStyle w:val="Hyperlink"/>
            <w:rFonts w:ascii="Arial" w:hAnsi="Arial" w:cs="Arial"/>
            <w:noProof/>
          </w:rPr>
          <w:t>4.1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Overview of approach</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29</w:t>
        </w:r>
        <w:r w:rsidR="00B90315" w:rsidRPr="000A53C0">
          <w:rPr>
            <w:rFonts w:cs="Arial"/>
            <w:noProof/>
            <w:webHidden/>
          </w:rPr>
          <w:fldChar w:fldCharType="end"/>
        </w:r>
      </w:hyperlink>
    </w:p>
    <w:p w14:paraId="3B671E39" w14:textId="25775F82" w:rsidR="00B90315" w:rsidRPr="000A53C0" w:rsidRDefault="00233122">
      <w:pPr>
        <w:pStyle w:val="TOC2"/>
        <w:rPr>
          <w:rFonts w:eastAsiaTheme="minorEastAsia" w:cs="Arial"/>
          <w:noProof/>
          <w:kern w:val="2"/>
          <w:lang w:eastAsia="en-AU"/>
          <w14:ligatures w14:val="standardContextual"/>
        </w:rPr>
      </w:pPr>
      <w:hyperlink w:anchor="_Toc142991336" w:history="1">
        <w:r w:rsidR="00B90315" w:rsidRPr="000A53C0">
          <w:rPr>
            <w:rStyle w:val="Hyperlink"/>
            <w:rFonts w:ascii="Arial" w:hAnsi="Arial" w:cs="Arial"/>
            <w:noProof/>
          </w:rPr>
          <w:t>4.2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Overview of industry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32</w:t>
        </w:r>
        <w:r w:rsidR="00B90315" w:rsidRPr="000A53C0">
          <w:rPr>
            <w:rFonts w:cs="Arial"/>
            <w:noProof/>
            <w:webHidden/>
          </w:rPr>
          <w:fldChar w:fldCharType="end"/>
        </w:r>
      </w:hyperlink>
    </w:p>
    <w:p w14:paraId="7DFF4DB1" w14:textId="29B715FF" w:rsidR="00B90315" w:rsidRPr="000A53C0" w:rsidRDefault="00233122">
      <w:pPr>
        <w:pStyle w:val="TOC2"/>
        <w:rPr>
          <w:rFonts w:eastAsiaTheme="minorEastAsia" w:cs="Arial"/>
          <w:noProof/>
          <w:kern w:val="2"/>
          <w:lang w:eastAsia="en-AU"/>
          <w14:ligatures w14:val="standardContextual"/>
        </w:rPr>
      </w:pPr>
      <w:hyperlink w:anchor="_Toc142991337" w:history="1">
        <w:r w:rsidR="00B90315" w:rsidRPr="000A53C0">
          <w:rPr>
            <w:rStyle w:val="Hyperlink"/>
            <w:rFonts w:ascii="Arial" w:hAnsi="Arial" w:cs="Arial"/>
            <w:noProof/>
          </w:rPr>
          <w:t>4.3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Overview of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33</w:t>
        </w:r>
        <w:r w:rsidR="00B90315" w:rsidRPr="000A53C0">
          <w:rPr>
            <w:rFonts w:cs="Arial"/>
            <w:noProof/>
            <w:webHidden/>
          </w:rPr>
          <w:fldChar w:fldCharType="end"/>
        </w:r>
      </w:hyperlink>
    </w:p>
    <w:p w14:paraId="46547490" w14:textId="231F171A" w:rsidR="00B90315" w:rsidRPr="000A53C0" w:rsidRDefault="00233122">
      <w:pPr>
        <w:pStyle w:val="TOC2"/>
        <w:rPr>
          <w:rFonts w:eastAsiaTheme="minorEastAsia" w:cs="Arial"/>
          <w:noProof/>
          <w:kern w:val="2"/>
          <w:lang w:eastAsia="en-AU"/>
          <w14:ligatures w14:val="standardContextual"/>
        </w:rPr>
      </w:pPr>
      <w:hyperlink w:anchor="_Toc142991338" w:history="1">
        <w:r w:rsidR="00B90315" w:rsidRPr="000A53C0">
          <w:rPr>
            <w:rStyle w:val="Hyperlink"/>
            <w:rFonts w:ascii="Arial" w:hAnsi="Arial" w:cs="Arial"/>
            <w:noProof/>
          </w:rPr>
          <w:t>4.4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1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35</w:t>
        </w:r>
        <w:r w:rsidR="00B90315" w:rsidRPr="000A53C0">
          <w:rPr>
            <w:rFonts w:cs="Arial"/>
            <w:noProof/>
            <w:webHidden/>
          </w:rPr>
          <w:fldChar w:fldCharType="end"/>
        </w:r>
      </w:hyperlink>
    </w:p>
    <w:p w14:paraId="31089C7E" w14:textId="1CA6374C" w:rsidR="00B90315" w:rsidRPr="000A53C0" w:rsidRDefault="00233122">
      <w:pPr>
        <w:pStyle w:val="TOC2"/>
        <w:rPr>
          <w:rFonts w:eastAsiaTheme="minorEastAsia" w:cs="Arial"/>
          <w:noProof/>
          <w:kern w:val="2"/>
          <w:lang w:eastAsia="en-AU"/>
          <w14:ligatures w14:val="standardContextual"/>
        </w:rPr>
      </w:pPr>
      <w:hyperlink w:anchor="_Toc142991339" w:history="1">
        <w:r w:rsidR="00B90315" w:rsidRPr="000A53C0">
          <w:rPr>
            <w:rStyle w:val="Hyperlink"/>
            <w:rFonts w:ascii="Arial" w:hAnsi="Arial" w:cs="Arial"/>
            <w:noProof/>
          </w:rPr>
          <w:t>4.5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2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_Toc142991339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38</w:t>
        </w:r>
        <w:r w:rsidR="00B90315" w:rsidRPr="000A53C0">
          <w:rPr>
            <w:rFonts w:cs="Arial"/>
            <w:noProof/>
            <w:webHidden/>
          </w:rPr>
          <w:fldChar w:fldCharType="end"/>
        </w:r>
      </w:hyperlink>
    </w:p>
    <w:p w14:paraId="326861FE" w14:textId="479E01E7" w:rsidR="00B90315" w:rsidRPr="000A53C0" w:rsidRDefault="00233122">
      <w:pPr>
        <w:pStyle w:val="TOC2"/>
        <w:rPr>
          <w:rFonts w:eastAsiaTheme="minorEastAsia" w:cs="Arial"/>
          <w:noProof/>
          <w:kern w:val="2"/>
          <w:lang w:eastAsia="en-AU"/>
          <w14:ligatures w14:val="standardContextual"/>
        </w:rPr>
      </w:pPr>
      <w:hyperlink w:anchor="_Toc142991340" w:history="1">
        <w:r w:rsidR="00B90315" w:rsidRPr="000A53C0">
          <w:rPr>
            <w:rStyle w:val="Hyperlink"/>
            <w:rFonts w:ascii="Arial" w:hAnsi="Arial" w:cs="Arial"/>
            <w:noProof/>
          </w:rPr>
          <w:t>4.6</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 3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40</w:t>
        </w:r>
        <w:r w:rsidR="00B90315" w:rsidRPr="000A53C0">
          <w:rPr>
            <w:rFonts w:cs="Arial"/>
            <w:noProof/>
            <w:webHidden/>
          </w:rPr>
          <w:fldChar w:fldCharType="end"/>
        </w:r>
      </w:hyperlink>
    </w:p>
    <w:p w14:paraId="69842D67" w14:textId="25B0413D" w:rsidR="00B90315" w:rsidRPr="000A53C0" w:rsidRDefault="00233122">
      <w:pPr>
        <w:pStyle w:val="TOC2"/>
        <w:rPr>
          <w:rFonts w:eastAsiaTheme="minorEastAsia" w:cs="Arial"/>
          <w:noProof/>
          <w:kern w:val="2"/>
          <w:lang w:eastAsia="en-AU"/>
          <w14:ligatures w14:val="standardContextual"/>
        </w:rPr>
      </w:pPr>
      <w:hyperlink w:anchor="_Toc142991341" w:history="1">
        <w:r w:rsidR="00B90315" w:rsidRPr="000A53C0">
          <w:rPr>
            <w:rStyle w:val="Hyperlink"/>
            <w:rFonts w:ascii="Arial" w:hAnsi="Arial" w:cs="Arial"/>
            <w:noProof/>
          </w:rPr>
          <w:t>4.7</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Qualitative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44</w:t>
        </w:r>
        <w:r w:rsidR="00B90315" w:rsidRPr="000A53C0">
          <w:rPr>
            <w:rFonts w:cs="Arial"/>
            <w:noProof/>
            <w:webHidden/>
          </w:rPr>
          <w:fldChar w:fldCharType="end"/>
        </w:r>
      </w:hyperlink>
    </w:p>
    <w:p w14:paraId="0ECECA59" w14:textId="6B212C0D" w:rsidR="00B90315" w:rsidRPr="000A53C0" w:rsidRDefault="00233122">
      <w:pPr>
        <w:pStyle w:val="TOC2"/>
        <w:rPr>
          <w:rFonts w:eastAsiaTheme="minorEastAsia" w:cs="Arial"/>
          <w:noProof/>
          <w:kern w:val="2"/>
          <w:lang w:eastAsia="en-AU"/>
          <w14:ligatures w14:val="standardContextual"/>
        </w:rPr>
      </w:pPr>
      <w:hyperlink w:anchor="_Toc142991342" w:history="1">
        <w:r w:rsidR="00B90315" w:rsidRPr="000A53C0">
          <w:rPr>
            <w:rStyle w:val="Hyperlink"/>
            <w:rFonts w:ascii="Arial" w:hAnsi="Arial" w:cs="Arial"/>
            <w:noProof/>
          </w:rPr>
          <w:t>4.8</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Qualitative benefits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47</w:t>
        </w:r>
        <w:r w:rsidR="00B90315" w:rsidRPr="000A53C0">
          <w:rPr>
            <w:rFonts w:cs="Arial"/>
            <w:noProof/>
            <w:webHidden/>
          </w:rPr>
          <w:fldChar w:fldCharType="end"/>
        </w:r>
      </w:hyperlink>
    </w:p>
    <w:p w14:paraId="2E356A76" w14:textId="12E17093" w:rsidR="00B90315" w:rsidRPr="000A53C0" w:rsidRDefault="00233122">
      <w:pPr>
        <w:pStyle w:val="TOC2"/>
        <w:rPr>
          <w:rFonts w:eastAsiaTheme="minorEastAsia" w:cs="Arial"/>
          <w:noProof/>
          <w:kern w:val="2"/>
          <w:lang w:eastAsia="en-AU"/>
          <w14:ligatures w14:val="standardContextual"/>
        </w:rPr>
      </w:pPr>
      <w:hyperlink w:anchor="_Toc142991343" w:history="1">
        <w:r w:rsidR="00B90315" w:rsidRPr="000A53C0">
          <w:rPr>
            <w:rStyle w:val="Hyperlink"/>
            <w:rFonts w:ascii="Arial" w:hAnsi="Arial" w:cs="Arial"/>
            <w:noProof/>
          </w:rPr>
          <w:t>4.9</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Breakeven analysis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48</w:t>
        </w:r>
        <w:r w:rsidR="00B90315" w:rsidRPr="000A53C0">
          <w:rPr>
            <w:rFonts w:cs="Arial"/>
            <w:noProof/>
            <w:webHidden/>
          </w:rPr>
          <w:fldChar w:fldCharType="end"/>
        </w:r>
      </w:hyperlink>
    </w:p>
    <w:p w14:paraId="5241F833" w14:textId="75015E67" w:rsidR="00B90315" w:rsidRPr="000A53C0" w:rsidRDefault="00233122">
      <w:pPr>
        <w:pStyle w:val="TOC1"/>
        <w:tabs>
          <w:tab w:val="left" w:pos="400"/>
        </w:tabs>
        <w:rPr>
          <w:rFonts w:eastAsiaTheme="minorEastAsia" w:cs="Arial"/>
          <w:noProof/>
          <w:kern w:val="2"/>
          <w:lang w:eastAsia="en-AU"/>
          <w14:ligatures w14:val="standardContextual"/>
        </w:rPr>
      </w:pPr>
      <w:hyperlink w:anchor="_Toc142991344" w:history="1">
        <w:r w:rsidR="00B90315" w:rsidRPr="000A53C0">
          <w:rPr>
            <w:rStyle w:val="Hyperlink"/>
            <w:rFonts w:ascii="Arial" w:hAnsi="Arial" w:cs="Arial"/>
            <w:noProof/>
          </w:rPr>
          <w:t>5</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Who was consulted and how was their feedback incorporated?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50</w:t>
        </w:r>
        <w:r w:rsidR="00B90315" w:rsidRPr="000A53C0">
          <w:rPr>
            <w:rFonts w:cs="Arial"/>
            <w:noProof/>
            <w:webHidden/>
          </w:rPr>
          <w:fldChar w:fldCharType="end"/>
        </w:r>
      </w:hyperlink>
    </w:p>
    <w:p w14:paraId="47DB935E" w14:textId="2D2CE060" w:rsidR="00B90315" w:rsidRPr="000A53C0" w:rsidRDefault="00233122">
      <w:pPr>
        <w:pStyle w:val="TOC2"/>
        <w:rPr>
          <w:rFonts w:eastAsiaTheme="minorEastAsia" w:cs="Arial"/>
          <w:noProof/>
          <w:kern w:val="2"/>
          <w:lang w:eastAsia="en-AU"/>
          <w14:ligatures w14:val="standardContextual"/>
        </w:rPr>
      </w:pPr>
      <w:hyperlink w:anchor="_Toc142991345" w:history="1">
        <w:r w:rsidR="00B90315" w:rsidRPr="000A53C0">
          <w:rPr>
            <w:rStyle w:val="Hyperlink"/>
            <w:rFonts w:ascii="Arial" w:hAnsi="Arial" w:cs="Arial"/>
            <w:noProof/>
          </w:rPr>
          <w:t>5.1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Options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50</w:t>
        </w:r>
        <w:r w:rsidR="00B90315" w:rsidRPr="000A53C0">
          <w:rPr>
            <w:rFonts w:cs="Arial"/>
            <w:noProof/>
            <w:webHidden/>
          </w:rPr>
          <w:fldChar w:fldCharType="end"/>
        </w:r>
      </w:hyperlink>
    </w:p>
    <w:p w14:paraId="4DB16AFE" w14:textId="3694210B" w:rsidR="00B90315" w:rsidRPr="000A53C0" w:rsidRDefault="00233122">
      <w:pPr>
        <w:pStyle w:val="TOC2"/>
        <w:rPr>
          <w:rFonts w:eastAsiaTheme="minorEastAsia" w:cs="Arial"/>
          <w:noProof/>
          <w:kern w:val="2"/>
          <w:lang w:eastAsia="en-AU"/>
          <w14:ligatures w14:val="standardContextual"/>
        </w:rPr>
      </w:pPr>
      <w:hyperlink w:anchor="_Toc142991346" w:history="1">
        <w:r w:rsidR="00B90315" w:rsidRPr="000A53C0">
          <w:rPr>
            <w:rStyle w:val="Hyperlink"/>
            <w:rFonts w:ascii="Arial" w:hAnsi="Arial" w:cs="Arial"/>
            <w:noProof/>
          </w:rPr>
          <w:t>5.2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Submissions at a glance</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50</w:t>
        </w:r>
        <w:r w:rsidR="00B90315" w:rsidRPr="000A53C0">
          <w:rPr>
            <w:rFonts w:cs="Arial"/>
            <w:noProof/>
            <w:webHidden/>
          </w:rPr>
          <w:fldChar w:fldCharType="end"/>
        </w:r>
      </w:hyperlink>
    </w:p>
    <w:p w14:paraId="2A62770E" w14:textId="6BF8CF48" w:rsidR="00B90315" w:rsidRPr="000A53C0" w:rsidRDefault="00233122">
      <w:pPr>
        <w:pStyle w:val="TOC2"/>
        <w:rPr>
          <w:rFonts w:eastAsiaTheme="minorEastAsia" w:cs="Arial"/>
          <w:noProof/>
          <w:kern w:val="2"/>
          <w:lang w:eastAsia="en-AU"/>
          <w14:ligatures w14:val="standardContextual"/>
        </w:rPr>
      </w:pPr>
      <w:hyperlink w:anchor="_Toc142991347" w:history="1">
        <w:r w:rsidR="00B90315" w:rsidRPr="000A53C0">
          <w:rPr>
            <w:rStyle w:val="Hyperlink"/>
            <w:rFonts w:ascii="Arial" w:hAnsi="Arial" w:cs="Arial"/>
            <w:noProof/>
            <w:lang w:eastAsia="en-AU"/>
          </w:rPr>
          <w:t>5.3</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lang w:eastAsia="en-AU"/>
          </w:rPr>
          <w:t>Information that informed the impact analysis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51</w:t>
        </w:r>
        <w:r w:rsidR="00B90315" w:rsidRPr="000A53C0">
          <w:rPr>
            <w:rFonts w:cs="Arial"/>
            <w:noProof/>
            <w:webHidden/>
          </w:rPr>
          <w:fldChar w:fldCharType="end"/>
        </w:r>
      </w:hyperlink>
    </w:p>
    <w:p w14:paraId="1E7E1354" w14:textId="623C0BED" w:rsidR="00B90315" w:rsidRPr="000A53C0" w:rsidRDefault="00233122">
      <w:pPr>
        <w:pStyle w:val="TOC2"/>
        <w:rPr>
          <w:rFonts w:eastAsiaTheme="minorEastAsia" w:cs="Arial"/>
          <w:noProof/>
          <w:kern w:val="2"/>
          <w:lang w:eastAsia="en-AU"/>
          <w14:ligatures w14:val="standardContextual"/>
        </w:rPr>
      </w:pPr>
      <w:hyperlink w:anchor="_Toc142991348" w:history="1">
        <w:r w:rsidR="00B90315" w:rsidRPr="000A53C0">
          <w:rPr>
            <w:rStyle w:val="Hyperlink"/>
            <w:rFonts w:ascii="Arial" w:hAnsi="Arial" w:cs="Arial"/>
            <w:noProof/>
            <w:lang w:eastAsia="en-AU"/>
          </w:rPr>
          <w:t>5.4</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lang w:eastAsia="en-AU"/>
          </w:rPr>
          <w:t>Stakeholder views on options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51</w:t>
        </w:r>
        <w:r w:rsidR="00B90315" w:rsidRPr="000A53C0">
          <w:rPr>
            <w:rFonts w:cs="Arial"/>
            <w:noProof/>
            <w:webHidden/>
          </w:rPr>
          <w:fldChar w:fldCharType="end"/>
        </w:r>
      </w:hyperlink>
    </w:p>
    <w:p w14:paraId="65B83CAE" w14:textId="575DAC1F" w:rsidR="00B90315" w:rsidRPr="000A53C0" w:rsidRDefault="00233122">
      <w:pPr>
        <w:pStyle w:val="TOC1"/>
        <w:tabs>
          <w:tab w:val="left" w:pos="400"/>
        </w:tabs>
        <w:rPr>
          <w:rFonts w:eastAsiaTheme="minorEastAsia" w:cs="Arial"/>
          <w:noProof/>
          <w:kern w:val="2"/>
          <w:lang w:eastAsia="en-AU"/>
          <w14:ligatures w14:val="standardContextual"/>
        </w:rPr>
      </w:pPr>
      <w:hyperlink w:anchor="_Toc142991349" w:history="1">
        <w:r w:rsidR="00B90315" w:rsidRPr="000A53C0">
          <w:rPr>
            <w:rStyle w:val="Hyperlink"/>
            <w:rFonts w:ascii="Arial" w:hAnsi="Arial" w:cs="Arial"/>
            <w:noProof/>
          </w:rPr>
          <w:t>6</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What is the best option?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_Toc142991349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56</w:t>
        </w:r>
        <w:r w:rsidR="00B90315" w:rsidRPr="000A53C0">
          <w:rPr>
            <w:rFonts w:cs="Arial"/>
            <w:noProof/>
            <w:webHidden/>
          </w:rPr>
          <w:fldChar w:fldCharType="end"/>
        </w:r>
      </w:hyperlink>
    </w:p>
    <w:p w14:paraId="67FCBDC5" w14:textId="1EAB3C29" w:rsidR="00B90315" w:rsidRPr="000A53C0" w:rsidRDefault="00233122">
      <w:pPr>
        <w:pStyle w:val="TOC2"/>
        <w:rPr>
          <w:rFonts w:eastAsiaTheme="minorEastAsia" w:cs="Arial"/>
          <w:noProof/>
          <w:kern w:val="2"/>
          <w:lang w:eastAsia="en-AU"/>
          <w14:ligatures w14:val="standardContextual"/>
        </w:rPr>
      </w:pPr>
      <w:hyperlink w:anchor="_Toc142991350" w:history="1">
        <w:r w:rsidR="00B90315" w:rsidRPr="000A53C0">
          <w:rPr>
            <w:rStyle w:val="Hyperlink"/>
            <w:rFonts w:ascii="Arial" w:hAnsi="Arial" w:cs="Arial"/>
            <w:noProof/>
          </w:rPr>
          <w:t>6.1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Recommendation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56</w:t>
        </w:r>
        <w:r w:rsidR="00B90315" w:rsidRPr="000A53C0">
          <w:rPr>
            <w:rFonts w:cs="Arial"/>
            <w:noProof/>
            <w:webHidden/>
          </w:rPr>
          <w:fldChar w:fldCharType="end"/>
        </w:r>
      </w:hyperlink>
    </w:p>
    <w:p w14:paraId="6609113F" w14:textId="04E092BA" w:rsidR="00B90315" w:rsidRPr="000A53C0" w:rsidRDefault="00233122">
      <w:pPr>
        <w:pStyle w:val="TOC2"/>
        <w:rPr>
          <w:rFonts w:eastAsiaTheme="minorEastAsia" w:cs="Arial"/>
          <w:noProof/>
          <w:kern w:val="2"/>
          <w:lang w:eastAsia="en-AU"/>
          <w14:ligatures w14:val="standardContextual"/>
        </w:rPr>
      </w:pPr>
      <w:hyperlink w:anchor="_Toc142991351" w:history="1">
        <w:r w:rsidR="00B90315" w:rsidRPr="000A53C0">
          <w:rPr>
            <w:rStyle w:val="Hyperlink"/>
            <w:rFonts w:ascii="Arial" w:hAnsi="Arial" w:cs="Arial"/>
            <w:noProof/>
          </w:rPr>
          <w:t>6.2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Why are other options not preferred?</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56</w:t>
        </w:r>
        <w:r w:rsidR="00B90315" w:rsidRPr="000A53C0">
          <w:rPr>
            <w:rFonts w:cs="Arial"/>
            <w:noProof/>
            <w:webHidden/>
          </w:rPr>
          <w:fldChar w:fldCharType="end"/>
        </w:r>
      </w:hyperlink>
    </w:p>
    <w:p w14:paraId="04E78032" w14:textId="0A39A3E0" w:rsidR="00B90315" w:rsidRPr="000A53C0" w:rsidRDefault="00233122">
      <w:pPr>
        <w:pStyle w:val="TOC1"/>
        <w:tabs>
          <w:tab w:val="left" w:pos="400"/>
        </w:tabs>
        <w:rPr>
          <w:rFonts w:eastAsiaTheme="minorEastAsia" w:cs="Arial"/>
          <w:noProof/>
          <w:kern w:val="2"/>
          <w:lang w:eastAsia="en-AU"/>
          <w14:ligatures w14:val="standardContextual"/>
        </w:rPr>
      </w:pPr>
      <w:hyperlink w:anchor="_Toc142991352" w:history="1">
        <w:r w:rsidR="00B90315" w:rsidRPr="000A53C0">
          <w:rPr>
            <w:rStyle w:val="Hyperlink"/>
            <w:rFonts w:ascii="Arial" w:hAnsi="Arial" w:cs="Arial"/>
            <w:noProof/>
          </w:rPr>
          <w:t>7</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Implementation and Evaluation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58</w:t>
        </w:r>
        <w:r w:rsidR="00B90315" w:rsidRPr="000A53C0">
          <w:rPr>
            <w:rFonts w:cs="Arial"/>
            <w:noProof/>
            <w:webHidden/>
          </w:rPr>
          <w:fldChar w:fldCharType="end"/>
        </w:r>
      </w:hyperlink>
    </w:p>
    <w:p w14:paraId="402DBDA1" w14:textId="0A58CF9F" w:rsidR="00B90315" w:rsidRPr="000A53C0" w:rsidRDefault="00233122">
      <w:pPr>
        <w:pStyle w:val="TOC2"/>
        <w:rPr>
          <w:rFonts w:eastAsiaTheme="minorEastAsia" w:cs="Arial"/>
          <w:noProof/>
          <w:kern w:val="2"/>
          <w:lang w:eastAsia="en-AU"/>
          <w14:ligatures w14:val="standardContextual"/>
        </w:rPr>
      </w:pPr>
      <w:hyperlink w:anchor="_Toc142991353" w:history="1">
        <w:r w:rsidR="00B90315" w:rsidRPr="000A53C0">
          <w:rPr>
            <w:rStyle w:val="Hyperlink"/>
            <w:rFonts w:ascii="Arial" w:hAnsi="Arial" w:cs="Arial"/>
            <w:noProof/>
          </w:rPr>
          <w:t>7.1</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Implementation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58</w:t>
        </w:r>
        <w:r w:rsidR="00B90315" w:rsidRPr="000A53C0">
          <w:rPr>
            <w:rFonts w:cs="Arial"/>
            <w:noProof/>
            <w:webHidden/>
          </w:rPr>
          <w:fldChar w:fldCharType="end"/>
        </w:r>
      </w:hyperlink>
    </w:p>
    <w:p w14:paraId="35D09D8F" w14:textId="058AE0FB" w:rsidR="00B90315" w:rsidRPr="000A53C0" w:rsidRDefault="00233122">
      <w:pPr>
        <w:pStyle w:val="TOC2"/>
        <w:rPr>
          <w:rFonts w:eastAsiaTheme="minorEastAsia" w:cs="Arial"/>
          <w:noProof/>
          <w:kern w:val="2"/>
          <w:lang w:eastAsia="en-AU"/>
          <w14:ligatures w14:val="standardContextual"/>
        </w:rPr>
      </w:pPr>
      <w:hyperlink w:anchor="_Toc142991354" w:history="1">
        <w:r w:rsidR="00B90315" w:rsidRPr="000A53C0">
          <w:rPr>
            <w:rStyle w:val="Hyperlink"/>
            <w:rFonts w:ascii="Arial" w:hAnsi="Arial" w:cs="Arial"/>
            <w:noProof/>
          </w:rPr>
          <w:t>7.2</w:t>
        </w:r>
        <w:r w:rsidR="00B90315" w:rsidRPr="000A53C0">
          <w:rPr>
            <w:rFonts w:eastAsiaTheme="minorEastAsia" w:cs="Arial"/>
            <w:noProof/>
            <w:kern w:val="2"/>
            <w:lang w:eastAsia="en-AU"/>
            <w14:ligatures w14:val="standardContextual"/>
          </w:rPr>
          <w:tab/>
        </w:r>
        <w:r w:rsidR="00B90315" w:rsidRPr="000A53C0">
          <w:rPr>
            <w:rStyle w:val="Hyperlink"/>
            <w:rFonts w:ascii="Arial" w:hAnsi="Arial" w:cs="Arial"/>
            <w:noProof/>
          </w:rPr>
          <w:t>Evaluation</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58</w:t>
        </w:r>
        <w:r w:rsidR="00B90315" w:rsidRPr="000A53C0">
          <w:rPr>
            <w:rFonts w:cs="Arial"/>
            <w:noProof/>
            <w:webHidden/>
          </w:rPr>
          <w:fldChar w:fldCharType="end"/>
        </w:r>
      </w:hyperlink>
    </w:p>
    <w:p w14:paraId="1F394926" w14:textId="77692189" w:rsidR="00B90315" w:rsidRPr="000A53C0" w:rsidRDefault="00233122">
      <w:pPr>
        <w:pStyle w:val="TOC1"/>
        <w:rPr>
          <w:rFonts w:eastAsiaTheme="minorEastAsia" w:cs="Arial"/>
          <w:noProof/>
          <w:kern w:val="2"/>
          <w:lang w:eastAsia="en-AU"/>
          <w14:ligatures w14:val="standardContextual"/>
        </w:rPr>
      </w:pPr>
      <w:hyperlink w:anchor="_Toc142991355" w:history="1">
        <w:r w:rsidR="00B90315" w:rsidRPr="000A53C0">
          <w:rPr>
            <w:rStyle w:val="Hyperlink"/>
            <w:rFonts w:ascii="Arial" w:hAnsi="Arial" w:cs="Arial"/>
            <w:noProof/>
          </w:rPr>
          <w:t>Bibliography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60</w:t>
        </w:r>
        <w:r w:rsidR="00B90315" w:rsidRPr="000A53C0">
          <w:rPr>
            <w:rFonts w:cs="Arial"/>
            <w:noProof/>
            <w:webHidden/>
          </w:rPr>
          <w:fldChar w:fldCharType="end"/>
        </w:r>
      </w:hyperlink>
    </w:p>
    <w:p w14:paraId="73B7F43E" w14:textId="6CFC0584" w:rsidR="00B90315" w:rsidRPr="000A53C0" w:rsidRDefault="00233122">
      <w:pPr>
        <w:pStyle w:val="TOC1"/>
        <w:rPr>
          <w:rFonts w:eastAsiaTheme="minorEastAsia" w:cs="Arial"/>
          <w:noProof/>
          <w:kern w:val="2"/>
          <w:lang w:eastAsia="en-AU"/>
          <w14:ligatures w14:val="standardContextual"/>
        </w:rPr>
      </w:pPr>
      <w:hyperlink w:anchor="_Toc142991356" w:history="1">
        <w:r w:rsidR="00B90315" w:rsidRPr="000A53C0">
          <w:rPr>
            <w:rStyle w:val="Hyperlink"/>
            <w:rFonts w:ascii="Arial" w:hAnsi="Arial" w:cs="Arial"/>
            <w:noProof/>
          </w:rPr>
          <w:t>Appendix A: Legislative and regulatory framework for crystalline silica under the model WHS laws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65</w:t>
        </w:r>
        <w:r w:rsidR="00B90315" w:rsidRPr="000A53C0">
          <w:rPr>
            <w:rFonts w:cs="Arial"/>
            <w:noProof/>
            <w:webHidden/>
          </w:rPr>
          <w:fldChar w:fldCharType="end"/>
        </w:r>
      </w:hyperlink>
    </w:p>
    <w:p w14:paraId="7321ECA0" w14:textId="2EEC147C" w:rsidR="00B90315" w:rsidRPr="000A53C0" w:rsidRDefault="00233122">
      <w:pPr>
        <w:pStyle w:val="TOC2"/>
        <w:rPr>
          <w:rFonts w:eastAsiaTheme="minorEastAsia" w:cs="Arial"/>
          <w:noProof/>
          <w:kern w:val="2"/>
          <w:lang w:eastAsia="en-AU"/>
          <w14:ligatures w14:val="standardContextual"/>
        </w:rPr>
      </w:pPr>
      <w:hyperlink w:anchor="_Toc142991357" w:history="1">
        <w:r w:rsidR="00B90315" w:rsidRPr="000A53C0">
          <w:rPr>
            <w:rStyle w:val="Hyperlink"/>
            <w:rFonts w:ascii="Arial" w:hAnsi="Arial" w:cs="Arial"/>
            <w:noProof/>
          </w:rPr>
          <w:t>What are the duties of PCBUs?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65</w:t>
        </w:r>
        <w:r w:rsidR="00B90315" w:rsidRPr="000A53C0">
          <w:rPr>
            <w:rFonts w:cs="Arial"/>
            <w:noProof/>
            <w:webHidden/>
          </w:rPr>
          <w:fldChar w:fldCharType="end"/>
        </w:r>
      </w:hyperlink>
    </w:p>
    <w:p w14:paraId="777FAAEF" w14:textId="2D97A571" w:rsidR="00B90315" w:rsidRPr="000A53C0" w:rsidRDefault="00233122">
      <w:pPr>
        <w:pStyle w:val="TOC1"/>
        <w:rPr>
          <w:rFonts w:eastAsiaTheme="minorEastAsia" w:cs="Arial"/>
          <w:noProof/>
          <w:kern w:val="2"/>
          <w:lang w:eastAsia="en-AU"/>
          <w14:ligatures w14:val="standardContextual"/>
        </w:rPr>
      </w:pPr>
      <w:hyperlink w:anchor="_Toc142991358" w:history="1">
        <w:r w:rsidR="00B90315" w:rsidRPr="000A53C0">
          <w:rPr>
            <w:rStyle w:val="Hyperlink"/>
            <w:rFonts w:ascii="Arial" w:hAnsi="Arial" w:cs="Arial"/>
            <w:noProof/>
          </w:rPr>
          <w:t>Appendix B: Impact Analysis Methodology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_Toc142991358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71</w:t>
        </w:r>
        <w:r w:rsidR="00B90315" w:rsidRPr="000A53C0">
          <w:rPr>
            <w:rFonts w:cs="Arial"/>
            <w:noProof/>
            <w:webHidden/>
          </w:rPr>
          <w:fldChar w:fldCharType="end"/>
        </w:r>
      </w:hyperlink>
    </w:p>
    <w:p w14:paraId="77CD99EB" w14:textId="391439B9" w:rsidR="00B90315" w:rsidRPr="000A53C0" w:rsidRDefault="00233122">
      <w:pPr>
        <w:pStyle w:val="TOC2"/>
        <w:rPr>
          <w:rFonts w:eastAsiaTheme="minorEastAsia" w:cs="Arial"/>
          <w:noProof/>
          <w:kern w:val="2"/>
          <w:lang w:eastAsia="en-AU"/>
          <w14:ligatures w14:val="standardContextual"/>
        </w:rPr>
      </w:pPr>
      <w:hyperlink w:anchor="_Toc142991359" w:history="1">
        <w:r w:rsidR="00B90315" w:rsidRPr="000A53C0">
          <w:rPr>
            <w:rStyle w:val="Hyperlink"/>
            <w:rFonts w:ascii="Arial" w:hAnsi="Arial" w:cs="Arial"/>
            <w:noProof/>
          </w:rPr>
          <w:t>B.1 Define the Market</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_Toc142991359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71</w:t>
        </w:r>
        <w:r w:rsidR="00B90315" w:rsidRPr="000A53C0">
          <w:rPr>
            <w:rFonts w:cs="Arial"/>
            <w:noProof/>
            <w:webHidden/>
          </w:rPr>
          <w:fldChar w:fldCharType="end"/>
        </w:r>
      </w:hyperlink>
    </w:p>
    <w:p w14:paraId="2596B965" w14:textId="411B8DFE" w:rsidR="00B90315" w:rsidRPr="000A53C0" w:rsidRDefault="00233122">
      <w:pPr>
        <w:pStyle w:val="TOC2"/>
        <w:rPr>
          <w:rFonts w:eastAsiaTheme="minorEastAsia" w:cs="Arial"/>
          <w:noProof/>
          <w:kern w:val="2"/>
          <w:lang w:eastAsia="en-AU"/>
          <w14:ligatures w14:val="standardContextual"/>
        </w:rPr>
      </w:pPr>
      <w:hyperlink w:anchor="_Toc142991360" w:history="1">
        <w:r w:rsidR="00B90315" w:rsidRPr="000A53C0">
          <w:rPr>
            <w:rStyle w:val="Hyperlink"/>
            <w:rFonts w:ascii="Arial" w:hAnsi="Arial" w:cs="Arial"/>
            <w:noProof/>
          </w:rPr>
          <w:t>B.2 Industries that work with engineered stone</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_Toc142991360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72</w:t>
        </w:r>
        <w:r w:rsidR="00B90315" w:rsidRPr="000A53C0">
          <w:rPr>
            <w:rFonts w:cs="Arial"/>
            <w:noProof/>
            <w:webHidden/>
          </w:rPr>
          <w:fldChar w:fldCharType="end"/>
        </w:r>
      </w:hyperlink>
    </w:p>
    <w:p w14:paraId="22531642" w14:textId="3512352E" w:rsidR="00B90315" w:rsidRPr="000A53C0" w:rsidRDefault="00233122">
      <w:pPr>
        <w:pStyle w:val="TOC2"/>
        <w:rPr>
          <w:rFonts w:eastAsiaTheme="minorEastAsia" w:cs="Arial"/>
          <w:noProof/>
          <w:kern w:val="2"/>
          <w:lang w:eastAsia="en-AU"/>
          <w14:ligatures w14:val="standardContextual"/>
        </w:rPr>
      </w:pPr>
      <w:hyperlink w:anchor="_Toc142991361" w:history="1">
        <w:r w:rsidR="00B90315" w:rsidRPr="000A53C0">
          <w:rPr>
            <w:rStyle w:val="Hyperlink"/>
            <w:rFonts w:ascii="Arial" w:hAnsi="Arial" w:cs="Arial"/>
            <w:noProof/>
          </w:rPr>
          <w:t>B.3 Defining engineered stone PCBUs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_Toc142991361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73</w:t>
        </w:r>
        <w:r w:rsidR="00B90315" w:rsidRPr="000A53C0">
          <w:rPr>
            <w:rFonts w:cs="Arial"/>
            <w:noProof/>
            <w:webHidden/>
          </w:rPr>
          <w:fldChar w:fldCharType="end"/>
        </w:r>
      </w:hyperlink>
    </w:p>
    <w:p w14:paraId="6889AF27" w14:textId="06EBB607" w:rsidR="00B90315" w:rsidRPr="000A53C0" w:rsidRDefault="00233122">
      <w:pPr>
        <w:pStyle w:val="TOC2"/>
        <w:rPr>
          <w:rFonts w:eastAsiaTheme="minorEastAsia" w:cs="Arial"/>
          <w:noProof/>
          <w:kern w:val="2"/>
          <w:lang w:eastAsia="en-AU"/>
          <w14:ligatures w14:val="standardContextual"/>
        </w:rPr>
      </w:pPr>
      <w:hyperlink w:anchor="_Toc142991362" w:history="1">
        <w:r w:rsidR="00B90315" w:rsidRPr="000A53C0">
          <w:rPr>
            <w:rStyle w:val="Hyperlink"/>
            <w:rFonts w:ascii="Arial" w:hAnsi="Arial" w:cs="Arial"/>
            <w:noProof/>
          </w:rPr>
          <w:t>B.4 Defining other industry PCBUs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_Toc142991362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75</w:t>
        </w:r>
        <w:r w:rsidR="00B90315" w:rsidRPr="000A53C0">
          <w:rPr>
            <w:rFonts w:cs="Arial"/>
            <w:noProof/>
            <w:webHidden/>
          </w:rPr>
          <w:fldChar w:fldCharType="end"/>
        </w:r>
      </w:hyperlink>
    </w:p>
    <w:p w14:paraId="05114875" w14:textId="38891127" w:rsidR="00B90315" w:rsidRPr="000A53C0" w:rsidRDefault="00233122">
      <w:pPr>
        <w:pStyle w:val="TOC2"/>
        <w:rPr>
          <w:rFonts w:eastAsiaTheme="minorEastAsia" w:cs="Arial"/>
          <w:noProof/>
          <w:kern w:val="2"/>
          <w:lang w:eastAsia="en-AU"/>
          <w14:ligatures w14:val="standardContextual"/>
        </w:rPr>
      </w:pPr>
      <w:hyperlink w:anchor="_Toc142991363" w:history="1">
        <w:r w:rsidR="00B90315" w:rsidRPr="000A53C0">
          <w:rPr>
            <w:rStyle w:val="Hyperlink"/>
            <w:rFonts w:ascii="Arial" w:hAnsi="Arial" w:cs="Arial"/>
            <w:noProof/>
          </w:rPr>
          <w:t>B.5 Identifying decisions &amp; monetisable impacts to industry</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_Toc142991363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77</w:t>
        </w:r>
        <w:r w:rsidR="00B90315" w:rsidRPr="000A53C0">
          <w:rPr>
            <w:rFonts w:cs="Arial"/>
            <w:noProof/>
            <w:webHidden/>
          </w:rPr>
          <w:fldChar w:fldCharType="end"/>
        </w:r>
      </w:hyperlink>
    </w:p>
    <w:p w14:paraId="03156974" w14:textId="79D9D3A1" w:rsidR="00B90315" w:rsidRPr="000A53C0" w:rsidRDefault="00233122">
      <w:pPr>
        <w:pStyle w:val="TOC2"/>
        <w:rPr>
          <w:rFonts w:eastAsiaTheme="minorEastAsia" w:cs="Arial"/>
          <w:noProof/>
          <w:kern w:val="2"/>
          <w:lang w:eastAsia="en-AU"/>
          <w14:ligatures w14:val="standardContextual"/>
        </w:rPr>
      </w:pPr>
      <w:hyperlink w:anchor="_Toc142991364" w:history="1">
        <w:r w:rsidR="00B90315" w:rsidRPr="000A53C0">
          <w:rPr>
            <w:rStyle w:val="Hyperlink"/>
            <w:rFonts w:ascii="Arial" w:hAnsi="Arial" w:cs="Arial"/>
            <w:noProof/>
          </w:rPr>
          <w:t>B.6 Identifying monetisable costs to government</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_Toc142991364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81</w:t>
        </w:r>
        <w:r w:rsidR="00B90315" w:rsidRPr="000A53C0">
          <w:rPr>
            <w:rFonts w:cs="Arial"/>
            <w:noProof/>
            <w:webHidden/>
          </w:rPr>
          <w:fldChar w:fldCharType="end"/>
        </w:r>
      </w:hyperlink>
    </w:p>
    <w:p w14:paraId="677B3C6A" w14:textId="64FAD9FE" w:rsidR="00B90315" w:rsidRPr="000A53C0" w:rsidRDefault="00233122">
      <w:pPr>
        <w:pStyle w:val="TOC2"/>
        <w:rPr>
          <w:rFonts w:eastAsiaTheme="minorEastAsia" w:cs="Arial"/>
          <w:noProof/>
          <w:kern w:val="2"/>
          <w:lang w:eastAsia="en-AU"/>
          <w14:ligatures w14:val="standardContextual"/>
        </w:rPr>
      </w:pPr>
      <w:hyperlink w:anchor="_Toc142991365" w:history="1">
        <w:r w:rsidR="00B90315" w:rsidRPr="000A53C0">
          <w:rPr>
            <w:rStyle w:val="Hyperlink"/>
            <w:rFonts w:ascii="Arial" w:hAnsi="Arial" w:cs="Arial"/>
            <w:noProof/>
          </w:rPr>
          <w:t>B.7 Applying decision trees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_Toc142991365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83</w:t>
        </w:r>
        <w:r w:rsidR="00B90315" w:rsidRPr="000A53C0">
          <w:rPr>
            <w:rFonts w:cs="Arial"/>
            <w:noProof/>
            <w:webHidden/>
          </w:rPr>
          <w:fldChar w:fldCharType="end"/>
        </w:r>
      </w:hyperlink>
    </w:p>
    <w:p w14:paraId="7DC98DF7" w14:textId="7132C224" w:rsidR="00B90315" w:rsidRPr="000A53C0" w:rsidRDefault="00233122">
      <w:pPr>
        <w:pStyle w:val="TOC2"/>
        <w:rPr>
          <w:rFonts w:eastAsiaTheme="minorEastAsia" w:cs="Arial"/>
          <w:noProof/>
          <w:kern w:val="2"/>
          <w:lang w:eastAsia="en-AU"/>
          <w14:ligatures w14:val="standardContextual"/>
        </w:rPr>
      </w:pPr>
      <w:hyperlink w:anchor="_Toc142991366" w:history="1">
        <w:r w:rsidR="00B90315" w:rsidRPr="000A53C0">
          <w:rPr>
            <w:rStyle w:val="Hyperlink"/>
            <w:rFonts w:ascii="Arial" w:hAnsi="Arial" w:cs="Arial"/>
            <w:noProof/>
          </w:rPr>
          <w:t>B.8 Detailed assumptions and calculations for monetised costs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_Toc142991366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90</w:t>
        </w:r>
        <w:r w:rsidR="00B90315" w:rsidRPr="000A53C0">
          <w:rPr>
            <w:rFonts w:cs="Arial"/>
            <w:noProof/>
            <w:webHidden/>
          </w:rPr>
          <w:fldChar w:fldCharType="end"/>
        </w:r>
      </w:hyperlink>
    </w:p>
    <w:p w14:paraId="38583D4F" w14:textId="24BE3428" w:rsidR="00B90315" w:rsidRPr="000A53C0" w:rsidRDefault="00233122">
      <w:pPr>
        <w:pStyle w:val="TOC2"/>
        <w:rPr>
          <w:rFonts w:eastAsiaTheme="minorEastAsia" w:cs="Arial"/>
          <w:noProof/>
          <w:kern w:val="2"/>
          <w:lang w:eastAsia="en-AU"/>
          <w14:ligatures w14:val="standardContextual"/>
        </w:rPr>
      </w:pPr>
      <w:hyperlink w:anchor="_Toc142991367" w:history="1">
        <w:r w:rsidR="00B90315" w:rsidRPr="000A53C0">
          <w:rPr>
            <w:rStyle w:val="Hyperlink"/>
            <w:rFonts w:ascii="Arial" w:hAnsi="Arial" w:cs="Arial"/>
            <w:noProof/>
          </w:rPr>
          <w:t>B.9 Breakeven analysis</w:t>
        </w:r>
        <w:r w:rsidR="00B90315" w:rsidRPr="000A53C0">
          <w:rPr>
            <w:rFonts w:cs="Arial"/>
            <w:noProof/>
            <w:webHidden/>
          </w:rPr>
          <w:tab/>
        </w:r>
        <w:r w:rsidR="00B90315" w:rsidRPr="000A53C0">
          <w:rPr>
            <w:rFonts w:cs="Arial"/>
            <w:noProof/>
            <w:webHidden/>
          </w:rPr>
          <w:fldChar w:fldCharType="begin"/>
        </w:r>
        <w:r w:rsidR="00B90315" w:rsidRPr="000A53C0">
          <w:rPr>
            <w:rFonts w:cs="Arial"/>
            <w:noProof/>
            <w:webHidden/>
          </w:rPr>
          <w:instrText xml:space="preserve"> PAGEREF _Toc142991367 \h </w:instrText>
        </w:r>
        <w:r w:rsidR="00B90315" w:rsidRPr="000A53C0">
          <w:rPr>
            <w:rFonts w:cs="Arial"/>
            <w:noProof/>
            <w:webHidden/>
          </w:rPr>
        </w:r>
        <w:r w:rsidR="00B90315" w:rsidRPr="000A53C0">
          <w:rPr>
            <w:rFonts w:cs="Arial"/>
            <w:noProof/>
            <w:webHidden/>
          </w:rPr>
          <w:fldChar w:fldCharType="separate"/>
        </w:r>
        <w:r w:rsidR="00D16271">
          <w:rPr>
            <w:rFonts w:cs="Arial"/>
            <w:noProof/>
            <w:webHidden/>
          </w:rPr>
          <w:t>104</w:t>
        </w:r>
        <w:r w:rsidR="00B90315" w:rsidRPr="000A53C0">
          <w:rPr>
            <w:rFonts w:cs="Arial"/>
            <w:noProof/>
            <w:webHidden/>
          </w:rPr>
          <w:fldChar w:fldCharType="end"/>
        </w:r>
      </w:hyperlink>
    </w:p>
    <w:p w14:paraId="74FA8990" w14:textId="2C34CDDA" w:rsidR="000C4F83" w:rsidRPr="000A53C0" w:rsidRDefault="001B35DC" w:rsidP="00AB6826">
      <w:pPr>
        <w:jc w:val="both"/>
        <w:rPr>
          <w:rFonts w:cs="Arial"/>
        </w:rPr>
      </w:pPr>
      <w:r w:rsidRPr="000A53C0">
        <w:rPr>
          <w:rFonts w:cs="Arial"/>
          <w:color w:val="2B579A"/>
          <w:shd w:val="clear" w:color="auto" w:fill="E6E6E6"/>
        </w:rPr>
        <w:fldChar w:fldCharType="end"/>
      </w:r>
      <w:r w:rsidR="000C4F83" w:rsidRPr="000A53C0">
        <w:rPr>
          <w:rFonts w:cs="Arial"/>
        </w:rPr>
        <w:br w:type="page"/>
      </w:r>
    </w:p>
    <w:p w14:paraId="758BBB2C" w14:textId="144FC014" w:rsidR="00E64DD9" w:rsidRPr="000A53C0" w:rsidRDefault="00C35E30" w:rsidP="00C80198">
      <w:pPr>
        <w:pStyle w:val="Heading1"/>
      </w:pPr>
      <w:bookmarkStart w:id="3" w:name="_Toc142991309"/>
      <w:bookmarkStart w:id="4" w:name="_Toc92873031"/>
      <w:bookmarkStart w:id="5" w:name="_Toc92873119"/>
      <w:r w:rsidRPr="000A53C0">
        <w:lastRenderedPageBreak/>
        <w:t>Abbreviations</w:t>
      </w:r>
      <w:bookmarkEnd w:id="3"/>
    </w:p>
    <w:tbl>
      <w:tblPr>
        <w:tblStyle w:val="PlainTable4"/>
        <w:tblW w:w="0" w:type="auto"/>
        <w:tblInd w:w="0" w:type="dxa"/>
        <w:tblLook w:val="04A0" w:firstRow="1" w:lastRow="0" w:firstColumn="1" w:lastColumn="0" w:noHBand="0" w:noVBand="1"/>
      </w:tblPr>
      <w:tblGrid>
        <w:gridCol w:w="2972"/>
        <w:gridCol w:w="6044"/>
      </w:tblGrid>
      <w:tr w:rsidR="00865859" w:rsidRPr="000A53C0" w14:paraId="203FAD6C" w14:textId="77777777" w:rsidTr="00D87A9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972" w:type="dxa"/>
            <w:shd w:val="clear" w:color="auto" w:fill="E81D32"/>
            <w:vAlign w:val="center"/>
            <w:hideMark/>
          </w:tcPr>
          <w:p w14:paraId="4122BCFF" w14:textId="77777777" w:rsidR="00865859" w:rsidRPr="00D87A90" w:rsidRDefault="00865859" w:rsidP="00D87A90">
            <w:pPr>
              <w:pStyle w:val="BodyText"/>
              <w:spacing w:after="0"/>
              <w:rPr>
                <w:rFonts w:cs="Arial"/>
                <w:color w:val="FFFFFF" w:themeColor="background1"/>
              </w:rPr>
            </w:pPr>
            <w:r w:rsidRPr="00D87A90">
              <w:rPr>
                <w:rFonts w:cs="Arial"/>
                <w:color w:val="FFFFFF" w:themeColor="background1"/>
              </w:rPr>
              <w:t>Acronym or term</w:t>
            </w:r>
          </w:p>
        </w:tc>
        <w:tc>
          <w:tcPr>
            <w:tcW w:w="6044" w:type="dxa"/>
            <w:shd w:val="clear" w:color="auto" w:fill="E81D32"/>
            <w:vAlign w:val="center"/>
            <w:hideMark/>
          </w:tcPr>
          <w:p w14:paraId="6CB96AB6" w14:textId="77777777" w:rsidR="00865859" w:rsidRPr="00D87A90" w:rsidRDefault="00865859" w:rsidP="00D87A90">
            <w:pPr>
              <w:pStyle w:val="BodyText"/>
              <w:spacing w:after="0"/>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D87A90">
              <w:rPr>
                <w:rFonts w:cs="Arial"/>
                <w:color w:val="FFFFFF" w:themeColor="background1"/>
              </w:rPr>
              <w:t>Meaning</w:t>
            </w:r>
          </w:p>
        </w:tc>
      </w:tr>
      <w:tr w:rsidR="00F93108" w:rsidRPr="000A53C0" w14:paraId="429F4263"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ABC61E" w14:textId="691C471C" w:rsidR="00F93108" w:rsidRPr="000A53C0" w:rsidRDefault="00F93108" w:rsidP="003A4F85">
            <w:pPr>
              <w:pStyle w:val="BodyText"/>
              <w:spacing w:before="120"/>
              <w:rPr>
                <w:rFonts w:cs="Arial"/>
              </w:rPr>
            </w:pPr>
            <w:r w:rsidRPr="000A53C0">
              <w:rPr>
                <w:rFonts w:cs="Arial"/>
              </w:rPr>
              <w:t>Agency</w:t>
            </w:r>
          </w:p>
        </w:tc>
        <w:tc>
          <w:tcPr>
            <w:tcW w:w="6044" w:type="dxa"/>
          </w:tcPr>
          <w:p w14:paraId="1CDC185C" w14:textId="28B20026" w:rsidR="00F93108" w:rsidRPr="000A53C0" w:rsidRDefault="00F9310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The Safe Work Australia agency</w:t>
            </w:r>
          </w:p>
        </w:tc>
      </w:tr>
      <w:tr w:rsidR="00865859" w:rsidRPr="000A53C0" w14:paraId="7550C0CD" w14:textId="77777777" w:rsidTr="00B01B93">
        <w:tc>
          <w:tcPr>
            <w:cnfStyle w:val="001000000000" w:firstRow="0" w:lastRow="0" w:firstColumn="1" w:lastColumn="0" w:oddVBand="0" w:evenVBand="0" w:oddHBand="0" w:evenHBand="0" w:firstRowFirstColumn="0" w:firstRowLastColumn="0" w:lastRowFirstColumn="0" w:lastRowLastColumn="0"/>
            <w:tcW w:w="2972" w:type="dxa"/>
            <w:hideMark/>
          </w:tcPr>
          <w:p w14:paraId="35B1D22D" w14:textId="77777777" w:rsidR="00865859" w:rsidRPr="000A53C0" w:rsidRDefault="00865859" w:rsidP="003A4F85">
            <w:pPr>
              <w:pStyle w:val="BodyText"/>
              <w:spacing w:before="120"/>
              <w:rPr>
                <w:rFonts w:cs="Arial"/>
              </w:rPr>
            </w:pPr>
            <w:r w:rsidRPr="000A53C0">
              <w:rPr>
                <w:rFonts w:cs="Arial"/>
              </w:rPr>
              <w:t>AIOH</w:t>
            </w:r>
          </w:p>
        </w:tc>
        <w:tc>
          <w:tcPr>
            <w:tcW w:w="6044" w:type="dxa"/>
            <w:hideMark/>
          </w:tcPr>
          <w:p w14:paraId="01D8CD83"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Australian Institute of Occupational Hygienists</w:t>
            </w:r>
          </w:p>
        </w:tc>
      </w:tr>
      <w:tr w:rsidR="007C4FA8" w:rsidRPr="000A53C0" w14:paraId="7612D119"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EF139E2" w14:textId="5D550142" w:rsidR="007C4FA8" w:rsidRPr="000A53C0" w:rsidRDefault="007C4FA8" w:rsidP="003A4F85">
            <w:pPr>
              <w:pStyle w:val="BodyText"/>
              <w:spacing w:before="120"/>
              <w:rPr>
                <w:rFonts w:cs="Arial"/>
              </w:rPr>
            </w:pPr>
            <w:r w:rsidRPr="000A53C0">
              <w:rPr>
                <w:rFonts w:cs="Arial"/>
              </w:rPr>
              <w:t>DALY</w:t>
            </w:r>
          </w:p>
        </w:tc>
        <w:tc>
          <w:tcPr>
            <w:tcW w:w="6044" w:type="dxa"/>
          </w:tcPr>
          <w:p w14:paraId="47467C13" w14:textId="69FB5D0F" w:rsidR="007C4FA8" w:rsidRPr="000A53C0" w:rsidRDefault="007C4FA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Disability adjusted life year</w:t>
            </w:r>
          </w:p>
        </w:tc>
      </w:tr>
      <w:tr w:rsidR="007C4FA8" w:rsidRPr="000A53C0" w14:paraId="265373D0" w14:textId="77777777" w:rsidTr="00B01B93">
        <w:tc>
          <w:tcPr>
            <w:cnfStyle w:val="001000000000" w:firstRow="0" w:lastRow="0" w:firstColumn="1" w:lastColumn="0" w:oddVBand="0" w:evenVBand="0" w:oddHBand="0" w:evenHBand="0" w:firstRowFirstColumn="0" w:firstRowLastColumn="0" w:lastRowFirstColumn="0" w:lastRowLastColumn="0"/>
            <w:tcW w:w="2972" w:type="dxa"/>
          </w:tcPr>
          <w:p w14:paraId="5D78ECB5" w14:textId="02EB581B" w:rsidR="007C4FA8" w:rsidRPr="000A53C0" w:rsidRDefault="007C4FA8" w:rsidP="003A4F85">
            <w:pPr>
              <w:pStyle w:val="BodyText"/>
              <w:spacing w:before="120"/>
              <w:rPr>
                <w:rFonts w:cs="Arial"/>
              </w:rPr>
            </w:pPr>
            <w:r w:rsidRPr="000A53C0">
              <w:rPr>
                <w:rFonts w:cs="Arial"/>
              </w:rPr>
              <w:t>EY</w:t>
            </w:r>
          </w:p>
        </w:tc>
        <w:tc>
          <w:tcPr>
            <w:tcW w:w="6044" w:type="dxa"/>
          </w:tcPr>
          <w:p w14:paraId="031DB91E" w14:textId="63AC6740" w:rsidR="007C4FA8" w:rsidRPr="000A53C0" w:rsidRDefault="007C4FA8"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Ernst and Young Pty Ltd</w:t>
            </w:r>
          </w:p>
        </w:tc>
      </w:tr>
      <w:tr w:rsidR="00F93108" w:rsidRPr="000A53C0" w14:paraId="54CDF395"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C7289D" w14:textId="3F3A986E" w:rsidR="00F93108" w:rsidRPr="000A53C0" w:rsidRDefault="00F93108" w:rsidP="003A4F85">
            <w:pPr>
              <w:pStyle w:val="BodyText"/>
              <w:spacing w:before="120"/>
              <w:rPr>
                <w:rFonts w:cs="Arial"/>
              </w:rPr>
            </w:pPr>
            <w:r w:rsidRPr="000A53C0">
              <w:rPr>
                <w:rFonts w:cs="Arial"/>
              </w:rPr>
              <w:t>HSR</w:t>
            </w:r>
          </w:p>
        </w:tc>
        <w:tc>
          <w:tcPr>
            <w:tcW w:w="6044" w:type="dxa"/>
          </w:tcPr>
          <w:p w14:paraId="2A6DE3EE" w14:textId="70C2F38D" w:rsidR="00F93108" w:rsidRPr="000A53C0" w:rsidRDefault="00F9310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Health and safety representative</w:t>
            </w:r>
          </w:p>
        </w:tc>
      </w:tr>
      <w:tr w:rsidR="00865859" w:rsidRPr="000A53C0" w14:paraId="58E39F01" w14:textId="77777777" w:rsidTr="00B01B93">
        <w:tc>
          <w:tcPr>
            <w:cnfStyle w:val="001000000000" w:firstRow="0" w:lastRow="0" w:firstColumn="1" w:lastColumn="0" w:oddVBand="0" w:evenVBand="0" w:oddHBand="0" w:evenHBand="0" w:firstRowFirstColumn="0" w:firstRowLastColumn="0" w:lastRowFirstColumn="0" w:lastRowLastColumn="0"/>
            <w:tcW w:w="2972" w:type="dxa"/>
            <w:hideMark/>
          </w:tcPr>
          <w:p w14:paraId="4FCC2BB4" w14:textId="1C4E22E4" w:rsidR="00865859" w:rsidRPr="000A53C0" w:rsidRDefault="00865859" w:rsidP="003A4F85">
            <w:pPr>
              <w:pStyle w:val="BodyText"/>
              <w:spacing w:before="120"/>
              <w:rPr>
                <w:rFonts w:cs="Arial"/>
              </w:rPr>
            </w:pPr>
            <w:r w:rsidRPr="000A53C0">
              <w:rPr>
                <w:rFonts w:cs="Arial"/>
              </w:rPr>
              <w:t>i</w:t>
            </w:r>
            <w:r w:rsidR="00C77FA0" w:rsidRPr="000A53C0">
              <w:rPr>
                <w:rFonts w:cs="Arial"/>
              </w:rPr>
              <w:t>C</w:t>
            </w:r>
            <w:r w:rsidRPr="000A53C0">
              <w:rPr>
                <w:rFonts w:cs="Arial"/>
              </w:rPr>
              <w:t>are</w:t>
            </w:r>
          </w:p>
        </w:tc>
        <w:tc>
          <w:tcPr>
            <w:tcW w:w="6044" w:type="dxa"/>
            <w:hideMark/>
          </w:tcPr>
          <w:p w14:paraId="66B56B56"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Insurance and Care NSW</w:t>
            </w:r>
          </w:p>
        </w:tc>
      </w:tr>
      <w:tr w:rsidR="00F93108" w:rsidRPr="000A53C0" w14:paraId="2E53AECB"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BA0A8F" w14:textId="545A2337" w:rsidR="00F93108" w:rsidRPr="000A53C0" w:rsidRDefault="00F93108" w:rsidP="003A4F85">
            <w:pPr>
              <w:pStyle w:val="BodyText"/>
              <w:spacing w:before="120"/>
              <w:rPr>
                <w:rFonts w:cs="Arial"/>
              </w:rPr>
            </w:pPr>
            <w:r w:rsidRPr="000A53C0">
              <w:rPr>
                <w:rFonts w:cs="Arial"/>
              </w:rPr>
              <w:t>Members</w:t>
            </w:r>
          </w:p>
        </w:tc>
        <w:tc>
          <w:tcPr>
            <w:tcW w:w="6044" w:type="dxa"/>
          </w:tcPr>
          <w:p w14:paraId="09341699" w14:textId="27D36F28" w:rsidR="00F93108" w:rsidRPr="000A53C0" w:rsidRDefault="00F9310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Safe Work Australia Members</w:t>
            </w:r>
          </w:p>
        </w:tc>
      </w:tr>
      <w:tr w:rsidR="00865859" w:rsidRPr="000A53C0" w14:paraId="22112979" w14:textId="77777777" w:rsidTr="00B01B93">
        <w:tc>
          <w:tcPr>
            <w:cnfStyle w:val="001000000000" w:firstRow="0" w:lastRow="0" w:firstColumn="1" w:lastColumn="0" w:oddVBand="0" w:evenVBand="0" w:oddHBand="0" w:evenHBand="0" w:firstRowFirstColumn="0" w:firstRowLastColumn="0" w:lastRowFirstColumn="0" w:lastRowLastColumn="0"/>
            <w:tcW w:w="2972" w:type="dxa"/>
            <w:hideMark/>
          </w:tcPr>
          <w:p w14:paraId="38A9CE21" w14:textId="77777777" w:rsidR="00865859" w:rsidRPr="000A53C0" w:rsidRDefault="00865859" w:rsidP="003A4F85">
            <w:pPr>
              <w:pStyle w:val="BodyText"/>
              <w:spacing w:before="120"/>
              <w:rPr>
                <w:rFonts w:cs="Arial"/>
              </w:rPr>
            </w:pPr>
            <w:r w:rsidRPr="000A53C0">
              <w:rPr>
                <w:rFonts w:cs="Arial"/>
              </w:rPr>
              <w:t>PCBU</w:t>
            </w:r>
          </w:p>
        </w:tc>
        <w:tc>
          <w:tcPr>
            <w:tcW w:w="6044" w:type="dxa"/>
            <w:hideMark/>
          </w:tcPr>
          <w:p w14:paraId="6555A7BF"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Person conducting a business or undertaking</w:t>
            </w:r>
          </w:p>
        </w:tc>
      </w:tr>
      <w:tr w:rsidR="00865859" w:rsidRPr="000A53C0" w14:paraId="5F7C2EED"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0770CDB1" w14:textId="77777777" w:rsidR="00865859" w:rsidRPr="000A53C0" w:rsidRDefault="00865859" w:rsidP="003A4F85">
            <w:pPr>
              <w:pStyle w:val="BodyText"/>
              <w:spacing w:before="120"/>
              <w:rPr>
                <w:rFonts w:cs="Arial"/>
              </w:rPr>
            </w:pPr>
            <w:r w:rsidRPr="000A53C0">
              <w:rPr>
                <w:rFonts w:cs="Arial"/>
              </w:rPr>
              <w:t>PPE</w:t>
            </w:r>
          </w:p>
        </w:tc>
        <w:tc>
          <w:tcPr>
            <w:tcW w:w="6044" w:type="dxa"/>
            <w:hideMark/>
          </w:tcPr>
          <w:p w14:paraId="0D8FC4C3" w14:textId="77777777" w:rsidR="00865859" w:rsidRPr="000A53C0" w:rsidRDefault="00865859"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Personal protective equipment</w:t>
            </w:r>
          </w:p>
        </w:tc>
      </w:tr>
      <w:tr w:rsidR="00865859" w:rsidRPr="000A53C0" w14:paraId="1EBD3CB9" w14:textId="77777777" w:rsidTr="00B01B93">
        <w:tc>
          <w:tcPr>
            <w:cnfStyle w:val="001000000000" w:firstRow="0" w:lastRow="0" w:firstColumn="1" w:lastColumn="0" w:oddVBand="0" w:evenVBand="0" w:oddHBand="0" w:evenHBand="0" w:firstRowFirstColumn="0" w:firstRowLastColumn="0" w:lastRowFirstColumn="0" w:lastRowLastColumn="0"/>
            <w:tcW w:w="2972" w:type="dxa"/>
            <w:hideMark/>
          </w:tcPr>
          <w:p w14:paraId="3A211BE1" w14:textId="77777777" w:rsidR="00865859" w:rsidRPr="000A53C0" w:rsidRDefault="00865859" w:rsidP="003A4F85">
            <w:pPr>
              <w:pStyle w:val="BodyText"/>
              <w:spacing w:before="120"/>
              <w:rPr>
                <w:rFonts w:cs="Arial"/>
              </w:rPr>
            </w:pPr>
            <w:r w:rsidRPr="000A53C0">
              <w:rPr>
                <w:rFonts w:cs="Arial"/>
              </w:rPr>
              <w:t>RCS</w:t>
            </w:r>
          </w:p>
        </w:tc>
        <w:tc>
          <w:tcPr>
            <w:tcW w:w="6044" w:type="dxa"/>
            <w:hideMark/>
          </w:tcPr>
          <w:p w14:paraId="23376227"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Respirable crystalline silica</w:t>
            </w:r>
          </w:p>
        </w:tc>
      </w:tr>
      <w:tr w:rsidR="007C4FA8" w:rsidRPr="000A53C0" w14:paraId="7DDA2F81"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280212" w14:textId="5B9DA2CF" w:rsidR="007C4FA8" w:rsidRPr="000A53C0" w:rsidRDefault="007C4FA8" w:rsidP="003A4F85">
            <w:pPr>
              <w:pStyle w:val="BodyText"/>
              <w:spacing w:before="120"/>
              <w:rPr>
                <w:rFonts w:cs="Arial"/>
              </w:rPr>
            </w:pPr>
            <w:r w:rsidRPr="000A53C0">
              <w:rPr>
                <w:rFonts w:cs="Arial"/>
              </w:rPr>
              <w:t>RIS</w:t>
            </w:r>
          </w:p>
        </w:tc>
        <w:tc>
          <w:tcPr>
            <w:tcW w:w="6044" w:type="dxa"/>
          </w:tcPr>
          <w:p w14:paraId="06E44290" w14:textId="7DE6ECB8" w:rsidR="007C4FA8" w:rsidRPr="000A53C0" w:rsidRDefault="007C4FA8"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 xml:space="preserve">Regulation </w:t>
            </w:r>
            <w:r w:rsidR="006D19B8" w:rsidRPr="000A53C0">
              <w:rPr>
                <w:rFonts w:cs="Arial"/>
              </w:rPr>
              <w:t>impact statement</w:t>
            </w:r>
          </w:p>
        </w:tc>
      </w:tr>
      <w:tr w:rsidR="000A7312" w:rsidRPr="000A53C0" w14:paraId="2ADCF679" w14:textId="77777777" w:rsidTr="00B01B93">
        <w:tc>
          <w:tcPr>
            <w:cnfStyle w:val="001000000000" w:firstRow="0" w:lastRow="0" w:firstColumn="1" w:lastColumn="0" w:oddVBand="0" w:evenVBand="0" w:oddHBand="0" w:evenHBand="0" w:firstRowFirstColumn="0" w:firstRowLastColumn="0" w:lastRowFirstColumn="0" w:lastRowLastColumn="0"/>
            <w:tcW w:w="2972" w:type="dxa"/>
          </w:tcPr>
          <w:p w14:paraId="4BF945A3" w14:textId="77F1F6D9" w:rsidR="000A7312" w:rsidRPr="000A53C0" w:rsidRDefault="000A7312" w:rsidP="003A4F85">
            <w:pPr>
              <w:pStyle w:val="BodyText"/>
              <w:spacing w:before="120"/>
              <w:rPr>
                <w:rFonts w:cs="Arial"/>
              </w:rPr>
            </w:pPr>
            <w:r w:rsidRPr="000A53C0">
              <w:rPr>
                <w:rFonts w:cs="Arial"/>
              </w:rPr>
              <w:t>RPE</w:t>
            </w:r>
          </w:p>
        </w:tc>
        <w:tc>
          <w:tcPr>
            <w:tcW w:w="6044" w:type="dxa"/>
          </w:tcPr>
          <w:p w14:paraId="34F15F2C" w14:textId="6785A3FC" w:rsidR="000A7312" w:rsidRPr="000A53C0" w:rsidRDefault="000A7312"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 xml:space="preserve">Respiratory </w:t>
            </w:r>
            <w:r w:rsidR="006D19B8" w:rsidRPr="000A53C0">
              <w:rPr>
                <w:rFonts w:cs="Arial"/>
              </w:rPr>
              <w:t>protective equipment</w:t>
            </w:r>
          </w:p>
        </w:tc>
      </w:tr>
      <w:tr w:rsidR="00865859" w:rsidRPr="000A53C0" w14:paraId="40C067E9"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3AB4A526" w14:textId="77777777" w:rsidR="00865859" w:rsidRPr="000A53C0" w:rsidRDefault="00865859" w:rsidP="003A4F85">
            <w:pPr>
              <w:pStyle w:val="BodyText"/>
              <w:spacing w:before="120"/>
              <w:rPr>
                <w:rFonts w:cs="Arial"/>
              </w:rPr>
            </w:pPr>
            <w:r w:rsidRPr="000A53C0">
              <w:rPr>
                <w:rFonts w:cs="Arial"/>
              </w:rPr>
              <w:t>TWA</w:t>
            </w:r>
          </w:p>
        </w:tc>
        <w:tc>
          <w:tcPr>
            <w:tcW w:w="6044" w:type="dxa"/>
            <w:hideMark/>
          </w:tcPr>
          <w:p w14:paraId="3F307334" w14:textId="77777777" w:rsidR="00865859" w:rsidRPr="000A53C0" w:rsidRDefault="00865859"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Time weighted average</w:t>
            </w:r>
          </w:p>
        </w:tc>
      </w:tr>
      <w:tr w:rsidR="00F93108" w:rsidRPr="000A53C0" w14:paraId="1CA242D8" w14:textId="77777777" w:rsidTr="00B01B93">
        <w:tc>
          <w:tcPr>
            <w:cnfStyle w:val="001000000000" w:firstRow="0" w:lastRow="0" w:firstColumn="1" w:lastColumn="0" w:oddVBand="0" w:evenVBand="0" w:oddHBand="0" w:evenHBand="0" w:firstRowFirstColumn="0" w:firstRowLastColumn="0" w:lastRowFirstColumn="0" w:lastRowLastColumn="0"/>
            <w:tcW w:w="2972" w:type="dxa"/>
          </w:tcPr>
          <w:p w14:paraId="7DC8E794" w14:textId="4B676B6D" w:rsidR="00F93108" w:rsidRPr="000A53C0" w:rsidRDefault="00F93108" w:rsidP="003A4F85">
            <w:pPr>
              <w:pStyle w:val="BodyText"/>
              <w:spacing w:before="120"/>
              <w:rPr>
                <w:rFonts w:cs="Arial"/>
              </w:rPr>
            </w:pPr>
            <w:r w:rsidRPr="000A53C0">
              <w:rPr>
                <w:rFonts w:cs="Arial"/>
              </w:rPr>
              <w:t>SWMS</w:t>
            </w:r>
          </w:p>
        </w:tc>
        <w:tc>
          <w:tcPr>
            <w:tcW w:w="6044" w:type="dxa"/>
          </w:tcPr>
          <w:p w14:paraId="1F691047" w14:textId="0D5BB80E" w:rsidR="00F93108" w:rsidRPr="000A53C0" w:rsidRDefault="00ED2A45"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Safe work methods statement</w:t>
            </w:r>
          </w:p>
        </w:tc>
      </w:tr>
      <w:tr w:rsidR="00865859" w:rsidRPr="000A53C0" w14:paraId="550673E9" w14:textId="77777777" w:rsidTr="00B01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305F1D34" w14:textId="77777777" w:rsidR="00865859" w:rsidRPr="000A53C0" w:rsidRDefault="00865859" w:rsidP="003A4F85">
            <w:pPr>
              <w:pStyle w:val="BodyText"/>
              <w:spacing w:before="120"/>
              <w:rPr>
                <w:rFonts w:cs="Arial"/>
              </w:rPr>
            </w:pPr>
            <w:r w:rsidRPr="000A53C0">
              <w:rPr>
                <w:rFonts w:cs="Arial"/>
              </w:rPr>
              <w:t>WES</w:t>
            </w:r>
          </w:p>
        </w:tc>
        <w:tc>
          <w:tcPr>
            <w:tcW w:w="6044" w:type="dxa"/>
            <w:hideMark/>
          </w:tcPr>
          <w:p w14:paraId="4BF01946" w14:textId="77777777" w:rsidR="00865859" w:rsidRPr="000A53C0" w:rsidRDefault="00865859"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Workplace exposure standard</w:t>
            </w:r>
          </w:p>
        </w:tc>
      </w:tr>
      <w:tr w:rsidR="00865859" w:rsidRPr="000A53C0" w14:paraId="4D2A35B4" w14:textId="77777777" w:rsidTr="00B01B93">
        <w:trPr>
          <w:trHeight w:val="80"/>
        </w:trPr>
        <w:tc>
          <w:tcPr>
            <w:cnfStyle w:val="001000000000" w:firstRow="0" w:lastRow="0" w:firstColumn="1" w:lastColumn="0" w:oddVBand="0" w:evenVBand="0" w:oddHBand="0" w:evenHBand="0" w:firstRowFirstColumn="0" w:firstRowLastColumn="0" w:lastRowFirstColumn="0" w:lastRowLastColumn="0"/>
            <w:tcW w:w="2972" w:type="dxa"/>
            <w:hideMark/>
          </w:tcPr>
          <w:p w14:paraId="7399978B" w14:textId="77777777" w:rsidR="00865859" w:rsidRPr="000A53C0" w:rsidRDefault="00865859" w:rsidP="003A4F85">
            <w:pPr>
              <w:pStyle w:val="BodyText"/>
              <w:spacing w:before="120"/>
              <w:rPr>
                <w:rFonts w:cs="Arial"/>
              </w:rPr>
            </w:pPr>
            <w:r w:rsidRPr="000A53C0">
              <w:rPr>
                <w:rFonts w:cs="Arial"/>
              </w:rPr>
              <w:t>WHS</w:t>
            </w:r>
          </w:p>
        </w:tc>
        <w:tc>
          <w:tcPr>
            <w:tcW w:w="6044" w:type="dxa"/>
            <w:hideMark/>
          </w:tcPr>
          <w:p w14:paraId="6657B0E5" w14:textId="77777777" w:rsidR="00865859" w:rsidRPr="000A53C0" w:rsidRDefault="00865859" w:rsidP="003A4F85">
            <w:pPr>
              <w:pStyle w:val="BodyText"/>
              <w:spacing w:before="120"/>
              <w:cnfStyle w:val="000000000000" w:firstRow="0" w:lastRow="0" w:firstColumn="0" w:lastColumn="0" w:oddVBand="0" w:evenVBand="0" w:oddHBand="0" w:evenHBand="0" w:firstRowFirstColumn="0" w:firstRowLastColumn="0" w:lastRowFirstColumn="0" w:lastRowLastColumn="0"/>
              <w:rPr>
                <w:rFonts w:cs="Arial"/>
              </w:rPr>
            </w:pPr>
            <w:r w:rsidRPr="000A53C0">
              <w:rPr>
                <w:rFonts w:cs="Arial"/>
              </w:rPr>
              <w:t>Work health and safety</w:t>
            </w:r>
          </w:p>
        </w:tc>
      </w:tr>
      <w:tr w:rsidR="00ED2A45" w:rsidRPr="000A53C0" w14:paraId="358EF9D6" w14:textId="77777777" w:rsidTr="00B01B9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72" w:type="dxa"/>
          </w:tcPr>
          <w:p w14:paraId="489A4E38" w14:textId="7F23643A" w:rsidR="00ED2A45" w:rsidRPr="000A53C0" w:rsidRDefault="00ED2A45" w:rsidP="003A4F85">
            <w:pPr>
              <w:pStyle w:val="BodyText"/>
              <w:spacing w:before="120"/>
              <w:rPr>
                <w:rFonts w:cs="Arial"/>
              </w:rPr>
            </w:pPr>
            <w:r w:rsidRPr="000A53C0">
              <w:rPr>
                <w:rFonts w:cs="Arial"/>
              </w:rPr>
              <w:t>WHS ministers</w:t>
            </w:r>
          </w:p>
        </w:tc>
        <w:tc>
          <w:tcPr>
            <w:tcW w:w="6044" w:type="dxa"/>
          </w:tcPr>
          <w:p w14:paraId="62B785A5" w14:textId="3ABCB16D" w:rsidR="00ED2A45" w:rsidRPr="000A53C0" w:rsidRDefault="00ED2A45" w:rsidP="003A4F85">
            <w:pPr>
              <w:pStyle w:val="BodyText"/>
              <w:spacing w:before="120"/>
              <w:cnfStyle w:val="000000100000" w:firstRow="0" w:lastRow="0" w:firstColumn="0" w:lastColumn="0" w:oddVBand="0" w:evenVBand="0" w:oddHBand="1" w:evenHBand="0" w:firstRowFirstColumn="0" w:firstRowLastColumn="0" w:lastRowFirstColumn="0" w:lastRowLastColumn="0"/>
              <w:rPr>
                <w:rFonts w:cs="Arial"/>
              </w:rPr>
            </w:pPr>
            <w:r w:rsidRPr="000A53C0">
              <w:rPr>
                <w:rFonts w:cs="Arial"/>
              </w:rPr>
              <w:t>Jurisdictional ministers with responsibility for work health and safety</w:t>
            </w:r>
          </w:p>
        </w:tc>
      </w:tr>
    </w:tbl>
    <w:p w14:paraId="4AE157C2" w14:textId="77777777" w:rsidR="00F84122" w:rsidRPr="000A53C0" w:rsidRDefault="00F84122" w:rsidP="00234FEF">
      <w:pPr>
        <w:pStyle w:val="BodyText"/>
        <w:rPr>
          <w:rFonts w:cs="Arial"/>
        </w:rPr>
      </w:pPr>
    </w:p>
    <w:p w14:paraId="19A1DF77" w14:textId="6A0B4C39" w:rsidR="00F84122" w:rsidRPr="000A53C0" w:rsidRDefault="00F84122" w:rsidP="00183C12">
      <w:pPr>
        <w:jc w:val="both"/>
        <w:rPr>
          <w:rFonts w:eastAsiaTheme="minorEastAsia" w:cs="Arial"/>
          <w:b/>
        </w:rPr>
      </w:pPr>
      <w:r w:rsidRPr="000A53C0">
        <w:rPr>
          <w:rFonts w:eastAsiaTheme="minorEastAsia" w:cs="Arial"/>
          <w:b/>
        </w:rPr>
        <w:br w:type="page"/>
      </w:r>
    </w:p>
    <w:p w14:paraId="43BF69F8" w14:textId="3661674B" w:rsidR="00B0627D" w:rsidRPr="000A53C0" w:rsidRDefault="00DA74DC" w:rsidP="00C80198">
      <w:pPr>
        <w:pStyle w:val="Heading1"/>
      </w:pPr>
      <w:bookmarkStart w:id="6" w:name="_Toc142991310"/>
      <w:r w:rsidRPr="000A53C0">
        <w:lastRenderedPageBreak/>
        <w:t>Background</w:t>
      </w:r>
      <w:bookmarkEnd w:id="6"/>
    </w:p>
    <w:p w14:paraId="0E98EFA5" w14:textId="5ADB4C51" w:rsidR="00A145F7" w:rsidRPr="000A53C0" w:rsidRDefault="00491BE8" w:rsidP="001B44C4">
      <w:pPr>
        <w:pStyle w:val="IAListbullet2"/>
        <w:numPr>
          <w:ilvl w:val="0"/>
          <w:numId w:val="0"/>
        </w:numPr>
        <w:rPr>
          <w:rFonts w:cs="Arial"/>
        </w:rPr>
      </w:pPr>
      <w:r w:rsidRPr="000A53C0">
        <w:rPr>
          <w:rFonts w:cs="Arial"/>
        </w:rPr>
        <w:t>On 28 February 2023, Work Health and Safety (WHS) ministers considered the</w:t>
      </w:r>
      <w:r w:rsidR="00DA74DC" w:rsidRPr="000A53C0">
        <w:rPr>
          <w:rFonts w:cs="Arial"/>
        </w:rPr>
        <w:t xml:space="preserve"> recommendations of the Decision Regulation Impact Statement: Managing the risks of respirable crystalline silica</w:t>
      </w:r>
      <w:r w:rsidR="00724275" w:rsidRPr="000A53C0">
        <w:rPr>
          <w:rFonts w:cs="Arial"/>
        </w:rPr>
        <w:t xml:space="preserve"> (RCS)</w:t>
      </w:r>
      <w:r w:rsidR="00DA74DC" w:rsidRPr="000A53C0">
        <w:rPr>
          <w:rFonts w:cs="Arial"/>
        </w:rPr>
        <w:t xml:space="preserve"> at work (</w:t>
      </w:r>
      <w:hyperlink r:id="rId17" w:history="1">
        <w:r w:rsidR="00DA74DC" w:rsidRPr="000A53C0">
          <w:rPr>
            <w:rStyle w:val="Hyperlink"/>
            <w:rFonts w:ascii="Arial" w:hAnsi="Arial" w:cs="Arial"/>
          </w:rPr>
          <w:t>Silica Decision RIS</w:t>
        </w:r>
      </w:hyperlink>
      <w:r w:rsidR="00DA74DC" w:rsidRPr="000A53C0">
        <w:rPr>
          <w:rFonts w:cs="Arial"/>
        </w:rPr>
        <w:t xml:space="preserve">) </w:t>
      </w:r>
      <w:r w:rsidRPr="000A53C0">
        <w:rPr>
          <w:rFonts w:cs="Arial"/>
        </w:rPr>
        <w:t xml:space="preserve">and </w:t>
      </w:r>
      <w:r w:rsidR="00DA74DC" w:rsidRPr="000A53C0">
        <w:rPr>
          <w:rFonts w:cs="Arial"/>
        </w:rPr>
        <w:t>agreed th</w:t>
      </w:r>
      <w:r w:rsidR="001D7B47" w:rsidRPr="000A53C0">
        <w:rPr>
          <w:rFonts w:cs="Arial"/>
        </w:rPr>
        <w:t>at</w:t>
      </w:r>
      <w:r w:rsidR="001A5403" w:rsidRPr="000A53C0">
        <w:rPr>
          <w:rFonts w:cs="Arial"/>
        </w:rPr>
        <w:t xml:space="preserve"> the</w:t>
      </w:r>
      <w:r w:rsidR="00DA74DC" w:rsidRPr="000A53C0">
        <w:rPr>
          <w:rFonts w:cs="Arial"/>
        </w:rPr>
        <w:t xml:space="preserve"> </w:t>
      </w:r>
      <w:r w:rsidRPr="000A53C0">
        <w:rPr>
          <w:rFonts w:cs="Arial"/>
        </w:rPr>
        <w:t>Safe Work Australia</w:t>
      </w:r>
      <w:r w:rsidR="00DA74DC" w:rsidRPr="000A53C0">
        <w:rPr>
          <w:rFonts w:cs="Arial"/>
        </w:rPr>
        <w:t xml:space="preserve"> Agency (the Agency)</w:t>
      </w:r>
      <w:r w:rsidRPr="000A53C0">
        <w:rPr>
          <w:rFonts w:cs="Arial"/>
        </w:rPr>
        <w:t xml:space="preserve"> undertak</w:t>
      </w:r>
      <w:r w:rsidR="003A2632" w:rsidRPr="000A53C0">
        <w:rPr>
          <w:rFonts w:cs="Arial"/>
        </w:rPr>
        <w:t xml:space="preserve">e </w:t>
      </w:r>
      <w:r w:rsidRPr="000A53C0">
        <w:rPr>
          <w:rFonts w:cs="Arial"/>
        </w:rPr>
        <w:t>further analysis and consultation on the impacts of a prohibition on the use of engineered stone under the model WHS laws</w:t>
      </w:r>
      <w:r w:rsidR="00D151A2" w:rsidRPr="000A53C0">
        <w:rPr>
          <w:rFonts w:cs="Arial"/>
        </w:rPr>
        <w:t xml:space="preserve"> </w:t>
      </w:r>
      <w:sdt>
        <w:sdtPr>
          <w:rPr>
            <w:rFonts w:cs="Arial"/>
          </w:rPr>
          <w:id w:val="-1249651853"/>
          <w:citation/>
        </w:sdtPr>
        <w:sdtEndPr/>
        <w:sdtContent>
          <w:r w:rsidR="00D151A2" w:rsidRPr="000A53C0">
            <w:rPr>
              <w:rFonts w:cs="Arial"/>
            </w:rPr>
            <w:fldChar w:fldCharType="begin"/>
          </w:r>
          <w:r w:rsidR="00D151A2" w:rsidRPr="000A53C0">
            <w:rPr>
              <w:rFonts w:cs="Arial"/>
            </w:rPr>
            <w:instrText xml:space="preserve"> CITATION Wor23 \l 3081 </w:instrText>
          </w:r>
          <w:r w:rsidR="00D151A2" w:rsidRPr="000A53C0">
            <w:rPr>
              <w:rFonts w:cs="Arial"/>
            </w:rPr>
            <w:fldChar w:fldCharType="separate"/>
          </w:r>
          <w:r w:rsidR="001F7BAA" w:rsidRPr="000A53C0">
            <w:rPr>
              <w:rFonts w:cs="Arial"/>
              <w:noProof/>
            </w:rPr>
            <w:t>(DEWR 2023)</w:t>
          </w:r>
          <w:r w:rsidR="00D151A2" w:rsidRPr="000A53C0">
            <w:rPr>
              <w:rFonts w:cs="Arial"/>
            </w:rPr>
            <w:fldChar w:fldCharType="end"/>
          </w:r>
        </w:sdtContent>
      </w:sdt>
      <w:r w:rsidRPr="000A53C0">
        <w:rPr>
          <w:rFonts w:cs="Arial"/>
        </w:rPr>
        <w:t>. Ministers noted this should include</w:t>
      </w:r>
      <w:r w:rsidR="00A145F7" w:rsidRPr="000A53C0">
        <w:rPr>
          <w:rFonts w:cs="Arial"/>
        </w:rPr>
        <w:t>:</w:t>
      </w:r>
    </w:p>
    <w:p w14:paraId="5E9793A8" w14:textId="60740142" w:rsidR="00DA74DC" w:rsidRPr="000A53C0" w:rsidRDefault="00491BE8" w:rsidP="001B44C4">
      <w:pPr>
        <w:pStyle w:val="IAListbullet2"/>
        <w:rPr>
          <w:rFonts w:cs="Arial"/>
        </w:rPr>
      </w:pPr>
      <w:r w:rsidRPr="000A53C0">
        <w:rPr>
          <w:rFonts w:cs="Arial"/>
        </w:rPr>
        <w:t>consideration of silica content levels and other risk factors</w:t>
      </w:r>
    </w:p>
    <w:p w14:paraId="72858246" w14:textId="5D6133B1" w:rsidR="00A145F7" w:rsidRPr="000A53C0" w:rsidRDefault="00491BE8" w:rsidP="001B44C4">
      <w:pPr>
        <w:pStyle w:val="IAListbullet2"/>
        <w:rPr>
          <w:rFonts w:cs="Arial"/>
        </w:rPr>
      </w:pPr>
      <w:r w:rsidRPr="000A53C0">
        <w:rPr>
          <w:rFonts w:cs="Arial"/>
        </w:rPr>
        <w:t xml:space="preserve">a national licensing system for </w:t>
      </w:r>
      <w:r w:rsidR="00A145F7" w:rsidRPr="000A53C0">
        <w:rPr>
          <w:rFonts w:cs="Arial"/>
        </w:rPr>
        <w:t xml:space="preserve">work with </w:t>
      </w:r>
      <w:r w:rsidRPr="000A53C0">
        <w:rPr>
          <w:rFonts w:cs="Arial"/>
        </w:rPr>
        <w:t>products that are not subject to a ban</w:t>
      </w:r>
      <w:r w:rsidR="003A2632" w:rsidRPr="000A53C0">
        <w:rPr>
          <w:rFonts w:cs="Arial"/>
        </w:rPr>
        <w:t>,</w:t>
      </w:r>
      <w:r w:rsidRPr="000A53C0">
        <w:rPr>
          <w:rFonts w:cs="Arial"/>
        </w:rPr>
        <w:t xml:space="preserve"> and </w:t>
      </w:r>
    </w:p>
    <w:p w14:paraId="701CDF09" w14:textId="20153813" w:rsidR="00491BE8" w:rsidRPr="000A53C0" w:rsidRDefault="00FD4E12" w:rsidP="001B44C4">
      <w:pPr>
        <w:pStyle w:val="IAListbullet2"/>
        <w:rPr>
          <w:rFonts w:cs="Arial"/>
        </w:rPr>
      </w:pPr>
      <w:r w:rsidRPr="000A53C0">
        <w:rPr>
          <w:rFonts w:cs="Arial"/>
        </w:rPr>
        <w:t>a</w:t>
      </w:r>
      <w:r w:rsidR="00A145F7" w:rsidRPr="000A53C0">
        <w:rPr>
          <w:rFonts w:cs="Arial"/>
        </w:rPr>
        <w:t xml:space="preserve"> national licensing system </w:t>
      </w:r>
      <w:r w:rsidR="00491BE8" w:rsidRPr="000A53C0">
        <w:rPr>
          <w:rFonts w:cs="Arial"/>
        </w:rPr>
        <w:t xml:space="preserve">for </w:t>
      </w:r>
      <w:r w:rsidR="00A145F7" w:rsidRPr="000A53C0">
        <w:rPr>
          <w:rFonts w:cs="Arial"/>
        </w:rPr>
        <w:t xml:space="preserve">work with </w:t>
      </w:r>
      <w:r w:rsidR="00491BE8" w:rsidRPr="000A53C0">
        <w:rPr>
          <w:rFonts w:cs="Arial"/>
        </w:rPr>
        <w:t xml:space="preserve">legacy products. </w:t>
      </w:r>
    </w:p>
    <w:p w14:paraId="36C3A159" w14:textId="06BDA56E" w:rsidR="00DA74DC" w:rsidRPr="000A53C0" w:rsidRDefault="00DA74DC" w:rsidP="001B44C4">
      <w:pPr>
        <w:pStyle w:val="IAListbullet2"/>
        <w:numPr>
          <w:ilvl w:val="0"/>
          <w:numId w:val="0"/>
        </w:numPr>
        <w:rPr>
          <w:rFonts w:cs="Arial"/>
        </w:rPr>
      </w:pPr>
      <w:r w:rsidRPr="000A53C0">
        <w:rPr>
          <w:rFonts w:cs="Arial"/>
        </w:rPr>
        <w:t xml:space="preserve">This Decision Regulation Impact Statement (Decision RIS) provides the analysis of the regulatory impacts of options under the model WHS laws to prohibit the use of engineered stone. It builds on the evidence and analysis considered by WHS ministers </w:t>
      </w:r>
      <w:r w:rsidR="00783148" w:rsidRPr="000A53C0">
        <w:rPr>
          <w:rFonts w:cs="Arial"/>
        </w:rPr>
        <w:t>and should be read in conjunction with</w:t>
      </w:r>
      <w:r w:rsidRPr="000A53C0">
        <w:rPr>
          <w:rFonts w:cs="Arial"/>
        </w:rPr>
        <w:t xml:space="preserve"> the Silica Decision RIS</w:t>
      </w:r>
      <w:r w:rsidR="00783148" w:rsidRPr="000A53C0">
        <w:rPr>
          <w:rFonts w:cs="Arial"/>
        </w:rPr>
        <w:t>.</w:t>
      </w:r>
    </w:p>
    <w:p w14:paraId="2C43B0A0" w14:textId="4DF385BB" w:rsidR="005C3CA4" w:rsidRPr="000A53C0" w:rsidRDefault="005C3CA4" w:rsidP="00572745">
      <w:pPr>
        <w:pStyle w:val="BodyText"/>
        <w:rPr>
          <w:rFonts w:cs="Arial"/>
        </w:rPr>
      </w:pPr>
      <w:r w:rsidRPr="000A53C0">
        <w:rPr>
          <w:rFonts w:cs="Arial"/>
        </w:rPr>
        <w:t>A prohibition on the import of engineered stone is outside the scope of this Decisions RIS as this is a matter for the Commonwealth. The Department of Employment and Workplace Relations is considering the prohibition on import of engineered stone</w:t>
      </w:r>
      <w:r w:rsidR="00572745" w:rsidRPr="000A53C0">
        <w:rPr>
          <w:rFonts w:cs="Arial"/>
        </w:rPr>
        <w:t xml:space="preserve"> </w:t>
      </w:r>
      <w:sdt>
        <w:sdtPr>
          <w:rPr>
            <w:rFonts w:cs="Arial"/>
          </w:rPr>
          <w:id w:val="-868296329"/>
          <w:citation/>
        </w:sdtPr>
        <w:sdtEndPr/>
        <w:sdtContent>
          <w:r w:rsidR="009D5596" w:rsidRPr="000A53C0">
            <w:rPr>
              <w:rFonts w:cs="Arial"/>
            </w:rPr>
            <w:fldChar w:fldCharType="begin"/>
          </w:r>
          <w:r w:rsidR="009D5596" w:rsidRPr="000A53C0">
            <w:rPr>
              <w:rFonts w:cs="Arial"/>
            </w:rPr>
            <w:instrText xml:space="preserve"> CITATION Wor23 \l 3081 </w:instrText>
          </w:r>
          <w:r w:rsidR="009D5596" w:rsidRPr="000A53C0">
            <w:rPr>
              <w:rFonts w:cs="Arial"/>
            </w:rPr>
            <w:fldChar w:fldCharType="separate"/>
          </w:r>
          <w:r w:rsidR="001F7BAA" w:rsidRPr="000A53C0">
            <w:rPr>
              <w:rFonts w:cs="Arial"/>
              <w:noProof/>
            </w:rPr>
            <w:t>(DEWR 2023)</w:t>
          </w:r>
          <w:r w:rsidR="009D5596" w:rsidRPr="000A53C0">
            <w:rPr>
              <w:rFonts w:cs="Arial"/>
            </w:rPr>
            <w:fldChar w:fldCharType="end"/>
          </w:r>
        </w:sdtContent>
      </w:sdt>
      <w:r w:rsidRPr="000A53C0">
        <w:rPr>
          <w:rFonts w:cs="Arial"/>
        </w:rPr>
        <w:t>.</w:t>
      </w:r>
    </w:p>
    <w:p w14:paraId="42F84432" w14:textId="46A62208" w:rsidR="005C3CA4" w:rsidRPr="000A53C0" w:rsidRDefault="00491BE8" w:rsidP="00491BE8">
      <w:pPr>
        <w:pStyle w:val="BodyText"/>
        <w:rPr>
          <w:rFonts w:cs="Arial"/>
        </w:rPr>
      </w:pPr>
      <w:r w:rsidRPr="000A53C0">
        <w:rPr>
          <w:rFonts w:cs="Arial"/>
        </w:rPr>
        <w:t xml:space="preserve">This </w:t>
      </w:r>
      <w:r w:rsidR="008A1156" w:rsidRPr="000A53C0">
        <w:rPr>
          <w:rFonts w:cs="Arial"/>
        </w:rPr>
        <w:t xml:space="preserve">Decision RIS </w:t>
      </w:r>
      <w:r w:rsidRPr="000A53C0">
        <w:rPr>
          <w:rFonts w:cs="Arial"/>
        </w:rPr>
        <w:t xml:space="preserve">is informed by stakeholder feedback on a consultation paper released by </w:t>
      </w:r>
      <w:r w:rsidR="000D599F" w:rsidRPr="000A53C0">
        <w:rPr>
          <w:rFonts w:cs="Arial"/>
        </w:rPr>
        <w:t>the Agency</w:t>
      </w:r>
      <w:r w:rsidRPr="000A53C0">
        <w:rPr>
          <w:rFonts w:cs="Arial"/>
        </w:rPr>
        <w:t xml:space="preserve"> in March 2023. </w:t>
      </w:r>
      <w:r w:rsidR="00116E6D" w:rsidRPr="000A53C0">
        <w:rPr>
          <w:rFonts w:cs="Arial"/>
        </w:rPr>
        <w:t>It</w:t>
      </w:r>
      <w:r w:rsidR="008A1156" w:rsidRPr="000A53C0">
        <w:rPr>
          <w:rFonts w:cs="Arial"/>
        </w:rPr>
        <w:t xml:space="preserve"> </w:t>
      </w:r>
      <w:r w:rsidRPr="000A53C0">
        <w:rPr>
          <w:rFonts w:cs="Arial"/>
        </w:rPr>
        <w:t xml:space="preserve">also draws </w:t>
      </w:r>
      <w:r w:rsidR="00DA74DC" w:rsidRPr="000A53C0">
        <w:rPr>
          <w:rFonts w:cs="Arial"/>
        </w:rPr>
        <w:t>on</w:t>
      </w:r>
      <w:r w:rsidRPr="000A53C0">
        <w:rPr>
          <w:rFonts w:cs="Arial"/>
        </w:rPr>
        <w:t xml:space="preserve"> </w:t>
      </w:r>
      <w:r w:rsidR="00DA74DC" w:rsidRPr="000A53C0">
        <w:rPr>
          <w:rFonts w:cs="Arial"/>
        </w:rPr>
        <w:t>the Safe Work Australia Members’</w:t>
      </w:r>
      <w:r w:rsidRPr="000A53C0">
        <w:rPr>
          <w:rFonts w:cs="Arial"/>
        </w:rPr>
        <w:t xml:space="preserve"> </w:t>
      </w:r>
      <w:r w:rsidR="00BE0BE6" w:rsidRPr="000A53C0">
        <w:rPr>
          <w:rFonts w:cs="Arial"/>
        </w:rPr>
        <w:t xml:space="preserve">(Members) </w:t>
      </w:r>
      <w:r w:rsidRPr="000A53C0">
        <w:rPr>
          <w:rFonts w:cs="Arial"/>
        </w:rPr>
        <w:t xml:space="preserve">workshop </w:t>
      </w:r>
      <w:r w:rsidR="009F656A" w:rsidRPr="000A53C0">
        <w:rPr>
          <w:rFonts w:cs="Arial"/>
        </w:rPr>
        <w:t>in April 2023</w:t>
      </w:r>
      <w:r w:rsidRPr="000A53C0">
        <w:rPr>
          <w:rFonts w:cs="Arial"/>
        </w:rPr>
        <w:t xml:space="preserve">, an independent expert review of </w:t>
      </w:r>
      <w:r w:rsidR="00BC1512" w:rsidRPr="000A53C0">
        <w:rPr>
          <w:rFonts w:cs="Arial"/>
        </w:rPr>
        <w:t xml:space="preserve">scientific </w:t>
      </w:r>
      <w:r w:rsidRPr="000A53C0">
        <w:rPr>
          <w:rFonts w:cs="Arial"/>
        </w:rPr>
        <w:t xml:space="preserve">evidence </w:t>
      </w:r>
      <w:r w:rsidR="00BC1512" w:rsidRPr="000A53C0">
        <w:rPr>
          <w:rFonts w:cs="Arial"/>
        </w:rPr>
        <w:t xml:space="preserve">regarding the risk profile of working with engineered stone </w:t>
      </w:r>
      <w:r w:rsidRPr="000A53C0">
        <w:rPr>
          <w:rFonts w:cs="Arial"/>
        </w:rPr>
        <w:t>undertaken by the University of Adelaide, and an economic impact analysis undertaken by independent consultants, Ernst &amp;</w:t>
      </w:r>
      <w:r w:rsidR="00975CA5" w:rsidRPr="000A53C0">
        <w:rPr>
          <w:rFonts w:cs="Arial"/>
        </w:rPr>
        <w:t xml:space="preserve"> </w:t>
      </w:r>
      <w:r w:rsidRPr="000A53C0">
        <w:rPr>
          <w:rFonts w:cs="Arial"/>
        </w:rPr>
        <w:t xml:space="preserve">Young </w:t>
      </w:r>
      <w:r w:rsidR="00B00B8A" w:rsidRPr="000A53C0">
        <w:rPr>
          <w:rFonts w:cs="Arial"/>
        </w:rPr>
        <w:t xml:space="preserve">Pty Ltd </w:t>
      </w:r>
      <w:r w:rsidRPr="000A53C0">
        <w:rPr>
          <w:rFonts w:cs="Arial"/>
        </w:rPr>
        <w:t xml:space="preserve">(EY). </w:t>
      </w:r>
    </w:p>
    <w:p w14:paraId="36A2D8D9" w14:textId="1C763B2F" w:rsidR="00DA74DC" w:rsidRPr="00A32EF1" w:rsidRDefault="00736215" w:rsidP="00A32EF1">
      <w:pPr>
        <w:autoSpaceDE w:val="0"/>
        <w:autoSpaceDN w:val="0"/>
        <w:adjustRightInd w:val="0"/>
        <w:spacing w:after="0" w:line="240" w:lineRule="auto"/>
        <w:rPr>
          <w:rFonts w:cs="Arial"/>
          <w:i/>
        </w:rPr>
      </w:pPr>
      <w:r w:rsidRPr="000A53C0">
        <w:rPr>
          <w:rStyle w:val="BodyTextChar"/>
          <w:rFonts w:cs="Arial"/>
        </w:rPr>
        <w:t>This Decision RIS has been prepared in accordance with the Regulatory Impact Analysis Guide for Ministers’ Meeting and</w:t>
      </w:r>
      <w:r w:rsidR="007A3DE7" w:rsidRPr="000A53C0">
        <w:rPr>
          <w:rStyle w:val="BodyTextChar"/>
          <w:rFonts w:cs="Arial"/>
        </w:rPr>
        <w:t xml:space="preserve"> </w:t>
      </w:r>
      <w:r w:rsidRPr="000A53C0">
        <w:rPr>
          <w:rStyle w:val="BodyTextChar"/>
          <w:rFonts w:cs="Arial"/>
        </w:rPr>
        <w:t>National Standard Setting Bodies</w:t>
      </w:r>
      <w:r w:rsidR="007A3DE7" w:rsidRPr="000A53C0">
        <w:rPr>
          <w:rStyle w:val="BodyTextChar"/>
          <w:rFonts w:cs="Arial"/>
        </w:rPr>
        <w:t>, as updated in June 2023</w:t>
      </w:r>
      <w:r w:rsidRPr="000A53C0">
        <w:rPr>
          <w:rStyle w:val="BodyTextChar"/>
          <w:rFonts w:cs="Arial"/>
        </w:rPr>
        <w:t xml:space="preserve"> (the Guide).</w:t>
      </w:r>
      <w:r w:rsidRPr="000A53C0">
        <w:rPr>
          <w:rFonts w:cs="Arial"/>
          <w:color w:val="262626"/>
        </w:rPr>
        <w:t xml:space="preserve"> The Office of Impact Analysis (OIA) has confirmed this D</w:t>
      </w:r>
      <w:r w:rsidR="00AE0ECA" w:rsidRPr="000A53C0">
        <w:rPr>
          <w:rFonts w:cs="Arial"/>
          <w:color w:val="262626"/>
        </w:rPr>
        <w:t xml:space="preserve">ecision </w:t>
      </w:r>
      <w:r w:rsidRPr="000A53C0">
        <w:rPr>
          <w:rFonts w:cs="Arial"/>
          <w:color w:val="262626"/>
        </w:rPr>
        <w:t>RIS meets</w:t>
      </w:r>
      <w:r w:rsidR="007A3DE7" w:rsidRPr="000A53C0">
        <w:rPr>
          <w:rFonts w:cs="Arial"/>
          <w:color w:val="262626"/>
        </w:rPr>
        <w:t xml:space="preserve"> </w:t>
      </w:r>
      <w:r w:rsidRPr="000A53C0">
        <w:rPr>
          <w:rFonts w:cs="Arial"/>
          <w:color w:val="262626"/>
        </w:rPr>
        <w:t>the requirements set out in the Guide.</w:t>
      </w:r>
      <w:r w:rsidRPr="000A53C0">
        <w:rPr>
          <w:rFonts w:cs="Arial"/>
          <w:i/>
        </w:rPr>
        <w:t xml:space="preserve"> </w:t>
      </w:r>
    </w:p>
    <w:p w14:paraId="4F7DDC9A" w14:textId="0197C666" w:rsidR="00DA74DC" w:rsidRPr="000A53C0" w:rsidRDefault="00DA74DC" w:rsidP="00C84BAF">
      <w:pPr>
        <w:pStyle w:val="Heading1"/>
        <w:rPr>
          <w:rFonts w:cs="Arial"/>
        </w:rPr>
      </w:pPr>
      <w:bookmarkStart w:id="7" w:name="_Toc142991311"/>
      <w:r w:rsidRPr="000A53C0">
        <w:rPr>
          <w:rFonts w:cs="Arial"/>
        </w:rPr>
        <w:t>Acknowledgements</w:t>
      </w:r>
      <w:bookmarkEnd w:id="7"/>
    </w:p>
    <w:p w14:paraId="2A84E4A7" w14:textId="7EC9436D" w:rsidR="00DA74DC" w:rsidRPr="000A53C0" w:rsidRDefault="00DA74DC" w:rsidP="00DA74DC">
      <w:pPr>
        <w:pStyle w:val="BodyText"/>
        <w:rPr>
          <w:rFonts w:cs="Arial"/>
        </w:rPr>
      </w:pPr>
      <w:bookmarkStart w:id="8" w:name="_Hlk141693110"/>
      <w:r w:rsidRPr="000A53C0">
        <w:rPr>
          <w:rFonts w:cs="Arial"/>
        </w:rPr>
        <w:t>The Agency thanks all stakeholders who participated in the consultation process, in particular the important contributions of our Members</w:t>
      </w:r>
      <w:r w:rsidR="008839FB" w:rsidRPr="000A53C0">
        <w:rPr>
          <w:rFonts w:cs="Arial"/>
        </w:rPr>
        <w:t>, stone benchtop industry</w:t>
      </w:r>
      <w:r w:rsidR="006123BC" w:rsidRPr="000A53C0">
        <w:rPr>
          <w:rFonts w:cs="Arial"/>
        </w:rPr>
        <w:t xml:space="preserve"> </w:t>
      </w:r>
      <w:r w:rsidR="006F2A91" w:rsidRPr="000A53C0">
        <w:rPr>
          <w:rFonts w:cs="Arial"/>
        </w:rPr>
        <w:t>businesses</w:t>
      </w:r>
      <w:r w:rsidR="008839FB" w:rsidRPr="000A53C0">
        <w:rPr>
          <w:rFonts w:cs="Arial"/>
        </w:rPr>
        <w:t>, unions, and peak health bodies</w:t>
      </w:r>
      <w:r w:rsidRPr="000A53C0">
        <w:rPr>
          <w:rFonts w:cs="Arial"/>
        </w:rPr>
        <w:t>.</w:t>
      </w:r>
    </w:p>
    <w:bookmarkEnd w:id="8"/>
    <w:p w14:paraId="474492F0" w14:textId="5FE0CD69" w:rsidR="00DA74DC" w:rsidRPr="000A53C0" w:rsidRDefault="00DA74DC" w:rsidP="00DA74DC">
      <w:pPr>
        <w:pStyle w:val="BodyText"/>
        <w:rPr>
          <w:rFonts w:cs="Arial"/>
        </w:rPr>
      </w:pPr>
      <w:r w:rsidRPr="000A53C0">
        <w:rPr>
          <w:rFonts w:cs="Arial"/>
        </w:rPr>
        <w:t>The Agency engaged the University of Adelaide and Monash University to review the available evidence on the risk profile of engineered stone and thanks the Universities for that work.</w:t>
      </w:r>
    </w:p>
    <w:p w14:paraId="2CC5EAD6" w14:textId="0A2CA623" w:rsidR="00DA74DC" w:rsidRPr="000A53C0" w:rsidRDefault="00DA74DC" w:rsidP="00DA74DC">
      <w:pPr>
        <w:pStyle w:val="BodyText"/>
        <w:rPr>
          <w:rFonts w:cs="Arial"/>
        </w:rPr>
      </w:pPr>
      <w:r w:rsidRPr="000A53C0">
        <w:rPr>
          <w:rFonts w:cs="Arial"/>
        </w:rPr>
        <w:t xml:space="preserve">The Agency also engaged </w:t>
      </w:r>
      <w:r w:rsidR="00BA1702" w:rsidRPr="000A53C0">
        <w:rPr>
          <w:rFonts w:cs="Arial"/>
        </w:rPr>
        <w:t>EY</w:t>
      </w:r>
      <w:r w:rsidRPr="000A53C0">
        <w:rPr>
          <w:rFonts w:cs="Arial"/>
        </w:rPr>
        <w:t xml:space="preserve"> to support development of this Regulation Impact Statement. </w:t>
      </w:r>
      <w:r w:rsidR="000D599F" w:rsidRPr="000A53C0">
        <w:rPr>
          <w:rFonts w:cs="Arial"/>
        </w:rPr>
        <w:t>The Agency</w:t>
      </w:r>
      <w:r w:rsidRPr="000A53C0">
        <w:rPr>
          <w:rFonts w:cs="Arial"/>
        </w:rPr>
        <w:t xml:space="preserve"> thanks EY for undertaking the impact analysis. This impact analysis was undertaken in May and June 2023, with parameter assumptions current at June 2023. </w:t>
      </w:r>
    </w:p>
    <w:p w14:paraId="3FCEF1ED" w14:textId="77777777" w:rsidR="00DA74DC" w:rsidRPr="000A53C0" w:rsidRDefault="00DA74DC" w:rsidP="00DA74DC">
      <w:pPr>
        <w:jc w:val="both"/>
        <w:rPr>
          <w:rFonts w:eastAsiaTheme="minorEastAsia" w:cs="Arial"/>
          <w:b/>
          <w:bCs/>
        </w:rPr>
      </w:pPr>
      <w:r w:rsidRPr="000A53C0">
        <w:rPr>
          <w:rFonts w:eastAsiaTheme="minorEastAsia" w:cs="Arial"/>
          <w:b/>
          <w:bCs/>
        </w:rPr>
        <w:br w:type="page"/>
      </w:r>
    </w:p>
    <w:p w14:paraId="21681841" w14:textId="798A7F2E" w:rsidR="00783148" w:rsidRPr="000A53C0" w:rsidRDefault="00783148" w:rsidP="00DB2761">
      <w:pPr>
        <w:pStyle w:val="Heading1"/>
      </w:pPr>
      <w:bookmarkStart w:id="9" w:name="_Toc142991312"/>
      <w:r w:rsidRPr="000A53C0">
        <w:lastRenderedPageBreak/>
        <w:t>Executive summary</w:t>
      </w:r>
      <w:bookmarkEnd w:id="9"/>
    </w:p>
    <w:p w14:paraId="244BD777" w14:textId="635AA545" w:rsidR="003D2EB3" w:rsidRPr="000A53C0" w:rsidRDefault="003D2EB3" w:rsidP="00514CCB">
      <w:pPr>
        <w:pStyle w:val="Heading2"/>
      </w:pPr>
      <w:r w:rsidRPr="000A53C0">
        <w:t>Statement of the problem</w:t>
      </w:r>
    </w:p>
    <w:p w14:paraId="314C5195" w14:textId="60390674" w:rsidR="003D2EB3" w:rsidRPr="00B224EB" w:rsidRDefault="003D2EB3" w:rsidP="00B224EB">
      <w:pPr>
        <w:pStyle w:val="BodyText"/>
        <w:rPr>
          <w:b/>
          <w:bCs/>
        </w:rPr>
      </w:pPr>
      <w:r w:rsidRPr="00B224EB">
        <w:rPr>
          <w:b/>
          <w:bCs/>
        </w:rPr>
        <w:t xml:space="preserve">Australian workers are </w:t>
      </w:r>
      <w:r w:rsidR="003F7E8E" w:rsidRPr="00B224EB">
        <w:rPr>
          <w:b/>
          <w:bCs/>
        </w:rPr>
        <w:t>developing</w:t>
      </w:r>
      <w:r w:rsidRPr="00B224EB">
        <w:rPr>
          <w:b/>
          <w:bCs/>
        </w:rPr>
        <w:t xml:space="preserve"> silicosis </w:t>
      </w:r>
      <w:r w:rsidR="003F7E8E" w:rsidRPr="00B224EB">
        <w:rPr>
          <w:b/>
          <w:bCs/>
        </w:rPr>
        <w:t>as a result of</w:t>
      </w:r>
      <w:r w:rsidRPr="00B224EB">
        <w:rPr>
          <w:b/>
          <w:bCs/>
        </w:rPr>
        <w:t xml:space="preserve"> </w:t>
      </w:r>
      <w:r w:rsidR="002265FE" w:rsidRPr="00B224EB">
        <w:rPr>
          <w:b/>
          <w:bCs/>
        </w:rPr>
        <w:t xml:space="preserve">working with </w:t>
      </w:r>
      <w:r w:rsidRPr="00B224EB">
        <w:rPr>
          <w:b/>
          <w:bCs/>
        </w:rPr>
        <w:t>engineered stone.</w:t>
      </w:r>
      <w:r w:rsidR="002265FE" w:rsidRPr="00B224EB">
        <w:rPr>
          <w:b/>
          <w:bCs/>
        </w:rPr>
        <w:t xml:space="preserve"> </w:t>
      </w:r>
    </w:p>
    <w:p w14:paraId="0DC69268" w14:textId="61744BFF" w:rsidR="00C54E2F" w:rsidRPr="000A53C0" w:rsidRDefault="00C54E2F" w:rsidP="0018152C">
      <w:pPr>
        <w:pStyle w:val="BodyText"/>
        <w:rPr>
          <w:rFonts w:cs="Arial"/>
        </w:rPr>
      </w:pPr>
      <w:r w:rsidRPr="000A53C0">
        <w:rPr>
          <w:rFonts w:cs="Arial"/>
        </w:rPr>
        <w:t xml:space="preserve">The first Australian case of silicosis associated with engineered stone was reported in 2015 </w:t>
      </w:r>
      <w:sdt>
        <w:sdtPr>
          <w:rPr>
            <w:rFonts w:cs="Arial"/>
          </w:rPr>
          <w:id w:val="-1703552244"/>
          <w:citation/>
        </w:sdtPr>
        <w:sdtEndPr/>
        <w:sdtContent>
          <w:r w:rsidRPr="000A53C0">
            <w:rPr>
              <w:rFonts w:cs="Arial"/>
            </w:rPr>
            <w:fldChar w:fldCharType="begin"/>
          </w:r>
          <w:r w:rsidR="00A74AA4" w:rsidRPr="000A53C0">
            <w:rPr>
              <w:rFonts w:cs="Arial"/>
            </w:rPr>
            <w:instrText xml:space="preserve">CITATION Fra15 \l 3081 </w:instrText>
          </w:r>
          <w:r w:rsidRPr="000A53C0">
            <w:rPr>
              <w:rFonts w:cs="Arial"/>
            </w:rPr>
            <w:fldChar w:fldCharType="separate"/>
          </w:r>
          <w:r w:rsidR="001F7BAA" w:rsidRPr="000A53C0">
            <w:rPr>
              <w:rFonts w:cs="Arial"/>
              <w:noProof/>
            </w:rPr>
            <w:t>(Frankel, Blake and Yates 2015)</w:t>
          </w:r>
          <w:r w:rsidRPr="000A53C0">
            <w:rPr>
              <w:rFonts w:cs="Arial"/>
            </w:rPr>
            <w:fldChar w:fldCharType="end"/>
          </w:r>
        </w:sdtContent>
      </w:sdt>
      <w:r w:rsidRPr="000A53C0">
        <w:rPr>
          <w:rFonts w:cs="Arial"/>
        </w:rPr>
        <w:t xml:space="preserve">. Silicosis case numbers in engineered stone workers have risen substantially since this time. While silicosis cases have been found in workers across a range of industries and silica-containing materials, a disproportionate number of silicosis diagnoses are in engineered stone workers. </w:t>
      </w:r>
      <w:r w:rsidR="00DA7C08" w:rsidRPr="000A53C0">
        <w:rPr>
          <w:rFonts w:cs="Arial"/>
        </w:rPr>
        <w:t>In these workers</w:t>
      </w:r>
      <w:r w:rsidR="003F77DF" w:rsidRPr="000A53C0">
        <w:rPr>
          <w:rFonts w:cs="Arial"/>
        </w:rPr>
        <w:t xml:space="preserve"> (compa</w:t>
      </w:r>
      <w:r w:rsidR="00553B64" w:rsidRPr="000A53C0">
        <w:rPr>
          <w:rFonts w:cs="Arial"/>
        </w:rPr>
        <w:t xml:space="preserve">red to workers exposed to </w:t>
      </w:r>
      <w:r w:rsidR="002959F6" w:rsidRPr="000A53C0">
        <w:rPr>
          <w:rFonts w:cs="Arial"/>
        </w:rPr>
        <w:t>silica</w:t>
      </w:r>
      <w:r w:rsidR="00F71279" w:rsidRPr="000A53C0">
        <w:rPr>
          <w:rFonts w:cs="Arial"/>
        </w:rPr>
        <w:t xml:space="preserve"> from natural sources</w:t>
      </w:r>
      <w:r w:rsidR="00553B64" w:rsidRPr="000A53C0">
        <w:rPr>
          <w:rFonts w:cs="Arial"/>
        </w:rPr>
        <w:t>)</w:t>
      </w:r>
      <w:r w:rsidR="00EA3A7C" w:rsidRPr="000A53C0">
        <w:rPr>
          <w:rFonts w:cs="Arial"/>
        </w:rPr>
        <w:t xml:space="preserve">, silicosis is associated with </w:t>
      </w:r>
      <w:r w:rsidR="00BC5B30" w:rsidRPr="000A53C0">
        <w:rPr>
          <w:rFonts w:cs="Arial"/>
        </w:rPr>
        <w:t xml:space="preserve">a shorter duration of exposure to </w:t>
      </w:r>
      <w:r w:rsidR="002959F6" w:rsidRPr="000A53C0">
        <w:rPr>
          <w:rFonts w:cs="Arial"/>
        </w:rPr>
        <w:t>silica</w:t>
      </w:r>
      <w:r w:rsidR="001748C1" w:rsidRPr="000A53C0">
        <w:rPr>
          <w:rFonts w:cs="Arial"/>
        </w:rPr>
        <w:t xml:space="preserve">, </w:t>
      </w:r>
      <w:r w:rsidR="00C81486" w:rsidRPr="000A53C0">
        <w:rPr>
          <w:rFonts w:cs="Arial"/>
        </w:rPr>
        <w:t xml:space="preserve">faster disease progression and </w:t>
      </w:r>
      <w:r w:rsidR="008E0512" w:rsidRPr="000A53C0">
        <w:rPr>
          <w:rFonts w:cs="Arial"/>
        </w:rPr>
        <w:t>higher</w:t>
      </w:r>
      <w:r w:rsidR="00A51864" w:rsidRPr="000A53C0">
        <w:rPr>
          <w:rFonts w:cs="Arial"/>
        </w:rPr>
        <w:t xml:space="preserve"> mortality</w:t>
      </w:r>
      <w:r w:rsidRPr="000A53C0">
        <w:rPr>
          <w:rFonts w:cs="Arial"/>
        </w:rPr>
        <w:t xml:space="preserve"> </w:t>
      </w:r>
      <w:sdt>
        <w:sdtPr>
          <w:rPr>
            <w:rFonts w:cs="Arial"/>
          </w:rPr>
          <w:id w:val="524451785"/>
          <w:citation/>
        </w:sdtPr>
        <w:sdtEndPr/>
        <w:sdtContent>
          <w:r w:rsidRPr="000A53C0">
            <w:rPr>
              <w:rFonts w:cs="Arial"/>
            </w:rPr>
            <w:fldChar w:fldCharType="begin"/>
          </w:r>
          <w:r w:rsidR="00A74AA4" w:rsidRPr="000A53C0">
            <w:rPr>
              <w:rFonts w:cs="Arial"/>
            </w:rPr>
            <w:instrText xml:space="preserve">CITATION Hoy23 \l 3081 </w:instrText>
          </w:r>
          <w:r w:rsidRPr="000A53C0">
            <w:rPr>
              <w:rFonts w:cs="Arial"/>
            </w:rPr>
            <w:fldChar w:fldCharType="separate"/>
          </w:r>
          <w:r w:rsidR="00985837" w:rsidRPr="000A53C0">
            <w:rPr>
              <w:rFonts w:cs="Arial"/>
              <w:noProof/>
            </w:rPr>
            <w:t>(Hoy, et al. 2023)</w:t>
          </w:r>
          <w:r w:rsidRPr="000A53C0">
            <w:rPr>
              <w:rFonts w:cs="Arial"/>
            </w:rPr>
            <w:fldChar w:fldCharType="end"/>
          </w:r>
        </w:sdtContent>
      </w:sdt>
      <w:r w:rsidRPr="000A53C0">
        <w:rPr>
          <w:rFonts w:cs="Arial"/>
        </w:rPr>
        <w:t xml:space="preserve">. </w:t>
      </w:r>
    </w:p>
    <w:p w14:paraId="15EB45C6" w14:textId="15DEC61D" w:rsidR="00C54E2F" w:rsidRPr="00B224EB" w:rsidRDefault="00E73EDA" w:rsidP="00B224EB">
      <w:pPr>
        <w:pStyle w:val="BodyText"/>
        <w:rPr>
          <w:b/>
          <w:bCs/>
        </w:rPr>
      </w:pPr>
      <w:r w:rsidRPr="00B224EB">
        <w:rPr>
          <w:b/>
          <w:bCs/>
        </w:rPr>
        <w:t>One of the key reasons for this is the nature of engineered stone and the RCS it produces:</w:t>
      </w:r>
    </w:p>
    <w:p w14:paraId="5C7082A1" w14:textId="6D36AF12" w:rsidR="004E0C07" w:rsidRPr="000A53C0" w:rsidRDefault="00C54E2F" w:rsidP="0018152C">
      <w:pPr>
        <w:pStyle w:val="IAListbullet2"/>
        <w:rPr>
          <w:rFonts w:cs="Arial"/>
        </w:rPr>
      </w:pPr>
      <w:r w:rsidRPr="000A53C0">
        <w:rPr>
          <w:rFonts w:cs="Arial"/>
        </w:rPr>
        <w:t xml:space="preserve">Engineered stone </w:t>
      </w:r>
      <w:r w:rsidR="00003B6F" w:rsidRPr="000A53C0">
        <w:rPr>
          <w:rFonts w:cs="Arial"/>
        </w:rPr>
        <w:t xml:space="preserve">often </w:t>
      </w:r>
      <w:r w:rsidRPr="000A53C0">
        <w:rPr>
          <w:rFonts w:cs="Arial"/>
        </w:rPr>
        <w:t xml:space="preserve">has significantly higher crystalline silica content, resulting in </w:t>
      </w:r>
      <w:r w:rsidR="004E0C07" w:rsidRPr="000A53C0">
        <w:rPr>
          <w:rFonts w:cs="Arial"/>
        </w:rPr>
        <w:t xml:space="preserve">the generation of </w:t>
      </w:r>
      <w:r w:rsidRPr="000A53C0">
        <w:rPr>
          <w:rFonts w:cs="Arial"/>
        </w:rPr>
        <w:t xml:space="preserve">more dust </w:t>
      </w:r>
      <w:r w:rsidR="004930D9" w:rsidRPr="000A53C0">
        <w:rPr>
          <w:rFonts w:cs="Arial"/>
        </w:rPr>
        <w:t>containing RCS</w:t>
      </w:r>
      <w:r w:rsidR="005F45E9" w:rsidRPr="000A53C0">
        <w:rPr>
          <w:rFonts w:cs="Arial"/>
        </w:rPr>
        <w:t xml:space="preserve"> </w:t>
      </w:r>
      <w:r w:rsidR="004930D9" w:rsidRPr="000A53C0">
        <w:rPr>
          <w:rFonts w:cs="Arial"/>
        </w:rPr>
        <w:t>when processed</w:t>
      </w:r>
      <w:r w:rsidRPr="000A53C0">
        <w:rPr>
          <w:rFonts w:cs="Arial"/>
        </w:rPr>
        <w:t xml:space="preserve">, compared to natural stone. </w:t>
      </w:r>
    </w:p>
    <w:p w14:paraId="26CC3160" w14:textId="589B97EC" w:rsidR="00C54E2F" w:rsidRPr="000A53C0" w:rsidRDefault="00C54E2F" w:rsidP="0018152C">
      <w:pPr>
        <w:pStyle w:val="IAListbullet2"/>
        <w:rPr>
          <w:rFonts w:cs="Arial"/>
        </w:rPr>
      </w:pPr>
      <w:r w:rsidRPr="000A53C0">
        <w:rPr>
          <w:rFonts w:cs="Arial"/>
        </w:rPr>
        <w:t>Engineered stone can be processed more easily</w:t>
      </w:r>
      <w:r w:rsidR="003F7E8E" w:rsidRPr="000A53C0">
        <w:rPr>
          <w:rFonts w:cs="Arial"/>
        </w:rPr>
        <w:t xml:space="preserve"> than natural stone</w:t>
      </w:r>
      <w:r w:rsidRPr="000A53C0">
        <w:rPr>
          <w:rFonts w:cs="Arial"/>
        </w:rPr>
        <w:t xml:space="preserve">, meaning more </w:t>
      </w:r>
      <w:r w:rsidR="00BB6622" w:rsidRPr="000A53C0">
        <w:rPr>
          <w:rFonts w:cs="Arial"/>
        </w:rPr>
        <w:t xml:space="preserve">stone </w:t>
      </w:r>
      <w:r w:rsidRPr="000A53C0">
        <w:rPr>
          <w:rFonts w:cs="Arial"/>
        </w:rPr>
        <w:t xml:space="preserve">can be processed in one shift (leading to higher exposure to dust), and a less skilled workforce </w:t>
      </w:r>
      <w:r w:rsidR="003F7E8E" w:rsidRPr="000A53C0">
        <w:rPr>
          <w:rFonts w:cs="Arial"/>
        </w:rPr>
        <w:t>can be used</w:t>
      </w:r>
      <w:r w:rsidRPr="000A53C0">
        <w:rPr>
          <w:rFonts w:cs="Arial"/>
        </w:rPr>
        <w:t>.</w:t>
      </w:r>
    </w:p>
    <w:p w14:paraId="028F0778" w14:textId="7AE2DFB3" w:rsidR="00C54E2F" w:rsidRPr="000A53C0" w:rsidRDefault="00C54E2F" w:rsidP="0018152C">
      <w:pPr>
        <w:pStyle w:val="IAListbullet2"/>
        <w:rPr>
          <w:rFonts w:cs="Arial"/>
        </w:rPr>
      </w:pPr>
      <w:r w:rsidRPr="000A53C0">
        <w:rPr>
          <w:rFonts w:cs="Arial"/>
        </w:rPr>
        <w:t xml:space="preserve">RCS produced from engineered stone has different physical properties </w:t>
      </w:r>
      <w:r w:rsidR="003F7E8E" w:rsidRPr="000A53C0">
        <w:rPr>
          <w:rFonts w:cs="Arial"/>
        </w:rPr>
        <w:t xml:space="preserve">from </w:t>
      </w:r>
      <w:r w:rsidRPr="000A53C0">
        <w:rPr>
          <w:rFonts w:cs="Arial"/>
        </w:rPr>
        <w:t xml:space="preserve">that produced from natural stone, including </w:t>
      </w:r>
      <w:r w:rsidR="00EA56B6" w:rsidRPr="000A53C0">
        <w:rPr>
          <w:rFonts w:cs="Arial"/>
        </w:rPr>
        <w:t xml:space="preserve">a </w:t>
      </w:r>
      <w:r w:rsidR="004067CC" w:rsidRPr="000A53C0">
        <w:rPr>
          <w:rFonts w:cs="Arial"/>
        </w:rPr>
        <w:t xml:space="preserve">greater </w:t>
      </w:r>
      <w:r w:rsidR="00EA56B6" w:rsidRPr="000A53C0">
        <w:rPr>
          <w:rFonts w:cs="Arial"/>
        </w:rPr>
        <w:t>proportion of very small (</w:t>
      </w:r>
      <w:r w:rsidR="004750F2" w:rsidRPr="000A53C0">
        <w:rPr>
          <w:rFonts w:cs="Arial"/>
        </w:rPr>
        <w:t>nanoscale</w:t>
      </w:r>
      <w:r w:rsidR="00EA56B6" w:rsidRPr="000A53C0">
        <w:rPr>
          <w:rFonts w:cs="Arial"/>
        </w:rPr>
        <w:t>)</w:t>
      </w:r>
      <w:r w:rsidR="004750F2" w:rsidRPr="000A53C0">
        <w:rPr>
          <w:rFonts w:cs="Arial"/>
        </w:rPr>
        <w:t xml:space="preserve"> </w:t>
      </w:r>
      <w:r w:rsidR="003D1F6B" w:rsidRPr="000A53C0">
        <w:rPr>
          <w:rFonts w:cs="Arial"/>
        </w:rPr>
        <w:t xml:space="preserve">particles </w:t>
      </w:r>
      <w:r w:rsidR="00EA6AA1" w:rsidRPr="000A53C0">
        <w:rPr>
          <w:rFonts w:cs="Arial"/>
        </w:rPr>
        <w:t xml:space="preserve">of RCS </w:t>
      </w:r>
      <w:r w:rsidR="00EA56B6" w:rsidRPr="000A53C0">
        <w:rPr>
          <w:rFonts w:cs="Arial"/>
        </w:rPr>
        <w:t>which can penetrate deeper into the lungs</w:t>
      </w:r>
      <w:r w:rsidRPr="000A53C0">
        <w:rPr>
          <w:rFonts w:cs="Arial"/>
        </w:rPr>
        <w:t>.</w:t>
      </w:r>
    </w:p>
    <w:p w14:paraId="611320F5" w14:textId="1F1E495D" w:rsidR="00783148" w:rsidRPr="000A53C0" w:rsidRDefault="00C023F3" w:rsidP="0018152C">
      <w:pPr>
        <w:pStyle w:val="IAListbullet2"/>
        <w:rPr>
          <w:rFonts w:cs="Arial"/>
        </w:rPr>
      </w:pPr>
      <w:r w:rsidRPr="000A53C0">
        <w:rPr>
          <w:rFonts w:cs="Arial"/>
        </w:rPr>
        <w:t xml:space="preserve">In addition to RCS, </w:t>
      </w:r>
      <w:r w:rsidR="00C43DE0" w:rsidRPr="000A53C0">
        <w:rPr>
          <w:rFonts w:cs="Arial"/>
        </w:rPr>
        <w:t xml:space="preserve">other </w:t>
      </w:r>
      <w:r w:rsidR="00D8526F" w:rsidRPr="000A53C0">
        <w:rPr>
          <w:rFonts w:cs="Arial"/>
        </w:rPr>
        <w:t>components of</w:t>
      </w:r>
      <w:r w:rsidRPr="000A53C0">
        <w:rPr>
          <w:rFonts w:cs="Arial"/>
        </w:rPr>
        <w:t xml:space="preserve"> engineered stone</w:t>
      </w:r>
      <w:r w:rsidR="00226DBE" w:rsidRPr="000A53C0">
        <w:rPr>
          <w:rFonts w:cs="Arial"/>
        </w:rPr>
        <w:t>, such</w:t>
      </w:r>
      <w:r w:rsidR="008D0A9C" w:rsidRPr="000A53C0">
        <w:rPr>
          <w:rFonts w:cs="Arial"/>
        </w:rPr>
        <w:t xml:space="preserve"> as resins, metals</w:t>
      </w:r>
      <w:r w:rsidR="00004F89" w:rsidRPr="000A53C0">
        <w:rPr>
          <w:rFonts w:cs="Arial"/>
        </w:rPr>
        <w:t>, amorphous</w:t>
      </w:r>
      <w:r w:rsidR="00E71699" w:rsidRPr="000A53C0">
        <w:rPr>
          <w:rFonts w:cs="Arial"/>
        </w:rPr>
        <w:t xml:space="preserve"> silica</w:t>
      </w:r>
      <w:r w:rsidR="00D11391" w:rsidRPr="000A53C0">
        <w:rPr>
          <w:rFonts w:cs="Arial"/>
        </w:rPr>
        <w:t>,</w:t>
      </w:r>
      <w:r w:rsidR="008D0A9C" w:rsidRPr="000A53C0">
        <w:rPr>
          <w:rFonts w:cs="Arial"/>
        </w:rPr>
        <w:t xml:space="preserve"> and pigments</w:t>
      </w:r>
      <w:r w:rsidR="00A74AA8" w:rsidRPr="000A53C0">
        <w:rPr>
          <w:rFonts w:cs="Arial"/>
        </w:rPr>
        <w:t>,</w:t>
      </w:r>
      <w:r w:rsidRPr="000A53C0">
        <w:rPr>
          <w:rFonts w:cs="Arial"/>
        </w:rPr>
        <w:t xml:space="preserve"> </w:t>
      </w:r>
      <w:r w:rsidR="00C54E2F" w:rsidRPr="000A53C0">
        <w:rPr>
          <w:rFonts w:cs="Arial"/>
        </w:rPr>
        <w:t xml:space="preserve">may </w:t>
      </w:r>
      <w:r w:rsidR="00D979EE" w:rsidRPr="000A53C0">
        <w:rPr>
          <w:rFonts w:cs="Arial"/>
        </w:rPr>
        <w:t>contribute to the</w:t>
      </w:r>
      <w:r w:rsidR="00C54E2F" w:rsidRPr="000A53C0">
        <w:rPr>
          <w:rFonts w:cs="Arial"/>
        </w:rPr>
        <w:t xml:space="preserve"> </w:t>
      </w:r>
      <w:r w:rsidR="00233500" w:rsidRPr="000A53C0">
        <w:rPr>
          <w:rFonts w:cs="Arial"/>
        </w:rPr>
        <w:t>toxic</w:t>
      </w:r>
      <w:r w:rsidR="00C54E2F" w:rsidRPr="000A53C0">
        <w:rPr>
          <w:rFonts w:cs="Arial"/>
        </w:rPr>
        <w:t xml:space="preserve"> effects</w:t>
      </w:r>
      <w:r w:rsidR="00D979EE" w:rsidRPr="000A53C0">
        <w:rPr>
          <w:rFonts w:cs="Arial"/>
        </w:rPr>
        <w:t xml:space="preserve"> of </w:t>
      </w:r>
      <w:r w:rsidR="00C50E78" w:rsidRPr="000A53C0">
        <w:rPr>
          <w:rFonts w:cs="Arial"/>
        </w:rPr>
        <w:t>engineered stone</w:t>
      </w:r>
      <w:r w:rsidR="00D979EE" w:rsidRPr="000A53C0">
        <w:rPr>
          <w:rFonts w:cs="Arial"/>
        </w:rPr>
        <w:t xml:space="preserve"> dust</w:t>
      </w:r>
      <w:r w:rsidR="000948BD" w:rsidRPr="000A53C0">
        <w:rPr>
          <w:rFonts w:cs="Arial"/>
        </w:rPr>
        <w:t>, either alone o</w:t>
      </w:r>
      <w:r w:rsidR="008A3147" w:rsidRPr="000A53C0">
        <w:rPr>
          <w:rFonts w:cs="Arial"/>
        </w:rPr>
        <w:t xml:space="preserve">r by exacerbating the </w:t>
      </w:r>
      <w:r w:rsidR="0034769C" w:rsidRPr="000A53C0">
        <w:rPr>
          <w:rFonts w:cs="Arial"/>
        </w:rPr>
        <w:t>effects of RCS.</w:t>
      </w:r>
      <w:r w:rsidR="00C54E2F" w:rsidRPr="000A53C0">
        <w:rPr>
          <w:rFonts w:cs="Arial"/>
        </w:rPr>
        <w:t xml:space="preserve"> </w:t>
      </w:r>
    </w:p>
    <w:p w14:paraId="17400D05" w14:textId="16A831EC" w:rsidR="00E73EDA" w:rsidRPr="000A53C0" w:rsidRDefault="4B21A164" w:rsidP="0018152C">
      <w:pPr>
        <w:pStyle w:val="BodyText"/>
        <w:rPr>
          <w:rFonts w:cs="Arial"/>
        </w:rPr>
      </w:pPr>
      <w:r w:rsidRPr="000A53C0">
        <w:rPr>
          <w:rFonts w:cs="Arial"/>
        </w:rPr>
        <w:t>The exposure of workers and others to RCS is regulated by the model WHS laws</w:t>
      </w:r>
      <w:r w:rsidR="466AA560" w:rsidRPr="000A53C0">
        <w:rPr>
          <w:rFonts w:cs="Arial"/>
        </w:rPr>
        <w:t xml:space="preserve"> as a risk to health and safety arising from work</w:t>
      </w:r>
      <w:r w:rsidRPr="000A53C0">
        <w:rPr>
          <w:rFonts w:cs="Arial"/>
        </w:rPr>
        <w:t xml:space="preserve">. Since 2011, there have been robust </w:t>
      </w:r>
      <w:r w:rsidR="466AA560" w:rsidRPr="000A53C0">
        <w:rPr>
          <w:rFonts w:cs="Arial"/>
        </w:rPr>
        <w:t xml:space="preserve">and consistent </w:t>
      </w:r>
      <w:r w:rsidRPr="000A53C0">
        <w:rPr>
          <w:rFonts w:cs="Arial"/>
        </w:rPr>
        <w:t xml:space="preserve">laws in place requiring </w:t>
      </w:r>
      <w:r w:rsidR="2A600E32" w:rsidRPr="000A53C0">
        <w:rPr>
          <w:rFonts w:cs="Arial"/>
        </w:rPr>
        <w:t>persons conducting a business or undertaking (PCBU</w:t>
      </w:r>
      <w:r w:rsidR="480CE608" w:rsidRPr="000A53C0">
        <w:rPr>
          <w:rFonts w:cs="Arial"/>
        </w:rPr>
        <w:t>s</w:t>
      </w:r>
      <w:r w:rsidR="2A600E32" w:rsidRPr="000A53C0">
        <w:rPr>
          <w:rFonts w:cs="Arial"/>
        </w:rPr>
        <w:t>), including designers</w:t>
      </w:r>
      <w:r w:rsidR="1F3A8147" w:rsidRPr="000A53C0">
        <w:rPr>
          <w:rFonts w:cs="Arial"/>
        </w:rPr>
        <w:t>, importers</w:t>
      </w:r>
      <w:r w:rsidR="2A600E32" w:rsidRPr="000A53C0">
        <w:rPr>
          <w:rFonts w:cs="Arial"/>
        </w:rPr>
        <w:t xml:space="preserve"> and manufacturers, to eliminate or minimise the risks to workers and others from RCS</w:t>
      </w:r>
      <w:r w:rsidR="466AA560" w:rsidRPr="000A53C0">
        <w:rPr>
          <w:rFonts w:cs="Arial"/>
        </w:rPr>
        <w:t xml:space="preserve"> so far as is reasonably practicable</w:t>
      </w:r>
      <w:r w:rsidR="2A600E32" w:rsidRPr="000A53C0">
        <w:rPr>
          <w:rFonts w:cs="Arial"/>
        </w:rPr>
        <w:t xml:space="preserve">, including that generated from engineered stone. Under those laws, workers are also required to take reasonable </w:t>
      </w:r>
      <w:r w:rsidR="466AA560" w:rsidRPr="000A53C0">
        <w:rPr>
          <w:rFonts w:cs="Arial"/>
        </w:rPr>
        <w:t>care for</w:t>
      </w:r>
      <w:r w:rsidR="2A600E32" w:rsidRPr="000A53C0">
        <w:rPr>
          <w:rFonts w:cs="Arial"/>
        </w:rPr>
        <w:t xml:space="preserve"> their own health and safety</w:t>
      </w:r>
      <w:r w:rsidR="466AA560" w:rsidRPr="000A53C0">
        <w:rPr>
          <w:rFonts w:cs="Arial"/>
        </w:rPr>
        <w:t xml:space="preserve"> and </w:t>
      </w:r>
      <w:r w:rsidR="3565910B" w:rsidRPr="000A53C0">
        <w:rPr>
          <w:rFonts w:cs="Arial"/>
        </w:rPr>
        <w:t xml:space="preserve">ensure </w:t>
      </w:r>
      <w:r w:rsidR="466AA560" w:rsidRPr="000A53C0">
        <w:rPr>
          <w:rFonts w:cs="Arial"/>
        </w:rPr>
        <w:t>that their acts or omissions</w:t>
      </w:r>
      <w:r w:rsidR="3565910B" w:rsidRPr="000A53C0">
        <w:rPr>
          <w:rFonts w:cs="Arial"/>
        </w:rPr>
        <w:t xml:space="preserve"> do</w:t>
      </w:r>
      <w:r w:rsidR="466AA560" w:rsidRPr="000A53C0">
        <w:rPr>
          <w:rFonts w:cs="Arial"/>
        </w:rPr>
        <w:t xml:space="preserve"> not adversely affect the health and safety of others</w:t>
      </w:r>
      <w:r w:rsidR="2A600E32" w:rsidRPr="000A53C0">
        <w:rPr>
          <w:rFonts w:cs="Arial"/>
        </w:rPr>
        <w:t xml:space="preserve">. </w:t>
      </w:r>
    </w:p>
    <w:p w14:paraId="79F74B94" w14:textId="2BAA3625" w:rsidR="00E73EDA" w:rsidRPr="000A53C0" w:rsidRDefault="00E73EDA" w:rsidP="0018152C">
      <w:pPr>
        <w:pStyle w:val="BodyText"/>
        <w:rPr>
          <w:rFonts w:cs="Arial"/>
        </w:rPr>
      </w:pPr>
      <w:r w:rsidRPr="000A53C0">
        <w:rPr>
          <w:rFonts w:cs="Arial"/>
        </w:rPr>
        <w:t xml:space="preserve">In response to the diagnoses of silicosis in engineered stone workers, the model WHS laws have been amended to remove any doubt in relation to the applicable control measures when working with engineered stone, for example, the prevention of dry cutting. </w:t>
      </w:r>
      <w:r w:rsidR="003D2EB3" w:rsidRPr="000A53C0">
        <w:rPr>
          <w:rFonts w:cs="Arial"/>
        </w:rPr>
        <w:t xml:space="preserve">The workplace exposure level for RCS has also been reduced from </w:t>
      </w:r>
      <w:r w:rsidR="00912267" w:rsidRPr="000A53C0">
        <w:rPr>
          <w:rFonts w:cs="Arial"/>
        </w:rPr>
        <w:t>0.1</w:t>
      </w:r>
      <w:r w:rsidR="006F5B40" w:rsidRPr="000A53C0">
        <w:rPr>
          <w:rFonts w:cs="Arial"/>
        </w:rPr>
        <w:t> </w:t>
      </w:r>
      <w:r w:rsidR="00912267" w:rsidRPr="000A53C0">
        <w:rPr>
          <w:rFonts w:cs="Arial"/>
        </w:rPr>
        <w:t>mg/m</w:t>
      </w:r>
      <w:r w:rsidR="00912267" w:rsidRPr="000A53C0">
        <w:rPr>
          <w:rFonts w:cs="Arial"/>
          <w:vertAlign w:val="superscript"/>
        </w:rPr>
        <w:t>3</w:t>
      </w:r>
      <w:r w:rsidR="00912267" w:rsidRPr="000A53C0">
        <w:rPr>
          <w:rFonts w:cs="Arial"/>
        </w:rPr>
        <w:t xml:space="preserve"> to 0.05 mg/m</w:t>
      </w:r>
      <w:r w:rsidR="00912267" w:rsidRPr="000A53C0">
        <w:rPr>
          <w:rFonts w:cs="Arial"/>
          <w:vertAlign w:val="superscript"/>
        </w:rPr>
        <w:t>3</w:t>
      </w:r>
      <w:r w:rsidR="00912267" w:rsidRPr="000A53C0">
        <w:rPr>
          <w:rFonts w:cs="Arial"/>
        </w:rPr>
        <w:t xml:space="preserve"> (8-hour time weighted average)</w:t>
      </w:r>
      <w:r w:rsidR="006F5B40" w:rsidRPr="000A53C0">
        <w:rPr>
          <w:rFonts w:cs="Arial"/>
        </w:rPr>
        <w:t>,</w:t>
      </w:r>
      <w:r w:rsidR="00912267" w:rsidRPr="000A53C0">
        <w:rPr>
          <w:rFonts w:cs="Arial"/>
        </w:rPr>
        <w:t xml:space="preserve"> with Members </w:t>
      </w:r>
      <w:r w:rsidR="006F5B40" w:rsidRPr="000A53C0">
        <w:rPr>
          <w:rFonts w:cs="Arial"/>
        </w:rPr>
        <w:t xml:space="preserve">recently agreeing to recommend a further reduction to WHS </w:t>
      </w:r>
      <w:r w:rsidR="00A11722" w:rsidRPr="000A53C0">
        <w:rPr>
          <w:rFonts w:cs="Arial"/>
        </w:rPr>
        <w:t>m</w:t>
      </w:r>
      <w:r w:rsidR="006F5B40" w:rsidRPr="000A53C0">
        <w:rPr>
          <w:rFonts w:cs="Arial"/>
        </w:rPr>
        <w:t>inisters (</w:t>
      </w:r>
      <w:r w:rsidR="00912267" w:rsidRPr="000A53C0">
        <w:rPr>
          <w:rFonts w:cs="Arial"/>
        </w:rPr>
        <w:t>to 0.025 mg/m</w:t>
      </w:r>
      <w:r w:rsidR="00912267" w:rsidRPr="000A53C0">
        <w:rPr>
          <w:rFonts w:cs="Arial"/>
          <w:vertAlign w:val="superscript"/>
        </w:rPr>
        <w:t>3</w:t>
      </w:r>
      <w:r w:rsidR="006F5B40" w:rsidRPr="000A53C0">
        <w:rPr>
          <w:rFonts w:cs="Arial"/>
        </w:rPr>
        <w:t>)</w:t>
      </w:r>
      <w:r w:rsidR="00912267" w:rsidRPr="000A53C0">
        <w:rPr>
          <w:rFonts w:cs="Arial"/>
        </w:rPr>
        <w:t xml:space="preserve">. </w:t>
      </w:r>
      <w:r w:rsidRPr="000A53C0">
        <w:rPr>
          <w:rFonts w:cs="Arial"/>
        </w:rPr>
        <w:t>Safe Work Australia and Commonwealth, state and territory governments have also undertaken increased compliance activities, education and awareness campaigns and health screening programs to prevent further unlawful exposure to RCS.</w:t>
      </w:r>
    </w:p>
    <w:p w14:paraId="391170F6" w14:textId="7AD73694" w:rsidR="00783148" w:rsidRPr="000A53C0" w:rsidRDefault="00E73EDA" w:rsidP="0018152C">
      <w:pPr>
        <w:pStyle w:val="BodyText"/>
        <w:rPr>
          <w:rFonts w:cs="Arial"/>
        </w:rPr>
      </w:pPr>
      <w:r w:rsidRPr="000A53C0">
        <w:rPr>
          <w:rFonts w:cs="Arial"/>
        </w:rPr>
        <w:t xml:space="preserve">However, it is tolerably clear that </w:t>
      </w:r>
      <w:r w:rsidR="003D2EB3" w:rsidRPr="000A53C0">
        <w:rPr>
          <w:rFonts w:cs="Arial"/>
          <w:b/>
          <w:bCs/>
        </w:rPr>
        <w:t xml:space="preserve">historically there has been </w:t>
      </w:r>
      <w:r w:rsidR="003F7E8E" w:rsidRPr="000A53C0">
        <w:rPr>
          <w:rFonts w:cs="Arial"/>
          <w:b/>
          <w:bCs/>
        </w:rPr>
        <w:t>insufficient</w:t>
      </w:r>
      <w:r w:rsidR="003D2EB3" w:rsidRPr="000A53C0">
        <w:rPr>
          <w:rFonts w:cs="Arial"/>
          <w:b/>
          <w:bCs/>
        </w:rPr>
        <w:t xml:space="preserve"> compliance activities in respect of the engineered stone industry</w:t>
      </w:r>
      <w:r w:rsidR="003F7E8E" w:rsidRPr="000A53C0">
        <w:rPr>
          <w:rFonts w:cs="Arial"/>
          <w:b/>
          <w:bCs/>
        </w:rPr>
        <w:t xml:space="preserve"> for the level of risk</w:t>
      </w:r>
      <w:r w:rsidR="003D2EB3" w:rsidRPr="000A53C0">
        <w:rPr>
          <w:rFonts w:cs="Arial"/>
        </w:rPr>
        <w:t xml:space="preserve">. Further, </w:t>
      </w:r>
      <w:r w:rsidRPr="000A53C0">
        <w:rPr>
          <w:rFonts w:cs="Arial"/>
        </w:rPr>
        <w:t xml:space="preserve">there has been, and continues to be, </w:t>
      </w:r>
      <w:r w:rsidRPr="000A53C0">
        <w:rPr>
          <w:rFonts w:cs="Arial"/>
          <w:b/>
          <w:bCs/>
        </w:rPr>
        <w:t>non-compliance with the obligations imposed by the model WHS laws, by both PCBUs and workers</w:t>
      </w:r>
      <w:r w:rsidRPr="000A53C0">
        <w:rPr>
          <w:rFonts w:cs="Arial"/>
        </w:rPr>
        <w:t>.</w:t>
      </w:r>
      <w:r w:rsidR="003D2EB3" w:rsidRPr="000A53C0">
        <w:rPr>
          <w:rFonts w:cs="Arial"/>
        </w:rPr>
        <w:t xml:space="preserve"> </w:t>
      </w:r>
    </w:p>
    <w:p w14:paraId="0DA352FF" w14:textId="65F9824D" w:rsidR="003D2EB3" w:rsidRPr="000A53C0" w:rsidRDefault="003D2EB3" w:rsidP="0018152C">
      <w:pPr>
        <w:pStyle w:val="BodyText"/>
        <w:rPr>
          <w:rFonts w:cs="Arial"/>
        </w:rPr>
      </w:pPr>
      <w:r w:rsidRPr="000A53C0">
        <w:rPr>
          <w:rFonts w:cs="Arial"/>
        </w:rPr>
        <w:lastRenderedPageBreak/>
        <w:t xml:space="preserve">The </w:t>
      </w:r>
      <w:r w:rsidRPr="000A53C0">
        <w:rPr>
          <w:rFonts w:cs="Arial"/>
          <w:b/>
          <w:bCs/>
        </w:rPr>
        <w:t>nature of the engineered stone industry</w:t>
      </w:r>
      <w:r w:rsidRPr="000A53C0">
        <w:rPr>
          <w:rFonts w:cs="Arial"/>
        </w:rPr>
        <w:t xml:space="preserve"> has also arguably contributed to non-compliance and hence the extent of cases of silicosis in the industry. It is comprised of mostly small businesses with few barriers to entry </w:t>
      </w:r>
      <w:r w:rsidR="00734712" w:rsidRPr="000A53C0">
        <w:rPr>
          <w:rFonts w:cs="Arial"/>
        </w:rPr>
        <w:t>and a lower understanding of WHS obligations</w:t>
      </w:r>
      <w:r w:rsidRPr="000A53C0">
        <w:rPr>
          <w:rFonts w:cs="Arial"/>
        </w:rPr>
        <w:t xml:space="preserve">. Relevantly, these PCBUs </w:t>
      </w:r>
      <w:r w:rsidR="003F7E8E" w:rsidRPr="000A53C0">
        <w:rPr>
          <w:rFonts w:cs="Arial"/>
        </w:rPr>
        <w:t>ha</w:t>
      </w:r>
      <w:r w:rsidR="001D1447" w:rsidRPr="000A53C0">
        <w:rPr>
          <w:rFonts w:cs="Arial"/>
        </w:rPr>
        <w:t>d</w:t>
      </w:r>
      <w:r w:rsidR="003F7E8E" w:rsidRPr="000A53C0">
        <w:rPr>
          <w:rFonts w:cs="Arial"/>
        </w:rPr>
        <w:t xml:space="preserve"> limited awareness</w:t>
      </w:r>
      <w:r w:rsidR="005B4D6A" w:rsidRPr="000A53C0">
        <w:rPr>
          <w:rFonts w:cs="Arial"/>
        </w:rPr>
        <w:t xml:space="preserve"> of the risks of engineered stone, </w:t>
      </w:r>
      <w:r w:rsidR="00912267" w:rsidRPr="000A53C0">
        <w:rPr>
          <w:rFonts w:cs="Arial"/>
        </w:rPr>
        <w:t xml:space="preserve">and </w:t>
      </w:r>
      <w:r w:rsidR="005B4D6A" w:rsidRPr="000A53C0">
        <w:rPr>
          <w:rFonts w:cs="Arial"/>
        </w:rPr>
        <w:t xml:space="preserve">their duties </w:t>
      </w:r>
      <w:r w:rsidR="003F7E8E" w:rsidRPr="000A53C0">
        <w:rPr>
          <w:rFonts w:cs="Arial"/>
        </w:rPr>
        <w:t>to manage</w:t>
      </w:r>
      <w:r w:rsidR="005B4D6A" w:rsidRPr="000A53C0">
        <w:rPr>
          <w:rFonts w:cs="Arial"/>
        </w:rPr>
        <w:t xml:space="preserve"> those risks, </w:t>
      </w:r>
      <w:r w:rsidR="003F7E8E" w:rsidRPr="000A53C0">
        <w:rPr>
          <w:rFonts w:cs="Arial"/>
        </w:rPr>
        <w:t>including to assess the risks and implement the necessary control measures to keep their workers safe</w:t>
      </w:r>
      <w:r w:rsidR="005B4D6A" w:rsidRPr="000A53C0">
        <w:rPr>
          <w:rFonts w:cs="Arial"/>
        </w:rPr>
        <w:t>. Workers too were</w:t>
      </w:r>
      <w:r w:rsidR="004D3D99" w:rsidRPr="000A53C0">
        <w:rPr>
          <w:rFonts w:cs="Arial"/>
        </w:rPr>
        <w:t xml:space="preserve"> often</w:t>
      </w:r>
      <w:r w:rsidR="005B4D6A" w:rsidRPr="000A53C0">
        <w:rPr>
          <w:rFonts w:cs="Arial"/>
        </w:rPr>
        <w:t xml:space="preserve"> unaware of those risks and </w:t>
      </w:r>
      <w:r w:rsidR="002265FE" w:rsidRPr="000A53C0">
        <w:rPr>
          <w:rFonts w:cs="Arial"/>
        </w:rPr>
        <w:t>duties, and their rights and responsibilities.</w:t>
      </w:r>
    </w:p>
    <w:p w14:paraId="6ACF6746" w14:textId="02B96CA2" w:rsidR="00925BBB" w:rsidRPr="000A53C0" w:rsidRDefault="00925BBB" w:rsidP="0018152C">
      <w:pPr>
        <w:pStyle w:val="BodyText"/>
        <w:rPr>
          <w:rFonts w:cs="Arial"/>
        </w:rPr>
      </w:pPr>
      <w:r w:rsidRPr="000A53C0">
        <w:rPr>
          <w:rFonts w:cs="Arial"/>
        </w:rPr>
        <w:t>Some of the mechanisms in the model WHS laws that</w:t>
      </w:r>
      <w:r w:rsidR="00AE24EE" w:rsidRPr="000A53C0">
        <w:rPr>
          <w:rFonts w:cs="Arial"/>
        </w:rPr>
        <w:t xml:space="preserve"> </w:t>
      </w:r>
      <w:r w:rsidRPr="000A53C0">
        <w:rPr>
          <w:rFonts w:cs="Arial"/>
        </w:rPr>
        <w:t xml:space="preserve">assist to </w:t>
      </w:r>
      <w:r w:rsidR="00446E21" w:rsidRPr="000A53C0">
        <w:rPr>
          <w:rFonts w:cs="Arial"/>
        </w:rPr>
        <w:t>better</w:t>
      </w:r>
      <w:r w:rsidRPr="000A53C0">
        <w:rPr>
          <w:rFonts w:cs="Arial"/>
        </w:rPr>
        <w:t xml:space="preserve"> manage </w:t>
      </w:r>
      <w:r w:rsidR="000D2DB3" w:rsidRPr="000A53C0">
        <w:rPr>
          <w:rFonts w:cs="Arial"/>
        </w:rPr>
        <w:t xml:space="preserve">health and safety </w:t>
      </w:r>
      <w:r w:rsidRPr="000A53C0">
        <w:rPr>
          <w:rFonts w:cs="Arial"/>
        </w:rPr>
        <w:t xml:space="preserve">risks in workplaces were less likely to be </w:t>
      </w:r>
      <w:r w:rsidR="00446E21" w:rsidRPr="000A53C0">
        <w:rPr>
          <w:rFonts w:cs="Arial"/>
        </w:rPr>
        <w:t>present</w:t>
      </w:r>
      <w:r w:rsidRPr="000A53C0">
        <w:rPr>
          <w:rFonts w:cs="Arial"/>
        </w:rPr>
        <w:t xml:space="preserve"> because of the nature of the engineered stone industry and the workforce</w:t>
      </w:r>
      <w:r w:rsidR="000D2DB3" w:rsidRPr="000A53C0">
        <w:rPr>
          <w:rFonts w:cs="Arial"/>
        </w:rPr>
        <w:t xml:space="preserve">. For example, </w:t>
      </w:r>
      <w:r w:rsidR="00994BD6" w:rsidRPr="000A53C0">
        <w:rPr>
          <w:rFonts w:cs="Arial"/>
        </w:rPr>
        <w:t xml:space="preserve">there is </w:t>
      </w:r>
      <w:r w:rsidRPr="000A53C0">
        <w:rPr>
          <w:rFonts w:cs="Arial"/>
        </w:rPr>
        <w:t>unlikely to</w:t>
      </w:r>
      <w:r w:rsidR="00994BD6" w:rsidRPr="000A53C0">
        <w:rPr>
          <w:rFonts w:cs="Arial"/>
        </w:rPr>
        <w:t xml:space="preserve"> be</w:t>
      </w:r>
      <w:r w:rsidRPr="000A53C0">
        <w:rPr>
          <w:rFonts w:cs="Arial"/>
        </w:rPr>
        <w:t xml:space="preserve"> a health and safety representative </w:t>
      </w:r>
      <w:r w:rsidR="007E1A3E" w:rsidRPr="000A53C0">
        <w:rPr>
          <w:rFonts w:cs="Arial"/>
        </w:rPr>
        <w:t xml:space="preserve">(HSR) </w:t>
      </w:r>
      <w:r w:rsidRPr="000A53C0">
        <w:rPr>
          <w:rFonts w:cs="Arial"/>
        </w:rPr>
        <w:t>or a health and safety committee at the</w:t>
      </w:r>
      <w:r w:rsidR="000E2BB7" w:rsidRPr="000A53C0">
        <w:rPr>
          <w:rFonts w:cs="Arial"/>
        </w:rPr>
        <w:t>se</w:t>
      </w:r>
      <w:r w:rsidRPr="000A53C0">
        <w:rPr>
          <w:rFonts w:cs="Arial"/>
        </w:rPr>
        <w:t xml:space="preserve"> workplace</w:t>
      </w:r>
      <w:r w:rsidR="000E2BB7" w:rsidRPr="000A53C0">
        <w:rPr>
          <w:rFonts w:cs="Arial"/>
        </w:rPr>
        <w:t>s</w:t>
      </w:r>
      <w:r w:rsidRPr="000A53C0">
        <w:rPr>
          <w:rFonts w:cs="Arial"/>
        </w:rPr>
        <w:t xml:space="preserve">. Where present, an HSR or a health and safety committee </w:t>
      </w:r>
      <w:r w:rsidR="007E1A3E" w:rsidRPr="000A53C0">
        <w:rPr>
          <w:rFonts w:cs="Arial"/>
        </w:rPr>
        <w:t xml:space="preserve">can </w:t>
      </w:r>
      <w:r w:rsidR="00FB7D29" w:rsidRPr="000A53C0">
        <w:rPr>
          <w:rFonts w:cs="Arial"/>
        </w:rPr>
        <w:t xml:space="preserve">monitor compliance with the WHS laws and </w:t>
      </w:r>
      <w:r w:rsidR="00116EEB" w:rsidRPr="000A53C0">
        <w:rPr>
          <w:rFonts w:cs="Arial"/>
        </w:rPr>
        <w:t>raise concerns about risks to health and safety in the business.</w:t>
      </w:r>
      <w:r w:rsidRPr="000A53C0">
        <w:rPr>
          <w:rFonts w:cs="Arial"/>
        </w:rPr>
        <w:t xml:space="preserve"> </w:t>
      </w:r>
    </w:p>
    <w:p w14:paraId="240EE89E" w14:textId="31CD637B" w:rsidR="00783148" w:rsidRPr="000A53C0" w:rsidRDefault="002265FE" w:rsidP="0018152C">
      <w:pPr>
        <w:pStyle w:val="BodyText"/>
        <w:rPr>
          <w:rFonts w:cs="Arial"/>
        </w:rPr>
      </w:pPr>
      <w:r w:rsidRPr="000A53C0">
        <w:rPr>
          <w:rFonts w:cs="Arial"/>
        </w:rPr>
        <w:t xml:space="preserve">The </w:t>
      </w:r>
      <w:r w:rsidRPr="000A53C0">
        <w:rPr>
          <w:rFonts w:cs="Arial"/>
          <w:b/>
          <w:bCs/>
        </w:rPr>
        <w:t xml:space="preserve">lack of available </w:t>
      </w:r>
      <w:r w:rsidR="00DE5AF1" w:rsidRPr="000A53C0">
        <w:rPr>
          <w:rFonts w:cs="Arial"/>
          <w:b/>
          <w:bCs/>
        </w:rPr>
        <w:t xml:space="preserve">and accessible </w:t>
      </w:r>
      <w:r w:rsidRPr="000A53C0">
        <w:rPr>
          <w:rFonts w:cs="Arial"/>
          <w:b/>
          <w:bCs/>
        </w:rPr>
        <w:t>information about the risks of working with engineered stone is</w:t>
      </w:r>
      <w:r w:rsidRPr="000A53C0">
        <w:rPr>
          <w:rFonts w:cs="Arial"/>
        </w:rPr>
        <w:t xml:space="preserve"> also problematic. Importers, manufacturers and suppliers have failed to provide end users with comprehensive up to date </w:t>
      </w:r>
      <w:r w:rsidR="00C47DA5" w:rsidRPr="000A53C0">
        <w:rPr>
          <w:rFonts w:cs="Arial"/>
        </w:rPr>
        <w:t>health-based</w:t>
      </w:r>
      <w:r w:rsidRPr="000A53C0">
        <w:rPr>
          <w:rFonts w:cs="Arial"/>
        </w:rPr>
        <w:t xml:space="preserve"> data and evidence on the risks of RCS in relation to engineered stone.</w:t>
      </w:r>
    </w:p>
    <w:p w14:paraId="5388CF34" w14:textId="77777777" w:rsidR="00491BE8" w:rsidRPr="000A53C0" w:rsidRDefault="00491BE8" w:rsidP="00514CCB">
      <w:pPr>
        <w:pStyle w:val="Heading2"/>
      </w:pPr>
      <w:r w:rsidRPr="000A53C0">
        <w:t>What policy options are being considered?</w:t>
      </w:r>
    </w:p>
    <w:p w14:paraId="11AD17F4" w14:textId="3008B57E" w:rsidR="005C3CA4" w:rsidRDefault="002265FE" w:rsidP="0018152C">
      <w:pPr>
        <w:pStyle w:val="BodyText"/>
        <w:rPr>
          <w:rFonts w:cs="Arial"/>
        </w:rPr>
      </w:pPr>
      <w:r w:rsidRPr="000A53C0">
        <w:rPr>
          <w:rFonts w:cs="Arial"/>
        </w:rPr>
        <w:t>In the Silic</w:t>
      </w:r>
      <w:r w:rsidR="00BE0BE6" w:rsidRPr="000A53C0">
        <w:rPr>
          <w:rFonts w:cs="Arial"/>
        </w:rPr>
        <w:t xml:space="preserve">a </w:t>
      </w:r>
      <w:r w:rsidR="005C3CA4" w:rsidRPr="000A53C0">
        <w:rPr>
          <w:rFonts w:cs="Arial"/>
        </w:rPr>
        <w:t>D</w:t>
      </w:r>
      <w:r w:rsidR="001B3508" w:rsidRPr="000A53C0">
        <w:rPr>
          <w:rFonts w:cs="Arial"/>
        </w:rPr>
        <w:t xml:space="preserve">ecision </w:t>
      </w:r>
      <w:r w:rsidR="005C3CA4" w:rsidRPr="000A53C0">
        <w:rPr>
          <w:rFonts w:cs="Arial"/>
        </w:rPr>
        <w:t xml:space="preserve">RIS, WHS ministers considered and agreed a number of policy options to address the </w:t>
      </w:r>
      <w:r w:rsidR="00A11722" w:rsidRPr="000A53C0">
        <w:rPr>
          <w:rFonts w:cs="Arial"/>
        </w:rPr>
        <w:t xml:space="preserve">high rates </w:t>
      </w:r>
      <w:r w:rsidR="005C3CA4" w:rsidRPr="000A53C0">
        <w:rPr>
          <w:rFonts w:cs="Arial"/>
        </w:rPr>
        <w:t>of silicosis in engineered stone workers. This Decision RIS considers only the possible</w:t>
      </w:r>
      <w:r w:rsidR="00491BE8" w:rsidRPr="000A53C0">
        <w:rPr>
          <w:rFonts w:cs="Arial"/>
        </w:rPr>
        <w:t xml:space="preserve"> prohibition </w:t>
      </w:r>
      <w:r w:rsidR="003E2355" w:rsidRPr="000A53C0">
        <w:rPr>
          <w:rFonts w:cs="Arial"/>
        </w:rPr>
        <w:t>on the use of engineered stone</w:t>
      </w:r>
      <w:r w:rsidR="005C3CA4" w:rsidRPr="000A53C0">
        <w:rPr>
          <w:rFonts w:cs="Arial"/>
        </w:rPr>
        <w:t xml:space="preserve"> under the model WHS laws. </w:t>
      </w:r>
    </w:p>
    <w:p w14:paraId="0C577A6D" w14:textId="5583F186" w:rsidR="00491BE8" w:rsidRPr="000A53C0" w:rsidRDefault="00491BE8" w:rsidP="00CC2B49">
      <w:pPr>
        <w:pStyle w:val="EmphasisPanelBody"/>
        <w:shd w:val="clear" w:color="auto" w:fill="F2F2F2" w:themeFill="background1" w:themeFillShade="F2"/>
        <w:rPr>
          <w:rFonts w:cs="Arial"/>
        </w:rPr>
      </w:pPr>
      <w:r w:rsidRPr="000A53C0">
        <w:rPr>
          <w:rFonts w:cs="Arial"/>
          <w:b/>
          <w:bCs/>
        </w:rPr>
        <w:t>Option 1</w:t>
      </w:r>
      <w:r w:rsidRPr="000A53C0">
        <w:rPr>
          <w:rFonts w:cs="Arial"/>
        </w:rPr>
        <w:t xml:space="preserve">: </w:t>
      </w:r>
      <w:r w:rsidR="00BD5B60" w:rsidRPr="000A53C0">
        <w:rPr>
          <w:rFonts w:cs="Arial"/>
        </w:rPr>
        <w:tab/>
      </w:r>
      <w:r w:rsidRPr="000A53C0">
        <w:rPr>
          <w:rFonts w:cs="Arial"/>
        </w:rPr>
        <w:t>Prohibition on the use of all engineered stone</w:t>
      </w:r>
    </w:p>
    <w:p w14:paraId="13005741" w14:textId="5EB04488" w:rsidR="00491BE8" w:rsidRPr="000A53C0" w:rsidRDefault="00491BE8" w:rsidP="00CC2B49">
      <w:pPr>
        <w:pStyle w:val="EmphasisPanelBody"/>
        <w:shd w:val="clear" w:color="auto" w:fill="F2F2F2" w:themeFill="background1" w:themeFillShade="F2"/>
        <w:rPr>
          <w:rFonts w:cs="Arial"/>
        </w:rPr>
      </w:pPr>
      <w:r w:rsidRPr="000A53C0">
        <w:rPr>
          <w:rFonts w:cs="Arial"/>
          <w:b/>
          <w:bCs/>
        </w:rPr>
        <w:t>Option 2</w:t>
      </w:r>
      <w:r w:rsidRPr="000A53C0">
        <w:rPr>
          <w:rFonts w:cs="Arial"/>
        </w:rPr>
        <w:t xml:space="preserve">: </w:t>
      </w:r>
      <w:r w:rsidR="00BD5B60" w:rsidRPr="000A53C0">
        <w:rPr>
          <w:rFonts w:cs="Arial"/>
        </w:rPr>
        <w:tab/>
      </w:r>
      <w:r w:rsidRPr="000A53C0">
        <w:rPr>
          <w:rFonts w:cs="Arial"/>
        </w:rPr>
        <w:t>Prohibition on the use of engineered stone containing 40% or more crystalline silica</w:t>
      </w:r>
    </w:p>
    <w:p w14:paraId="0F20202C" w14:textId="01431BE2" w:rsidR="00491BE8" w:rsidRPr="000A53C0" w:rsidRDefault="00491BE8" w:rsidP="00CC2B49">
      <w:pPr>
        <w:pStyle w:val="EmphasisPanelBody"/>
        <w:shd w:val="clear" w:color="auto" w:fill="F2F2F2" w:themeFill="background1" w:themeFillShade="F2"/>
        <w:ind w:left="1418" w:hanging="1220"/>
        <w:rPr>
          <w:rFonts w:cs="Arial"/>
        </w:rPr>
      </w:pPr>
      <w:r w:rsidRPr="000A53C0">
        <w:rPr>
          <w:rFonts w:cs="Arial"/>
          <w:b/>
          <w:bCs/>
        </w:rPr>
        <w:t>Option 3</w:t>
      </w:r>
      <w:r w:rsidRPr="000A53C0">
        <w:rPr>
          <w:rFonts w:cs="Arial"/>
        </w:rPr>
        <w:t xml:space="preserve">: </w:t>
      </w:r>
      <w:r w:rsidR="00BD5B60" w:rsidRPr="000A53C0">
        <w:rPr>
          <w:rFonts w:cs="Arial"/>
        </w:rPr>
        <w:tab/>
      </w:r>
      <w:r w:rsidR="00BD5B60" w:rsidRPr="000A53C0">
        <w:rPr>
          <w:rFonts w:cs="Arial"/>
        </w:rPr>
        <w:tab/>
      </w:r>
      <w:r w:rsidR="00AA4673" w:rsidRPr="000A53C0">
        <w:rPr>
          <w:rFonts w:cs="Arial"/>
        </w:rPr>
        <w:t xml:space="preserve">As for option 2, </w:t>
      </w:r>
      <w:r w:rsidR="00745216" w:rsidRPr="000A53C0">
        <w:rPr>
          <w:rFonts w:cs="Arial"/>
        </w:rPr>
        <w:t xml:space="preserve">with an accompanying </w:t>
      </w:r>
      <w:r w:rsidRPr="000A53C0">
        <w:rPr>
          <w:rFonts w:cs="Arial"/>
        </w:rPr>
        <w:t xml:space="preserve">licensing </w:t>
      </w:r>
      <w:r w:rsidR="00745216" w:rsidRPr="000A53C0">
        <w:rPr>
          <w:rFonts w:cs="Arial"/>
        </w:rPr>
        <w:t xml:space="preserve">scheme for </w:t>
      </w:r>
      <w:r w:rsidRPr="000A53C0">
        <w:rPr>
          <w:rFonts w:cs="Arial"/>
        </w:rPr>
        <w:t>PCBUs working with engineered stone containing less than 40% crystalline silica.</w:t>
      </w:r>
    </w:p>
    <w:p w14:paraId="2A186664" w14:textId="049270A4" w:rsidR="00491BE8" w:rsidRPr="000A53C0" w:rsidRDefault="00491BE8" w:rsidP="0018152C">
      <w:pPr>
        <w:rPr>
          <w:rFonts w:cs="Arial"/>
        </w:rPr>
      </w:pPr>
      <w:r w:rsidRPr="000A53C0">
        <w:rPr>
          <w:rFonts w:cs="Arial"/>
        </w:rPr>
        <w:t xml:space="preserve">All </w:t>
      </w:r>
      <w:r w:rsidR="00BF3D94">
        <w:rPr>
          <w:rFonts w:cs="Arial"/>
        </w:rPr>
        <w:t>3</w:t>
      </w:r>
      <w:r w:rsidRPr="000A53C0">
        <w:rPr>
          <w:rFonts w:cs="Arial"/>
        </w:rPr>
        <w:t xml:space="preserve"> options </w:t>
      </w:r>
      <w:r w:rsidR="001F092A" w:rsidRPr="000A53C0">
        <w:rPr>
          <w:rFonts w:cs="Arial"/>
        </w:rPr>
        <w:t xml:space="preserve">for a prohibition </w:t>
      </w:r>
      <w:r w:rsidR="001C2314" w:rsidRPr="000A53C0">
        <w:rPr>
          <w:rFonts w:cs="Arial"/>
        </w:rPr>
        <w:t xml:space="preserve">on the use of engineered stone </w:t>
      </w:r>
      <w:r w:rsidR="00EE5EBB" w:rsidRPr="000A53C0">
        <w:rPr>
          <w:rFonts w:cs="Arial"/>
        </w:rPr>
        <w:t xml:space="preserve">under the model WHS laws </w:t>
      </w:r>
      <w:r w:rsidR="00AB6E1C" w:rsidRPr="000A53C0">
        <w:rPr>
          <w:rFonts w:cs="Arial"/>
        </w:rPr>
        <w:t xml:space="preserve">allow for </w:t>
      </w:r>
      <w:r w:rsidR="00797462" w:rsidRPr="000A53C0">
        <w:rPr>
          <w:rFonts w:cs="Arial"/>
        </w:rPr>
        <w:t xml:space="preserve">exemptions </w:t>
      </w:r>
      <w:r w:rsidR="00FA7709" w:rsidRPr="000A53C0">
        <w:rPr>
          <w:rFonts w:cs="Arial"/>
        </w:rPr>
        <w:t>for certain work</w:t>
      </w:r>
      <w:r w:rsidRPr="000A53C0">
        <w:rPr>
          <w:rFonts w:cs="Arial"/>
        </w:rPr>
        <w:t>, including removal, repair and minor modifications of engineered stone already installed</w:t>
      </w:r>
      <w:r w:rsidR="00FA7709" w:rsidRPr="000A53C0">
        <w:rPr>
          <w:rFonts w:cs="Arial"/>
        </w:rPr>
        <w:t>, provided the PCBU is licensed</w:t>
      </w:r>
      <w:r w:rsidRPr="000A53C0">
        <w:rPr>
          <w:rFonts w:cs="Arial"/>
        </w:rPr>
        <w:t xml:space="preserve"> (licensing framework</w:t>
      </w:r>
      <w:r w:rsidR="00126927" w:rsidRPr="000A53C0">
        <w:rPr>
          <w:rFonts w:cs="Arial"/>
        </w:rPr>
        <w:t xml:space="preserve"> for work with legacy products</w:t>
      </w:r>
      <w:r w:rsidRPr="000A53C0">
        <w:rPr>
          <w:rFonts w:cs="Arial"/>
        </w:rPr>
        <w:t>).</w:t>
      </w:r>
    </w:p>
    <w:p w14:paraId="051CE55F" w14:textId="77777777" w:rsidR="00491BE8" w:rsidRPr="000A53C0" w:rsidRDefault="00491BE8" w:rsidP="00514CCB">
      <w:pPr>
        <w:pStyle w:val="Heading2"/>
      </w:pPr>
      <w:r w:rsidRPr="000A53C0">
        <w:t xml:space="preserve">What is the likely </w:t>
      </w:r>
      <w:r w:rsidRPr="00514CCB">
        <w:t>impact</w:t>
      </w:r>
      <w:r w:rsidRPr="000A53C0">
        <w:t xml:space="preserve"> of the options?</w:t>
      </w:r>
    </w:p>
    <w:p w14:paraId="2BF73EB6" w14:textId="6EFF6DEE" w:rsidR="009333EF" w:rsidRPr="00514CCB" w:rsidRDefault="009333EF" w:rsidP="00514CCB">
      <w:pPr>
        <w:pStyle w:val="Heading3"/>
      </w:pPr>
      <w:r w:rsidRPr="00514CCB">
        <w:t>Costs</w:t>
      </w:r>
    </w:p>
    <w:p w14:paraId="40981539" w14:textId="18830D31" w:rsidR="00491BE8" w:rsidRPr="000A53C0" w:rsidRDefault="009333EF" w:rsidP="0018152C">
      <w:pPr>
        <w:pStyle w:val="IAListbullet2"/>
        <w:numPr>
          <w:ilvl w:val="0"/>
          <w:numId w:val="0"/>
        </w:numPr>
        <w:rPr>
          <w:rFonts w:cs="Arial"/>
        </w:rPr>
      </w:pPr>
      <w:r w:rsidRPr="000A53C0">
        <w:rPr>
          <w:rFonts w:cs="Arial"/>
        </w:rPr>
        <w:t xml:space="preserve">For each option in Table 1, the greatest contributor to economic cost </w:t>
      </w:r>
      <w:r w:rsidR="00293DB2" w:rsidRPr="000A53C0">
        <w:rPr>
          <w:rFonts w:cs="Arial"/>
        </w:rPr>
        <w:t>is</w:t>
      </w:r>
      <w:r w:rsidRPr="000A53C0">
        <w:rPr>
          <w:rFonts w:cs="Arial"/>
        </w:rPr>
        <w:t xml:space="preserve"> the licensing framework for </w:t>
      </w:r>
      <w:r w:rsidR="00BA49F1" w:rsidRPr="000A53C0">
        <w:rPr>
          <w:rFonts w:cs="Arial"/>
        </w:rPr>
        <w:t xml:space="preserve">work with legacy </w:t>
      </w:r>
      <w:r w:rsidR="00293DB2" w:rsidRPr="000A53C0">
        <w:rPr>
          <w:rFonts w:cs="Arial"/>
        </w:rPr>
        <w:t>products</w:t>
      </w:r>
      <w:r w:rsidR="00DB1EDD" w:rsidRPr="000A53C0">
        <w:rPr>
          <w:rFonts w:cs="Arial"/>
        </w:rPr>
        <w:t xml:space="preserve">, accounting for between 96% and 100% of the </w:t>
      </w:r>
      <w:r w:rsidR="00CA7F31" w:rsidRPr="000A53C0">
        <w:rPr>
          <w:rFonts w:cs="Arial"/>
        </w:rPr>
        <w:t xml:space="preserve">total </w:t>
      </w:r>
      <w:r w:rsidR="00DB1EDD" w:rsidRPr="000A53C0">
        <w:rPr>
          <w:rFonts w:cs="Arial"/>
        </w:rPr>
        <w:t xml:space="preserve">cost of each option. </w:t>
      </w:r>
    </w:p>
    <w:p w14:paraId="6524D04A" w14:textId="1B4D1F98" w:rsidR="00574705" w:rsidRPr="000A53C0" w:rsidRDefault="00580B25" w:rsidP="0018152C">
      <w:pPr>
        <w:pStyle w:val="IAListbullet2"/>
        <w:numPr>
          <w:ilvl w:val="0"/>
          <w:numId w:val="0"/>
        </w:numPr>
        <w:rPr>
          <w:rFonts w:cs="Arial"/>
        </w:rPr>
      </w:pPr>
      <w:r w:rsidRPr="000A53C0">
        <w:rPr>
          <w:rFonts w:cs="Arial"/>
        </w:rPr>
        <w:t>This</w:t>
      </w:r>
      <w:r w:rsidR="00574705" w:rsidRPr="000A53C0">
        <w:rPr>
          <w:rFonts w:cs="Arial"/>
        </w:rPr>
        <w:t xml:space="preserve"> licensing framework for </w:t>
      </w:r>
      <w:r w:rsidR="005D10BE" w:rsidRPr="000A53C0">
        <w:rPr>
          <w:rFonts w:cs="Arial"/>
        </w:rPr>
        <w:t>work with</w:t>
      </w:r>
      <w:r w:rsidR="00574705" w:rsidRPr="000A53C0">
        <w:rPr>
          <w:rFonts w:cs="Arial"/>
        </w:rPr>
        <w:t xml:space="preserve"> legacy products has a consistent cost</w:t>
      </w:r>
      <w:r w:rsidR="005B2AAB" w:rsidRPr="000A53C0">
        <w:rPr>
          <w:rFonts w:cs="Arial"/>
        </w:rPr>
        <w:t xml:space="preserve">, </w:t>
      </w:r>
      <w:r w:rsidR="00893DAF" w:rsidRPr="000A53C0">
        <w:rPr>
          <w:rFonts w:cs="Arial"/>
        </w:rPr>
        <w:t>to PCBUs</w:t>
      </w:r>
      <w:r w:rsidR="00C86B57" w:rsidRPr="000A53C0">
        <w:rPr>
          <w:rFonts w:cs="Arial"/>
        </w:rPr>
        <w:t xml:space="preserve"> and </w:t>
      </w:r>
      <w:r w:rsidR="00893DAF" w:rsidRPr="000A53C0">
        <w:rPr>
          <w:rFonts w:cs="Arial"/>
        </w:rPr>
        <w:t>government</w:t>
      </w:r>
      <w:r w:rsidR="005B2AAB" w:rsidRPr="000A53C0">
        <w:rPr>
          <w:rFonts w:cs="Arial"/>
        </w:rPr>
        <w:t>,</w:t>
      </w:r>
      <w:r w:rsidR="00362872" w:rsidRPr="000A53C0">
        <w:rPr>
          <w:rFonts w:cs="Arial"/>
        </w:rPr>
        <w:t xml:space="preserve"> </w:t>
      </w:r>
      <w:r w:rsidR="00574705" w:rsidRPr="000A53C0">
        <w:rPr>
          <w:rFonts w:cs="Arial"/>
        </w:rPr>
        <w:t xml:space="preserve">across all </w:t>
      </w:r>
      <w:r w:rsidR="00052B40" w:rsidRPr="000A53C0">
        <w:rPr>
          <w:rFonts w:cs="Arial"/>
        </w:rPr>
        <w:t xml:space="preserve">options </w:t>
      </w:r>
      <w:r w:rsidR="001B6F1E">
        <w:rPr>
          <w:rFonts w:cs="Arial"/>
        </w:rPr>
        <w:t>–</w:t>
      </w:r>
      <w:r w:rsidR="00052B40" w:rsidRPr="000A53C0">
        <w:rPr>
          <w:rFonts w:cs="Arial"/>
        </w:rPr>
        <w:t xml:space="preserve"> </w:t>
      </w:r>
      <w:r w:rsidR="00574705" w:rsidRPr="000A53C0">
        <w:rPr>
          <w:rFonts w:cs="Arial"/>
        </w:rPr>
        <w:t xml:space="preserve">$240.5 million over the appraisal period (implementation period and first </w:t>
      </w:r>
      <w:r w:rsidR="00563845">
        <w:rPr>
          <w:rFonts w:cs="Arial"/>
        </w:rPr>
        <w:t>10</w:t>
      </w:r>
      <w:r w:rsidR="00574705" w:rsidRPr="000A53C0">
        <w:rPr>
          <w:rFonts w:cs="Arial"/>
        </w:rPr>
        <w:t xml:space="preserve"> years). </w:t>
      </w:r>
    </w:p>
    <w:p w14:paraId="4DD95076" w14:textId="3B76C7B9" w:rsidR="00574705" w:rsidRPr="000A53C0" w:rsidRDefault="00574705" w:rsidP="0018152C">
      <w:pPr>
        <w:pStyle w:val="IAListbullet2"/>
        <w:numPr>
          <w:ilvl w:val="0"/>
          <w:numId w:val="0"/>
        </w:numPr>
        <w:rPr>
          <w:rFonts w:cs="Arial"/>
        </w:rPr>
      </w:pPr>
      <w:r w:rsidRPr="000A53C0">
        <w:rPr>
          <w:rFonts w:cs="Arial"/>
        </w:rPr>
        <w:t xml:space="preserve">By contrast, the </w:t>
      </w:r>
      <w:r w:rsidR="009435CD" w:rsidRPr="000A53C0">
        <w:rPr>
          <w:rFonts w:cs="Arial"/>
        </w:rPr>
        <w:t xml:space="preserve">other </w:t>
      </w:r>
      <w:r w:rsidRPr="000A53C0">
        <w:rPr>
          <w:rFonts w:cs="Arial"/>
        </w:rPr>
        <w:t>cost</w:t>
      </w:r>
      <w:r w:rsidR="009435CD" w:rsidRPr="000A53C0">
        <w:rPr>
          <w:rFonts w:cs="Arial"/>
        </w:rPr>
        <w:t>s</w:t>
      </w:r>
      <w:r w:rsidRPr="000A53C0">
        <w:rPr>
          <w:rFonts w:cs="Arial"/>
        </w:rPr>
        <w:t xml:space="preserve"> </w:t>
      </w:r>
      <w:r w:rsidR="00295EA5" w:rsidRPr="000A53C0">
        <w:rPr>
          <w:rFonts w:cs="Arial"/>
        </w:rPr>
        <w:t>to PCBUs, government and workers</w:t>
      </w:r>
      <w:r w:rsidR="0069259A" w:rsidRPr="000A53C0">
        <w:rPr>
          <w:rFonts w:cs="Arial"/>
        </w:rPr>
        <w:t xml:space="preserve"> </w:t>
      </w:r>
      <w:r w:rsidR="009435CD" w:rsidRPr="000A53C0">
        <w:rPr>
          <w:rFonts w:cs="Arial"/>
        </w:rPr>
        <w:t xml:space="preserve">(not associated with the licensing framework) </w:t>
      </w:r>
      <w:r w:rsidR="0092041C" w:rsidRPr="000A53C0">
        <w:rPr>
          <w:rFonts w:cs="Arial"/>
        </w:rPr>
        <w:t xml:space="preserve">are </w:t>
      </w:r>
      <w:r w:rsidR="0069259A" w:rsidRPr="000A53C0">
        <w:rPr>
          <w:rFonts w:cs="Arial"/>
        </w:rPr>
        <w:t xml:space="preserve">$10.6 million for </w:t>
      </w:r>
      <w:r w:rsidR="00FC6FAD">
        <w:rPr>
          <w:rFonts w:cs="Arial"/>
        </w:rPr>
        <w:t>O</w:t>
      </w:r>
      <w:r w:rsidR="0069259A" w:rsidRPr="000A53C0">
        <w:rPr>
          <w:rFonts w:cs="Arial"/>
        </w:rPr>
        <w:t xml:space="preserve">ption 1, no additional </w:t>
      </w:r>
      <w:r w:rsidR="0004489C" w:rsidRPr="000A53C0">
        <w:rPr>
          <w:rFonts w:cs="Arial"/>
        </w:rPr>
        <w:t>cost</w:t>
      </w:r>
      <w:r w:rsidR="0069259A" w:rsidRPr="000A53C0">
        <w:rPr>
          <w:rFonts w:cs="Arial"/>
        </w:rPr>
        <w:t xml:space="preserve"> for </w:t>
      </w:r>
      <w:r w:rsidR="00FC6FAD">
        <w:rPr>
          <w:rFonts w:cs="Arial"/>
        </w:rPr>
        <w:t>O</w:t>
      </w:r>
      <w:r w:rsidR="0069259A" w:rsidRPr="000A53C0">
        <w:rPr>
          <w:rFonts w:cs="Arial"/>
        </w:rPr>
        <w:t xml:space="preserve">ption 2, and $9.3m for </w:t>
      </w:r>
      <w:r w:rsidR="00FC6FAD">
        <w:rPr>
          <w:rFonts w:cs="Arial"/>
        </w:rPr>
        <w:t>O</w:t>
      </w:r>
      <w:r w:rsidR="00722998" w:rsidRPr="000A53C0">
        <w:rPr>
          <w:rFonts w:cs="Arial"/>
        </w:rPr>
        <w:t xml:space="preserve">ption 3. </w:t>
      </w:r>
      <w:r w:rsidR="00800557" w:rsidRPr="000A53C0">
        <w:rPr>
          <w:rFonts w:cs="Arial"/>
        </w:rPr>
        <w:t xml:space="preserve">The additional cost for </w:t>
      </w:r>
      <w:r w:rsidR="00FC6FAD">
        <w:rPr>
          <w:rFonts w:cs="Arial"/>
        </w:rPr>
        <w:t>O</w:t>
      </w:r>
      <w:r w:rsidR="00800557" w:rsidRPr="000A53C0">
        <w:rPr>
          <w:rFonts w:cs="Arial"/>
        </w:rPr>
        <w:t>ption</w:t>
      </w:r>
      <w:r w:rsidR="00D0265F" w:rsidRPr="000A53C0">
        <w:rPr>
          <w:rFonts w:cs="Arial"/>
        </w:rPr>
        <w:t xml:space="preserve"> 3 compared to </w:t>
      </w:r>
      <w:r w:rsidR="00FC6FAD">
        <w:rPr>
          <w:rFonts w:cs="Arial"/>
        </w:rPr>
        <w:t>O</w:t>
      </w:r>
      <w:r w:rsidR="00D0265F" w:rsidRPr="000A53C0">
        <w:rPr>
          <w:rFonts w:cs="Arial"/>
        </w:rPr>
        <w:t>ption 2 reflects the costs of the licensi</w:t>
      </w:r>
      <w:r w:rsidR="00025CF2" w:rsidRPr="000A53C0">
        <w:rPr>
          <w:rFonts w:cs="Arial"/>
        </w:rPr>
        <w:t xml:space="preserve">ng scheme for </w:t>
      </w:r>
      <w:r w:rsidR="006E4CF5" w:rsidRPr="000A53C0">
        <w:rPr>
          <w:rFonts w:cs="Arial"/>
        </w:rPr>
        <w:t>work with engineered stone containing less than 40% crystalline silica.</w:t>
      </w:r>
    </w:p>
    <w:p w14:paraId="79A558B4" w14:textId="495C6BEA" w:rsidR="00491BE8" w:rsidRPr="000A53C0" w:rsidRDefault="00CB1198" w:rsidP="0018152C">
      <w:pPr>
        <w:pStyle w:val="Caption"/>
        <w:keepLines/>
        <w:rPr>
          <w:rFonts w:cs="Arial"/>
          <w:b/>
        </w:rPr>
      </w:pPr>
      <w:bookmarkStart w:id="10" w:name="_Ref139553081"/>
      <w:r w:rsidRPr="001814EB">
        <w:rPr>
          <w:rFonts w:cs="Arial"/>
          <w:b/>
          <w:bCs/>
        </w:rPr>
        <w:lastRenderedPageBreak/>
        <w:t xml:space="preserve">Table </w:t>
      </w:r>
      <w:r w:rsidRPr="001814EB">
        <w:rPr>
          <w:rFonts w:cs="Arial"/>
          <w:b/>
          <w:bCs/>
        </w:rPr>
        <w:fldChar w:fldCharType="begin"/>
      </w:r>
      <w:r w:rsidRPr="001814EB">
        <w:rPr>
          <w:rFonts w:cs="Arial"/>
          <w:b/>
          <w:bCs/>
        </w:rPr>
        <w:instrText>SEQ Table \* ARABIC</w:instrText>
      </w:r>
      <w:r w:rsidRPr="001814EB">
        <w:rPr>
          <w:rFonts w:cs="Arial"/>
          <w:b/>
          <w:bCs/>
        </w:rPr>
        <w:fldChar w:fldCharType="separate"/>
      </w:r>
      <w:r w:rsidR="00D16271">
        <w:rPr>
          <w:rFonts w:cs="Arial"/>
          <w:b/>
          <w:bCs/>
          <w:noProof/>
        </w:rPr>
        <w:t>1</w:t>
      </w:r>
      <w:r w:rsidRPr="001814EB">
        <w:rPr>
          <w:rFonts w:cs="Arial"/>
          <w:b/>
          <w:bCs/>
        </w:rPr>
        <w:fldChar w:fldCharType="end"/>
      </w:r>
      <w:bookmarkEnd w:id="10"/>
      <w:r w:rsidR="00491BE8" w:rsidRPr="000A53C0">
        <w:rPr>
          <w:rFonts w:cs="Arial"/>
        </w:rPr>
        <w:t xml:space="preserve"> Comparison of the estimated cost for </w:t>
      </w:r>
      <w:r w:rsidR="00AA6200" w:rsidRPr="000A53C0">
        <w:rPr>
          <w:rFonts w:cs="Arial"/>
        </w:rPr>
        <w:t>p</w:t>
      </w:r>
      <w:r w:rsidR="00491BE8" w:rsidRPr="000A53C0">
        <w:rPr>
          <w:rFonts w:cs="Arial"/>
        </w:rPr>
        <w:t xml:space="preserve">rohibition </w:t>
      </w:r>
      <w:r w:rsidR="00AA6200" w:rsidRPr="000A53C0">
        <w:rPr>
          <w:rFonts w:cs="Arial"/>
        </w:rPr>
        <w:t>o</w:t>
      </w:r>
      <w:r w:rsidR="00491BE8" w:rsidRPr="000A53C0">
        <w:rPr>
          <w:rFonts w:cs="Arial"/>
        </w:rPr>
        <w:t xml:space="preserve">ptions over </w:t>
      </w:r>
      <w:r w:rsidR="009B5027" w:rsidRPr="000A53C0">
        <w:rPr>
          <w:rFonts w:cs="Arial"/>
        </w:rPr>
        <w:t>the appraisal period</w:t>
      </w:r>
      <w:r w:rsidR="00491BE8" w:rsidRPr="000A53C0">
        <w:rPr>
          <w:rFonts w:cs="Arial"/>
        </w:rPr>
        <w:t xml:space="preserve"> ($m</w:t>
      </w:r>
      <w:r w:rsidR="00C53AC3" w:rsidRPr="000A53C0">
        <w:rPr>
          <w:rFonts w:cs="Arial"/>
        </w:rPr>
        <w:t>), by component</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296"/>
        <w:gridCol w:w="1618"/>
        <w:gridCol w:w="1348"/>
        <w:gridCol w:w="1619"/>
        <w:gridCol w:w="1348"/>
        <w:gridCol w:w="1619"/>
        <w:gridCol w:w="1346"/>
      </w:tblGrid>
      <w:tr w:rsidR="00C53AC3" w:rsidRPr="000A53C0" w14:paraId="31BEF55E" w14:textId="77777777" w:rsidTr="001814EB">
        <w:trPr>
          <w:trHeight w:val="188"/>
          <w:tblHeader/>
        </w:trPr>
        <w:tc>
          <w:tcPr>
            <w:tcW w:w="636" w:type="pct"/>
            <w:shd w:val="clear" w:color="auto" w:fill="E81D32"/>
            <w:vAlign w:val="center"/>
          </w:tcPr>
          <w:p w14:paraId="0B3F5158" w14:textId="77777777" w:rsidR="00C53AC3" w:rsidRPr="001814EB" w:rsidRDefault="00C53AC3" w:rsidP="0018152C">
            <w:pPr>
              <w:pStyle w:val="TableHeading"/>
              <w:keepNext/>
              <w:keepLines/>
              <w:rPr>
                <w:rFonts w:ascii="Arial" w:hAnsi="Arial" w:cs="Arial"/>
                <w:color w:val="FFFFFF" w:themeColor="background1"/>
              </w:rPr>
            </w:pPr>
          </w:p>
        </w:tc>
        <w:tc>
          <w:tcPr>
            <w:tcW w:w="1455" w:type="pct"/>
            <w:gridSpan w:val="2"/>
            <w:shd w:val="clear" w:color="auto" w:fill="E81D32"/>
          </w:tcPr>
          <w:p w14:paraId="17205F0F" w14:textId="7DA34AC3" w:rsidR="00C53AC3" w:rsidRPr="001814EB" w:rsidRDefault="00C53AC3" w:rsidP="0018152C">
            <w:pPr>
              <w:pStyle w:val="TableHeading"/>
              <w:keepNext/>
              <w:keepLines/>
              <w:jc w:val="center"/>
              <w:rPr>
                <w:rFonts w:ascii="Arial" w:hAnsi="Arial" w:cs="Arial"/>
                <w:color w:val="FFFFFF" w:themeColor="background1"/>
              </w:rPr>
            </w:pPr>
            <w:r w:rsidRPr="001814EB">
              <w:rPr>
                <w:rFonts w:ascii="Arial" w:hAnsi="Arial" w:cs="Arial"/>
                <w:color w:val="FFFFFF" w:themeColor="background1"/>
              </w:rPr>
              <w:t>Option 1</w:t>
            </w:r>
            <w:r w:rsidR="00A910BD" w:rsidRPr="001814EB">
              <w:rPr>
                <w:rFonts w:ascii="Arial" w:hAnsi="Arial" w:cs="Arial"/>
                <w:color w:val="FFFFFF" w:themeColor="background1"/>
              </w:rPr>
              <w:t xml:space="preserve"> – complete </w:t>
            </w:r>
            <w:r w:rsidR="00A7664A" w:rsidRPr="001814EB">
              <w:rPr>
                <w:rFonts w:ascii="Arial" w:hAnsi="Arial" w:cs="Arial"/>
                <w:color w:val="FFFFFF" w:themeColor="background1"/>
              </w:rPr>
              <w:t>prohibition</w:t>
            </w:r>
          </w:p>
        </w:tc>
        <w:tc>
          <w:tcPr>
            <w:tcW w:w="1455" w:type="pct"/>
            <w:gridSpan w:val="2"/>
            <w:shd w:val="clear" w:color="auto" w:fill="E81D32"/>
          </w:tcPr>
          <w:p w14:paraId="4FEB7DDE" w14:textId="56C98080" w:rsidR="00C53AC3" w:rsidRPr="001814EB" w:rsidRDefault="00C53AC3" w:rsidP="0018152C">
            <w:pPr>
              <w:pStyle w:val="TableHeading"/>
              <w:keepNext/>
              <w:keepLines/>
              <w:jc w:val="center"/>
              <w:rPr>
                <w:rFonts w:ascii="Arial" w:hAnsi="Arial" w:cs="Arial"/>
                <w:color w:val="FFFFFF" w:themeColor="background1"/>
              </w:rPr>
            </w:pPr>
            <w:r w:rsidRPr="001814EB">
              <w:rPr>
                <w:rFonts w:ascii="Arial" w:hAnsi="Arial" w:cs="Arial"/>
                <w:color w:val="FFFFFF" w:themeColor="background1"/>
              </w:rPr>
              <w:t>Option 2</w:t>
            </w:r>
            <w:r w:rsidR="00A7664A" w:rsidRPr="001814EB">
              <w:rPr>
                <w:rFonts w:ascii="Arial" w:hAnsi="Arial" w:cs="Arial"/>
                <w:color w:val="FFFFFF" w:themeColor="background1"/>
              </w:rPr>
              <w:t xml:space="preserve"> </w:t>
            </w:r>
            <w:r w:rsidR="00DF3795" w:rsidRPr="001814EB">
              <w:rPr>
                <w:rFonts w:ascii="Arial" w:hAnsi="Arial" w:cs="Arial"/>
                <w:color w:val="FFFFFF" w:themeColor="background1"/>
              </w:rPr>
              <w:t>–</w:t>
            </w:r>
            <w:r w:rsidR="00A7664A" w:rsidRPr="001814EB">
              <w:rPr>
                <w:rFonts w:ascii="Arial" w:hAnsi="Arial" w:cs="Arial"/>
                <w:color w:val="FFFFFF" w:themeColor="background1"/>
              </w:rPr>
              <w:t xml:space="preserve"> prohibition ≥ 40% crystalline silica</w:t>
            </w:r>
          </w:p>
        </w:tc>
        <w:tc>
          <w:tcPr>
            <w:tcW w:w="1454" w:type="pct"/>
            <w:gridSpan w:val="2"/>
            <w:shd w:val="clear" w:color="auto" w:fill="E81D32"/>
          </w:tcPr>
          <w:p w14:paraId="18488910" w14:textId="0B53A411" w:rsidR="00C53AC3" w:rsidRPr="001814EB" w:rsidRDefault="00C53AC3" w:rsidP="0018152C">
            <w:pPr>
              <w:pStyle w:val="TableHeading"/>
              <w:keepNext/>
              <w:keepLines/>
              <w:jc w:val="center"/>
              <w:rPr>
                <w:rFonts w:ascii="Arial" w:hAnsi="Arial" w:cs="Arial"/>
                <w:color w:val="FFFFFF" w:themeColor="background1"/>
              </w:rPr>
            </w:pPr>
            <w:r w:rsidRPr="001814EB">
              <w:rPr>
                <w:rFonts w:ascii="Arial" w:hAnsi="Arial" w:cs="Arial"/>
                <w:color w:val="FFFFFF" w:themeColor="background1"/>
              </w:rPr>
              <w:t>Option 3</w:t>
            </w:r>
            <w:r w:rsidR="00A7664A" w:rsidRPr="001814EB">
              <w:rPr>
                <w:rFonts w:ascii="Arial" w:hAnsi="Arial" w:cs="Arial"/>
                <w:color w:val="FFFFFF" w:themeColor="background1"/>
              </w:rPr>
              <w:t xml:space="preserve"> </w:t>
            </w:r>
            <w:r w:rsidR="00DF3795" w:rsidRPr="001814EB">
              <w:rPr>
                <w:rFonts w:ascii="Arial" w:hAnsi="Arial" w:cs="Arial"/>
                <w:color w:val="FFFFFF" w:themeColor="background1"/>
              </w:rPr>
              <w:t>–</w:t>
            </w:r>
            <w:r w:rsidR="00A7664A" w:rsidRPr="001814EB">
              <w:rPr>
                <w:rFonts w:ascii="Arial" w:hAnsi="Arial" w:cs="Arial"/>
                <w:color w:val="FFFFFF" w:themeColor="background1"/>
              </w:rPr>
              <w:t xml:space="preserve"> prohibition ≥ 40% + licence for &lt; 40%.</w:t>
            </w:r>
          </w:p>
        </w:tc>
      </w:tr>
      <w:tr w:rsidR="00C53AC3" w:rsidRPr="000A53C0" w14:paraId="50217AB2" w14:textId="77777777" w:rsidTr="001814EB">
        <w:trPr>
          <w:trHeight w:val="188"/>
          <w:tblHeader/>
        </w:trPr>
        <w:tc>
          <w:tcPr>
            <w:tcW w:w="636" w:type="pct"/>
            <w:shd w:val="clear" w:color="auto" w:fill="E81D32"/>
            <w:vAlign w:val="center"/>
          </w:tcPr>
          <w:p w14:paraId="05D7E6BA" w14:textId="44645326" w:rsidR="00C53AC3" w:rsidRPr="001814EB" w:rsidRDefault="00C53AC3" w:rsidP="0018152C">
            <w:pPr>
              <w:pStyle w:val="TableHeading"/>
              <w:keepNext/>
              <w:keepLines/>
              <w:rPr>
                <w:rFonts w:ascii="Arial" w:hAnsi="Arial" w:cs="Arial"/>
                <w:color w:val="FFFFFF" w:themeColor="background1"/>
              </w:rPr>
            </w:pPr>
          </w:p>
        </w:tc>
        <w:tc>
          <w:tcPr>
            <w:tcW w:w="794" w:type="pct"/>
            <w:shd w:val="clear" w:color="auto" w:fill="E81D32"/>
            <w:vAlign w:val="center"/>
          </w:tcPr>
          <w:p w14:paraId="46BB1D4D" w14:textId="22C9D36E" w:rsidR="00C53AC3" w:rsidRPr="001814EB" w:rsidRDefault="00A61EBF" w:rsidP="0018152C">
            <w:pPr>
              <w:pStyle w:val="TableHeading"/>
              <w:keepNext/>
              <w:keepLines/>
              <w:rPr>
                <w:rFonts w:ascii="Arial" w:hAnsi="Arial" w:cs="Arial"/>
                <w:color w:val="FFFFFF" w:themeColor="background1"/>
              </w:rPr>
            </w:pPr>
            <w:r w:rsidRPr="001814EB">
              <w:rPr>
                <w:rFonts w:ascii="Arial" w:hAnsi="Arial" w:cs="Arial"/>
                <w:color w:val="FFFFFF" w:themeColor="background1"/>
              </w:rPr>
              <w:t xml:space="preserve">Cost </w:t>
            </w:r>
            <w:r w:rsidR="00DF3795" w:rsidRPr="001814EB">
              <w:rPr>
                <w:rFonts w:ascii="Arial" w:hAnsi="Arial" w:cs="Arial"/>
                <w:color w:val="FFFFFF" w:themeColor="background1"/>
              </w:rPr>
              <w:t>–</w:t>
            </w:r>
            <w:r w:rsidRPr="001814EB">
              <w:rPr>
                <w:rFonts w:ascii="Arial" w:hAnsi="Arial" w:cs="Arial"/>
                <w:color w:val="FFFFFF" w:themeColor="background1"/>
              </w:rPr>
              <w:t xml:space="preserve"> </w:t>
            </w:r>
            <w:r w:rsidR="00D16FB1" w:rsidRPr="001814EB">
              <w:rPr>
                <w:rFonts w:ascii="Arial" w:hAnsi="Arial" w:cs="Arial"/>
                <w:color w:val="FFFFFF" w:themeColor="background1"/>
              </w:rPr>
              <w:t>l</w:t>
            </w:r>
            <w:r w:rsidR="00C53AC3" w:rsidRPr="001814EB">
              <w:rPr>
                <w:rFonts w:ascii="Arial" w:hAnsi="Arial" w:cs="Arial"/>
                <w:color w:val="FFFFFF" w:themeColor="background1"/>
              </w:rPr>
              <w:t xml:space="preserve">icensing framework for work with legacy products </w:t>
            </w:r>
          </w:p>
        </w:tc>
        <w:tc>
          <w:tcPr>
            <w:tcW w:w="661" w:type="pct"/>
            <w:shd w:val="clear" w:color="auto" w:fill="E81D32"/>
          </w:tcPr>
          <w:p w14:paraId="135FE180" w14:textId="6B36322C" w:rsidR="00C53AC3" w:rsidRPr="001814EB" w:rsidRDefault="006B1B09" w:rsidP="0018152C">
            <w:pPr>
              <w:pStyle w:val="TableHeading"/>
              <w:keepNext/>
              <w:keepLines/>
              <w:rPr>
                <w:rFonts w:ascii="Arial" w:hAnsi="Arial" w:cs="Arial"/>
                <w:color w:val="FFFFFF" w:themeColor="background1"/>
              </w:rPr>
            </w:pPr>
            <w:r w:rsidRPr="001814EB">
              <w:rPr>
                <w:rFonts w:ascii="Arial" w:hAnsi="Arial" w:cs="Arial"/>
                <w:color w:val="FFFFFF" w:themeColor="background1"/>
              </w:rPr>
              <w:t>Other costs</w:t>
            </w:r>
            <w:r w:rsidR="00BB2BD5" w:rsidRPr="001814EB">
              <w:rPr>
                <w:rFonts w:ascii="Arial" w:hAnsi="Arial" w:cs="Arial"/>
                <w:color w:val="FFFFFF" w:themeColor="background1"/>
              </w:rPr>
              <w:t xml:space="preserve"> </w:t>
            </w:r>
          </w:p>
        </w:tc>
        <w:tc>
          <w:tcPr>
            <w:tcW w:w="794" w:type="pct"/>
            <w:shd w:val="clear" w:color="auto" w:fill="E81D32"/>
            <w:vAlign w:val="center"/>
          </w:tcPr>
          <w:p w14:paraId="605AACC3" w14:textId="33C0DFBB" w:rsidR="00C53AC3" w:rsidRPr="001814EB" w:rsidRDefault="00A61EBF" w:rsidP="0018152C">
            <w:pPr>
              <w:pStyle w:val="TableHeading"/>
              <w:keepNext/>
              <w:keepLines/>
              <w:rPr>
                <w:rFonts w:ascii="Arial" w:hAnsi="Arial" w:cs="Arial"/>
                <w:color w:val="FFFFFF" w:themeColor="background1"/>
              </w:rPr>
            </w:pPr>
            <w:r w:rsidRPr="001814EB">
              <w:rPr>
                <w:rFonts w:ascii="Arial" w:hAnsi="Arial" w:cs="Arial"/>
                <w:color w:val="FFFFFF" w:themeColor="background1"/>
              </w:rPr>
              <w:t>C</w:t>
            </w:r>
            <w:r w:rsidR="00CC4835" w:rsidRPr="001814EB">
              <w:rPr>
                <w:rFonts w:ascii="Arial" w:hAnsi="Arial" w:cs="Arial"/>
                <w:color w:val="FFFFFF" w:themeColor="background1"/>
              </w:rPr>
              <w:t xml:space="preserve">ost </w:t>
            </w:r>
            <w:r w:rsidR="00DF3795" w:rsidRPr="001814EB">
              <w:rPr>
                <w:rFonts w:ascii="Arial" w:hAnsi="Arial" w:cs="Arial"/>
                <w:color w:val="FFFFFF" w:themeColor="background1"/>
              </w:rPr>
              <w:t>–</w:t>
            </w:r>
            <w:r w:rsidR="00CC4835" w:rsidRPr="001814EB">
              <w:rPr>
                <w:rFonts w:ascii="Arial" w:hAnsi="Arial" w:cs="Arial"/>
                <w:color w:val="FFFFFF" w:themeColor="background1"/>
              </w:rPr>
              <w:t xml:space="preserve"> </w:t>
            </w:r>
            <w:r w:rsidR="00D16FB1" w:rsidRPr="001814EB">
              <w:rPr>
                <w:rFonts w:ascii="Arial" w:hAnsi="Arial" w:cs="Arial"/>
                <w:color w:val="FFFFFF" w:themeColor="background1"/>
              </w:rPr>
              <w:t>l</w:t>
            </w:r>
            <w:r w:rsidR="00C53AC3" w:rsidRPr="001814EB">
              <w:rPr>
                <w:rFonts w:ascii="Arial" w:hAnsi="Arial" w:cs="Arial"/>
                <w:color w:val="FFFFFF" w:themeColor="background1"/>
              </w:rPr>
              <w:t xml:space="preserve">icensing framework for work with legacy products </w:t>
            </w:r>
          </w:p>
        </w:tc>
        <w:tc>
          <w:tcPr>
            <w:tcW w:w="661" w:type="pct"/>
            <w:shd w:val="clear" w:color="auto" w:fill="E81D32"/>
          </w:tcPr>
          <w:p w14:paraId="11A296B3" w14:textId="192FAF88" w:rsidR="00C53AC3" w:rsidRPr="001814EB" w:rsidRDefault="00CC4835" w:rsidP="0018152C">
            <w:pPr>
              <w:pStyle w:val="TableHeading"/>
              <w:keepNext/>
              <w:keepLines/>
              <w:rPr>
                <w:rFonts w:ascii="Arial" w:hAnsi="Arial" w:cs="Arial"/>
                <w:color w:val="FFFFFF" w:themeColor="background1"/>
              </w:rPr>
            </w:pPr>
            <w:r w:rsidRPr="001814EB">
              <w:rPr>
                <w:rFonts w:ascii="Arial" w:hAnsi="Arial" w:cs="Arial"/>
                <w:color w:val="FFFFFF" w:themeColor="background1"/>
              </w:rPr>
              <w:t>Other costs</w:t>
            </w:r>
          </w:p>
        </w:tc>
        <w:tc>
          <w:tcPr>
            <w:tcW w:w="794" w:type="pct"/>
            <w:shd w:val="clear" w:color="auto" w:fill="E81D32"/>
            <w:vAlign w:val="center"/>
          </w:tcPr>
          <w:p w14:paraId="257C0D0C" w14:textId="0953C854" w:rsidR="00C53AC3" w:rsidRPr="001814EB" w:rsidRDefault="00A61EBF" w:rsidP="0018152C">
            <w:pPr>
              <w:pStyle w:val="TableHeading"/>
              <w:keepNext/>
              <w:keepLines/>
              <w:rPr>
                <w:rFonts w:ascii="Arial" w:hAnsi="Arial" w:cs="Arial"/>
                <w:color w:val="FFFFFF" w:themeColor="background1"/>
              </w:rPr>
            </w:pPr>
            <w:r w:rsidRPr="001814EB">
              <w:rPr>
                <w:rFonts w:ascii="Arial" w:hAnsi="Arial" w:cs="Arial"/>
                <w:color w:val="FFFFFF" w:themeColor="background1"/>
              </w:rPr>
              <w:t>C</w:t>
            </w:r>
            <w:r w:rsidR="00CC4835" w:rsidRPr="001814EB">
              <w:rPr>
                <w:rFonts w:ascii="Arial" w:hAnsi="Arial" w:cs="Arial"/>
                <w:color w:val="FFFFFF" w:themeColor="background1"/>
              </w:rPr>
              <w:t xml:space="preserve">ost </w:t>
            </w:r>
            <w:r w:rsidR="00DF3795" w:rsidRPr="001814EB">
              <w:rPr>
                <w:rFonts w:ascii="Arial" w:hAnsi="Arial" w:cs="Arial"/>
                <w:color w:val="FFFFFF" w:themeColor="background1"/>
              </w:rPr>
              <w:t>–</w:t>
            </w:r>
            <w:r w:rsidR="00CC4835" w:rsidRPr="001814EB">
              <w:rPr>
                <w:rFonts w:ascii="Arial" w:hAnsi="Arial" w:cs="Arial"/>
                <w:color w:val="FFFFFF" w:themeColor="background1"/>
              </w:rPr>
              <w:t xml:space="preserve"> </w:t>
            </w:r>
            <w:r w:rsidR="00D16FB1" w:rsidRPr="001814EB">
              <w:rPr>
                <w:rFonts w:ascii="Arial" w:hAnsi="Arial" w:cs="Arial"/>
                <w:color w:val="FFFFFF" w:themeColor="background1"/>
              </w:rPr>
              <w:t>l</w:t>
            </w:r>
            <w:r w:rsidR="00C53AC3" w:rsidRPr="001814EB">
              <w:rPr>
                <w:rFonts w:ascii="Arial" w:hAnsi="Arial" w:cs="Arial"/>
                <w:color w:val="FFFFFF" w:themeColor="background1"/>
              </w:rPr>
              <w:t>icensing framework for work with legacy products</w:t>
            </w:r>
          </w:p>
        </w:tc>
        <w:tc>
          <w:tcPr>
            <w:tcW w:w="660" w:type="pct"/>
            <w:shd w:val="clear" w:color="auto" w:fill="E81D32"/>
          </w:tcPr>
          <w:p w14:paraId="230D4BCB" w14:textId="18B457D5" w:rsidR="00C53AC3" w:rsidRPr="001814EB" w:rsidRDefault="00CC4835" w:rsidP="0018152C">
            <w:pPr>
              <w:pStyle w:val="TableHeading"/>
              <w:keepNext/>
              <w:keepLines/>
              <w:rPr>
                <w:rFonts w:ascii="Arial" w:hAnsi="Arial" w:cs="Arial"/>
                <w:color w:val="FFFFFF" w:themeColor="background1"/>
              </w:rPr>
            </w:pPr>
            <w:r w:rsidRPr="001814EB">
              <w:rPr>
                <w:rFonts w:ascii="Arial" w:hAnsi="Arial" w:cs="Arial"/>
                <w:color w:val="FFFFFF" w:themeColor="background1"/>
              </w:rPr>
              <w:t>Other costs</w:t>
            </w:r>
          </w:p>
        </w:tc>
      </w:tr>
      <w:tr w:rsidR="00C53AC3" w:rsidRPr="000A53C0" w14:paraId="4D3D3972" w14:textId="77777777">
        <w:trPr>
          <w:trHeight w:val="355"/>
        </w:trPr>
        <w:tc>
          <w:tcPr>
            <w:tcW w:w="636" w:type="pct"/>
            <w:shd w:val="clear" w:color="auto" w:fill="auto"/>
          </w:tcPr>
          <w:p w14:paraId="2F6CD13D" w14:textId="77777777" w:rsidR="00C53AC3" w:rsidRPr="000A53C0" w:rsidRDefault="00C53AC3" w:rsidP="0018152C">
            <w:pPr>
              <w:pStyle w:val="TableBody"/>
              <w:keepNext/>
              <w:keepLines/>
              <w:rPr>
                <w:rFonts w:cs="Arial"/>
              </w:rPr>
            </w:pPr>
            <w:r w:rsidRPr="000A53C0">
              <w:rPr>
                <w:rFonts w:cs="Arial"/>
              </w:rPr>
              <w:t>Cost to PCBUs</w:t>
            </w:r>
          </w:p>
        </w:tc>
        <w:tc>
          <w:tcPr>
            <w:tcW w:w="794" w:type="pct"/>
            <w:vAlign w:val="center"/>
          </w:tcPr>
          <w:p w14:paraId="7CA3CB14" w14:textId="77777777" w:rsidR="00C53AC3" w:rsidRPr="000A53C0" w:rsidRDefault="00C53AC3" w:rsidP="0018152C">
            <w:pPr>
              <w:pStyle w:val="TableBody"/>
              <w:keepNext/>
              <w:keepLines/>
              <w:jc w:val="center"/>
              <w:rPr>
                <w:rFonts w:cs="Arial"/>
                <w:color w:val="000000"/>
                <w:highlight w:val="green"/>
              </w:rPr>
            </w:pPr>
            <w:r w:rsidRPr="000A53C0">
              <w:rPr>
                <w:rFonts w:cs="Arial"/>
                <w:color w:val="000000"/>
              </w:rPr>
              <w:t>$133.0</w:t>
            </w:r>
          </w:p>
        </w:tc>
        <w:tc>
          <w:tcPr>
            <w:tcW w:w="661" w:type="pct"/>
            <w:vAlign w:val="center"/>
          </w:tcPr>
          <w:p w14:paraId="32B2A7C4" w14:textId="77777777" w:rsidR="00C53AC3" w:rsidRPr="000A53C0" w:rsidRDefault="00C53AC3" w:rsidP="0018152C">
            <w:pPr>
              <w:pStyle w:val="TableBody"/>
              <w:keepNext/>
              <w:keepLines/>
              <w:jc w:val="center"/>
              <w:rPr>
                <w:rFonts w:cs="Arial"/>
                <w:color w:val="000000"/>
              </w:rPr>
            </w:pPr>
            <w:r w:rsidRPr="000A53C0">
              <w:rPr>
                <w:rFonts w:cs="Arial"/>
                <w:color w:val="000000"/>
              </w:rPr>
              <w:t>$6.9</w:t>
            </w:r>
          </w:p>
        </w:tc>
        <w:tc>
          <w:tcPr>
            <w:tcW w:w="794" w:type="pct"/>
            <w:vAlign w:val="center"/>
          </w:tcPr>
          <w:p w14:paraId="0ADADA74" w14:textId="77777777" w:rsidR="00C53AC3" w:rsidRPr="000A53C0" w:rsidRDefault="00C53AC3" w:rsidP="0018152C">
            <w:pPr>
              <w:pStyle w:val="TableBody"/>
              <w:keepNext/>
              <w:keepLines/>
              <w:jc w:val="center"/>
              <w:rPr>
                <w:rFonts w:cs="Arial"/>
              </w:rPr>
            </w:pPr>
            <w:r w:rsidRPr="000A53C0">
              <w:rPr>
                <w:rFonts w:cs="Arial"/>
                <w:color w:val="000000"/>
              </w:rPr>
              <w:t>$133.0</w:t>
            </w:r>
          </w:p>
        </w:tc>
        <w:tc>
          <w:tcPr>
            <w:tcW w:w="661" w:type="pct"/>
            <w:vAlign w:val="center"/>
          </w:tcPr>
          <w:p w14:paraId="08FB5C3A" w14:textId="77777777" w:rsidR="00C53AC3" w:rsidRPr="000A53C0" w:rsidRDefault="00C53AC3" w:rsidP="0018152C">
            <w:pPr>
              <w:pStyle w:val="TableBody"/>
              <w:keepNext/>
              <w:keepLines/>
              <w:jc w:val="center"/>
              <w:rPr>
                <w:rFonts w:cs="Arial"/>
                <w:color w:val="000000"/>
              </w:rPr>
            </w:pPr>
            <w:r w:rsidRPr="000A53C0">
              <w:rPr>
                <w:rFonts w:cs="Arial"/>
                <w:color w:val="000000"/>
              </w:rPr>
              <w:t>$0</w:t>
            </w:r>
          </w:p>
        </w:tc>
        <w:tc>
          <w:tcPr>
            <w:tcW w:w="794" w:type="pct"/>
            <w:vAlign w:val="center"/>
          </w:tcPr>
          <w:p w14:paraId="2E0DC682" w14:textId="77777777" w:rsidR="00C53AC3" w:rsidRPr="000A53C0" w:rsidRDefault="00C53AC3" w:rsidP="0018152C">
            <w:pPr>
              <w:pStyle w:val="TableBody"/>
              <w:keepNext/>
              <w:keepLines/>
              <w:jc w:val="center"/>
              <w:rPr>
                <w:rFonts w:cs="Arial"/>
              </w:rPr>
            </w:pPr>
            <w:r w:rsidRPr="000A53C0">
              <w:rPr>
                <w:rFonts w:cs="Arial"/>
                <w:color w:val="000000"/>
              </w:rPr>
              <w:t>$133.0</w:t>
            </w:r>
          </w:p>
        </w:tc>
        <w:tc>
          <w:tcPr>
            <w:tcW w:w="660" w:type="pct"/>
            <w:vAlign w:val="center"/>
          </w:tcPr>
          <w:p w14:paraId="61852DDC" w14:textId="77777777" w:rsidR="00C53AC3" w:rsidRPr="000A53C0" w:rsidRDefault="00C53AC3" w:rsidP="0018152C">
            <w:pPr>
              <w:pStyle w:val="TableBody"/>
              <w:keepNext/>
              <w:keepLines/>
              <w:jc w:val="center"/>
              <w:rPr>
                <w:rFonts w:cs="Arial"/>
                <w:color w:val="000000"/>
              </w:rPr>
            </w:pPr>
            <w:r w:rsidRPr="000A53C0">
              <w:rPr>
                <w:rFonts w:cs="Arial"/>
                <w:color w:val="000000"/>
              </w:rPr>
              <w:t>$4.2</w:t>
            </w:r>
          </w:p>
        </w:tc>
      </w:tr>
      <w:tr w:rsidR="00C53AC3" w:rsidRPr="000A53C0" w14:paraId="3F822170" w14:textId="77777777">
        <w:trPr>
          <w:trHeight w:val="355"/>
        </w:trPr>
        <w:tc>
          <w:tcPr>
            <w:tcW w:w="636" w:type="pct"/>
            <w:shd w:val="clear" w:color="auto" w:fill="auto"/>
          </w:tcPr>
          <w:p w14:paraId="40D1B32A" w14:textId="77777777" w:rsidR="00C53AC3" w:rsidRPr="000A53C0" w:rsidRDefault="00C53AC3" w:rsidP="0018152C">
            <w:pPr>
              <w:pStyle w:val="TableBody"/>
              <w:rPr>
                <w:rFonts w:cs="Arial"/>
              </w:rPr>
            </w:pPr>
            <w:r w:rsidRPr="000A53C0">
              <w:rPr>
                <w:rFonts w:cs="Arial"/>
              </w:rPr>
              <w:t>Cost to government</w:t>
            </w:r>
          </w:p>
        </w:tc>
        <w:tc>
          <w:tcPr>
            <w:tcW w:w="794" w:type="pct"/>
            <w:vAlign w:val="center"/>
          </w:tcPr>
          <w:p w14:paraId="47D3298D" w14:textId="77777777" w:rsidR="00C53AC3" w:rsidRPr="000A53C0" w:rsidRDefault="00C53AC3" w:rsidP="0018152C">
            <w:pPr>
              <w:pStyle w:val="TableBody"/>
              <w:jc w:val="center"/>
              <w:rPr>
                <w:rFonts w:cs="Arial"/>
                <w:color w:val="000000"/>
                <w:highlight w:val="green"/>
              </w:rPr>
            </w:pPr>
            <w:r w:rsidRPr="000A53C0">
              <w:rPr>
                <w:rFonts w:cs="Arial"/>
                <w:color w:val="000000"/>
              </w:rPr>
              <w:t>$107.5</w:t>
            </w:r>
          </w:p>
        </w:tc>
        <w:tc>
          <w:tcPr>
            <w:tcW w:w="661" w:type="pct"/>
            <w:vAlign w:val="center"/>
          </w:tcPr>
          <w:p w14:paraId="0AEDD128" w14:textId="77777777" w:rsidR="00C53AC3" w:rsidRPr="000A53C0" w:rsidRDefault="00C53AC3" w:rsidP="0018152C">
            <w:pPr>
              <w:pStyle w:val="TableBody"/>
              <w:jc w:val="center"/>
              <w:rPr>
                <w:rFonts w:cs="Arial"/>
                <w:color w:val="000000"/>
              </w:rPr>
            </w:pPr>
            <w:r w:rsidRPr="000A53C0">
              <w:rPr>
                <w:rFonts w:cs="Arial"/>
                <w:color w:val="000000"/>
              </w:rPr>
              <w:t>$0.7</w:t>
            </w:r>
          </w:p>
        </w:tc>
        <w:tc>
          <w:tcPr>
            <w:tcW w:w="794" w:type="pct"/>
            <w:vAlign w:val="center"/>
          </w:tcPr>
          <w:p w14:paraId="607D9138" w14:textId="77777777" w:rsidR="00C53AC3" w:rsidRPr="000A53C0" w:rsidRDefault="00C53AC3" w:rsidP="0018152C">
            <w:pPr>
              <w:pStyle w:val="TableBody"/>
              <w:jc w:val="center"/>
              <w:rPr>
                <w:rFonts w:cs="Arial"/>
              </w:rPr>
            </w:pPr>
            <w:r w:rsidRPr="000A53C0">
              <w:rPr>
                <w:rFonts w:cs="Arial"/>
                <w:color w:val="000000"/>
              </w:rPr>
              <w:t>$107.5</w:t>
            </w:r>
          </w:p>
        </w:tc>
        <w:tc>
          <w:tcPr>
            <w:tcW w:w="661" w:type="pct"/>
            <w:vAlign w:val="center"/>
          </w:tcPr>
          <w:p w14:paraId="4C38F932" w14:textId="77777777" w:rsidR="00C53AC3" w:rsidRPr="000A53C0" w:rsidRDefault="00C53AC3" w:rsidP="0018152C">
            <w:pPr>
              <w:pStyle w:val="TableBody"/>
              <w:jc w:val="center"/>
              <w:rPr>
                <w:rFonts w:cs="Arial"/>
              </w:rPr>
            </w:pPr>
            <w:r w:rsidRPr="000A53C0">
              <w:rPr>
                <w:rFonts w:cs="Arial"/>
                <w:color w:val="000000"/>
              </w:rPr>
              <w:t>$0</w:t>
            </w:r>
          </w:p>
        </w:tc>
        <w:tc>
          <w:tcPr>
            <w:tcW w:w="794" w:type="pct"/>
            <w:vAlign w:val="center"/>
          </w:tcPr>
          <w:p w14:paraId="40BCC390" w14:textId="77777777" w:rsidR="00C53AC3" w:rsidRPr="000A53C0" w:rsidRDefault="00C53AC3" w:rsidP="0018152C">
            <w:pPr>
              <w:pStyle w:val="TableBody"/>
              <w:jc w:val="center"/>
              <w:rPr>
                <w:rFonts w:cs="Arial"/>
              </w:rPr>
            </w:pPr>
            <w:r w:rsidRPr="000A53C0">
              <w:rPr>
                <w:rFonts w:cs="Arial"/>
              </w:rPr>
              <w:t>$107.5</w:t>
            </w:r>
          </w:p>
        </w:tc>
        <w:tc>
          <w:tcPr>
            <w:tcW w:w="660" w:type="pct"/>
            <w:vAlign w:val="center"/>
          </w:tcPr>
          <w:p w14:paraId="24A74155" w14:textId="77777777" w:rsidR="00C53AC3" w:rsidRPr="000A53C0" w:rsidRDefault="00C53AC3" w:rsidP="0018152C">
            <w:pPr>
              <w:pStyle w:val="TableBody"/>
              <w:jc w:val="center"/>
              <w:rPr>
                <w:rFonts w:cs="Arial"/>
              </w:rPr>
            </w:pPr>
            <w:r w:rsidRPr="000A53C0">
              <w:rPr>
                <w:rFonts w:cs="Arial"/>
                <w:color w:val="000000"/>
              </w:rPr>
              <w:t>$3.6</w:t>
            </w:r>
          </w:p>
        </w:tc>
      </w:tr>
      <w:tr w:rsidR="00C53AC3" w:rsidRPr="000A53C0" w14:paraId="0D63C762" w14:textId="77777777">
        <w:trPr>
          <w:trHeight w:val="355"/>
        </w:trPr>
        <w:tc>
          <w:tcPr>
            <w:tcW w:w="636" w:type="pct"/>
            <w:shd w:val="clear" w:color="auto" w:fill="auto"/>
          </w:tcPr>
          <w:p w14:paraId="7E498B11" w14:textId="77777777" w:rsidR="00C53AC3" w:rsidRPr="000A53C0" w:rsidRDefault="00C53AC3" w:rsidP="0018152C">
            <w:pPr>
              <w:pStyle w:val="TableBody"/>
              <w:rPr>
                <w:rFonts w:cs="Arial"/>
              </w:rPr>
            </w:pPr>
            <w:r w:rsidRPr="000A53C0">
              <w:rPr>
                <w:rFonts w:cs="Arial"/>
              </w:rPr>
              <w:t>Cost to workers</w:t>
            </w:r>
          </w:p>
        </w:tc>
        <w:tc>
          <w:tcPr>
            <w:tcW w:w="794" w:type="pct"/>
            <w:vAlign w:val="center"/>
          </w:tcPr>
          <w:p w14:paraId="66691305" w14:textId="5FD1868E" w:rsidR="00C53AC3" w:rsidRPr="000A53C0" w:rsidRDefault="00F654EB" w:rsidP="0018152C">
            <w:pPr>
              <w:pStyle w:val="TableBody"/>
              <w:jc w:val="center"/>
              <w:rPr>
                <w:rFonts w:cs="Arial"/>
                <w:color w:val="000000"/>
              </w:rPr>
            </w:pPr>
            <w:r w:rsidRPr="000A53C0">
              <w:rPr>
                <w:rFonts w:cs="Arial"/>
                <w:color w:val="000000"/>
              </w:rPr>
              <w:t>n/a</w:t>
            </w:r>
          </w:p>
        </w:tc>
        <w:tc>
          <w:tcPr>
            <w:tcW w:w="661" w:type="pct"/>
            <w:vAlign w:val="center"/>
          </w:tcPr>
          <w:p w14:paraId="680B8CCB" w14:textId="77777777" w:rsidR="00C53AC3" w:rsidRPr="000A53C0" w:rsidRDefault="00C53AC3" w:rsidP="0018152C">
            <w:pPr>
              <w:pStyle w:val="TableBody"/>
              <w:jc w:val="center"/>
              <w:rPr>
                <w:rFonts w:cs="Arial"/>
                <w:color w:val="000000"/>
              </w:rPr>
            </w:pPr>
            <w:r w:rsidRPr="000A53C0">
              <w:rPr>
                <w:rFonts w:cs="Arial"/>
                <w:color w:val="000000"/>
              </w:rPr>
              <w:t>$3.1</w:t>
            </w:r>
          </w:p>
        </w:tc>
        <w:tc>
          <w:tcPr>
            <w:tcW w:w="794" w:type="pct"/>
            <w:vAlign w:val="center"/>
          </w:tcPr>
          <w:p w14:paraId="1E2529C1" w14:textId="45B77C06" w:rsidR="00C53AC3" w:rsidRPr="000A53C0" w:rsidRDefault="00F654EB" w:rsidP="0018152C">
            <w:pPr>
              <w:pStyle w:val="TableBody"/>
              <w:jc w:val="center"/>
              <w:rPr>
                <w:rFonts w:cs="Arial"/>
                <w:color w:val="000000"/>
              </w:rPr>
            </w:pPr>
            <w:r w:rsidRPr="000A53C0">
              <w:rPr>
                <w:rFonts w:cs="Arial"/>
                <w:color w:val="000000"/>
              </w:rPr>
              <w:t>n/a</w:t>
            </w:r>
          </w:p>
        </w:tc>
        <w:tc>
          <w:tcPr>
            <w:tcW w:w="661" w:type="pct"/>
            <w:vAlign w:val="center"/>
          </w:tcPr>
          <w:p w14:paraId="12BF9B12" w14:textId="77777777" w:rsidR="00C53AC3" w:rsidRPr="000A53C0" w:rsidRDefault="00C53AC3" w:rsidP="0018152C">
            <w:pPr>
              <w:pStyle w:val="TableBody"/>
              <w:jc w:val="center"/>
              <w:rPr>
                <w:rFonts w:cs="Arial"/>
              </w:rPr>
            </w:pPr>
            <w:r w:rsidRPr="000A53C0">
              <w:rPr>
                <w:rFonts w:cs="Arial"/>
                <w:color w:val="000000"/>
              </w:rPr>
              <w:t>$0</w:t>
            </w:r>
          </w:p>
        </w:tc>
        <w:tc>
          <w:tcPr>
            <w:tcW w:w="794" w:type="pct"/>
            <w:vAlign w:val="center"/>
          </w:tcPr>
          <w:p w14:paraId="5BACBFBA" w14:textId="6AEDF274" w:rsidR="00C53AC3" w:rsidRPr="000A53C0" w:rsidRDefault="00F654EB" w:rsidP="0018152C">
            <w:pPr>
              <w:pStyle w:val="TableBody"/>
              <w:jc w:val="center"/>
              <w:rPr>
                <w:rFonts w:cs="Arial"/>
              </w:rPr>
            </w:pPr>
            <w:r w:rsidRPr="000A53C0">
              <w:rPr>
                <w:rFonts w:cs="Arial"/>
              </w:rPr>
              <w:t>n/a</w:t>
            </w:r>
          </w:p>
        </w:tc>
        <w:tc>
          <w:tcPr>
            <w:tcW w:w="660" w:type="pct"/>
            <w:vAlign w:val="center"/>
          </w:tcPr>
          <w:p w14:paraId="0D4439A3" w14:textId="77777777" w:rsidR="00C53AC3" w:rsidRPr="000A53C0" w:rsidRDefault="00C53AC3" w:rsidP="0018152C">
            <w:pPr>
              <w:pStyle w:val="TableBody"/>
              <w:jc w:val="center"/>
              <w:rPr>
                <w:rFonts w:cs="Arial"/>
              </w:rPr>
            </w:pPr>
            <w:r w:rsidRPr="000A53C0">
              <w:rPr>
                <w:rFonts w:cs="Arial"/>
                <w:color w:val="000000"/>
              </w:rPr>
              <w:t>$1.5</w:t>
            </w:r>
          </w:p>
        </w:tc>
      </w:tr>
      <w:tr w:rsidR="00BB2BD5" w:rsidRPr="000A53C0" w14:paraId="10A17740" w14:textId="77777777">
        <w:trPr>
          <w:trHeight w:val="355"/>
        </w:trPr>
        <w:tc>
          <w:tcPr>
            <w:tcW w:w="636" w:type="pct"/>
            <w:shd w:val="clear" w:color="auto" w:fill="F2F2F2" w:themeFill="background1" w:themeFillShade="F2"/>
            <w:vAlign w:val="center"/>
          </w:tcPr>
          <w:p w14:paraId="47E4B1AC" w14:textId="4184A273" w:rsidR="00C53AC3" w:rsidRPr="000A53C0" w:rsidRDefault="00722409" w:rsidP="0018152C">
            <w:pPr>
              <w:pStyle w:val="TableBody"/>
              <w:rPr>
                <w:rFonts w:cs="Arial"/>
              </w:rPr>
            </w:pPr>
            <w:r w:rsidRPr="000A53C0">
              <w:rPr>
                <w:rFonts w:cs="Arial"/>
              </w:rPr>
              <w:t>Sub t</w:t>
            </w:r>
            <w:r w:rsidR="00C53AC3" w:rsidRPr="000A53C0">
              <w:rPr>
                <w:rFonts w:cs="Arial"/>
              </w:rPr>
              <w:t xml:space="preserve">otal </w:t>
            </w:r>
            <w:r w:rsidRPr="000A53C0">
              <w:rPr>
                <w:rFonts w:cs="Arial"/>
              </w:rPr>
              <w:t>(</w:t>
            </w:r>
            <w:r w:rsidR="00A5125B" w:rsidRPr="000A53C0">
              <w:rPr>
                <w:rFonts w:cs="Arial"/>
              </w:rPr>
              <w:t>component</w:t>
            </w:r>
            <w:r w:rsidRPr="000A53C0">
              <w:rPr>
                <w:rFonts w:cs="Arial"/>
              </w:rPr>
              <w:t>)</w:t>
            </w:r>
          </w:p>
        </w:tc>
        <w:tc>
          <w:tcPr>
            <w:tcW w:w="794" w:type="pct"/>
            <w:shd w:val="clear" w:color="auto" w:fill="F2F2F2" w:themeFill="background1" w:themeFillShade="F2"/>
            <w:vAlign w:val="center"/>
          </w:tcPr>
          <w:p w14:paraId="2B8100BB" w14:textId="77777777" w:rsidR="00C53AC3" w:rsidRPr="000A53C0" w:rsidRDefault="00C53AC3" w:rsidP="0018152C">
            <w:pPr>
              <w:pStyle w:val="TableBody"/>
              <w:jc w:val="center"/>
              <w:rPr>
                <w:rFonts w:cs="Arial"/>
              </w:rPr>
            </w:pPr>
            <w:r w:rsidRPr="000A53C0">
              <w:rPr>
                <w:rFonts w:cs="Arial"/>
              </w:rPr>
              <w:t>$240.5</w:t>
            </w:r>
          </w:p>
        </w:tc>
        <w:tc>
          <w:tcPr>
            <w:tcW w:w="661" w:type="pct"/>
            <w:shd w:val="clear" w:color="auto" w:fill="F2F2F2" w:themeFill="background1" w:themeFillShade="F2"/>
            <w:vAlign w:val="center"/>
          </w:tcPr>
          <w:p w14:paraId="0F05D955" w14:textId="457B3E7B" w:rsidR="00C53AC3" w:rsidRPr="000A53C0" w:rsidRDefault="00C53AC3" w:rsidP="0018152C">
            <w:pPr>
              <w:pStyle w:val="TableBody"/>
              <w:jc w:val="center"/>
              <w:rPr>
                <w:rFonts w:cs="Arial"/>
              </w:rPr>
            </w:pPr>
            <w:r w:rsidRPr="000A53C0">
              <w:rPr>
                <w:rFonts w:cs="Arial"/>
              </w:rPr>
              <w:t>$10.6</w:t>
            </w:r>
          </w:p>
        </w:tc>
        <w:tc>
          <w:tcPr>
            <w:tcW w:w="794" w:type="pct"/>
            <w:shd w:val="clear" w:color="auto" w:fill="F2F2F2" w:themeFill="background1" w:themeFillShade="F2"/>
            <w:vAlign w:val="center"/>
          </w:tcPr>
          <w:p w14:paraId="6E6F4BB9" w14:textId="77777777" w:rsidR="00C53AC3" w:rsidRPr="000A53C0" w:rsidRDefault="00C53AC3" w:rsidP="0018152C">
            <w:pPr>
              <w:pStyle w:val="TableBody"/>
              <w:jc w:val="center"/>
              <w:rPr>
                <w:rFonts w:cs="Arial"/>
              </w:rPr>
            </w:pPr>
            <w:r w:rsidRPr="000A53C0">
              <w:rPr>
                <w:rFonts w:cs="Arial"/>
              </w:rPr>
              <w:t>$240.5</w:t>
            </w:r>
          </w:p>
        </w:tc>
        <w:tc>
          <w:tcPr>
            <w:tcW w:w="661" w:type="pct"/>
            <w:shd w:val="clear" w:color="auto" w:fill="F2F2F2" w:themeFill="background1" w:themeFillShade="F2"/>
            <w:vAlign w:val="center"/>
          </w:tcPr>
          <w:p w14:paraId="3EB8DABD" w14:textId="77777777" w:rsidR="00C53AC3" w:rsidRPr="000A53C0" w:rsidRDefault="00C53AC3" w:rsidP="0018152C">
            <w:pPr>
              <w:pStyle w:val="TableBody"/>
              <w:jc w:val="center"/>
              <w:rPr>
                <w:rFonts w:cs="Arial"/>
              </w:rPr>
            </w:pPr>
            <w:r w:rsidRPr="000A53C0">
              <w:rPr>
                <w:rFonts w:cs="Arial"/>
              </w:rPr>
              <w:t>$0</w:t>
            </w:r>
          </w:p>
        </w:tc>
        <w:tc>
          <w:tcPr>
            <w:tcW w:w="794" w:type="pct"/>
            <w:shd w:val="clear" w:color="auto" w:fill="F2F2F2" w:themeFill="background1" w:themeFillShade="F2"/>
            <w:vAlign w:val="center"/>
          </w:tcPr>
          <w:p w14:paraId="54AC591A" w14:textId="77777777" w:rsidR="00C53AC3" w:rsidRPr="000A53C0" w:rsidRDefault="00C53AC3" w:rsidP="0018152C">
            <w:pPr>
              <w:pStyle w:val="TableBody"/>
              <w:jc w:val="center"/>
              <w:rPr>
                <w:rFonts w:cs="Arial"/>
              </w:rPr>
            </w:pPr>
            <w:r w:rsidRPr="000A53C0">
              <w:rPr>
                <w:rFonts w:cs="Arial"/>
              </w:rPr>
              <w:t>$240.5</w:t>
            </w:r>
          </w:p>
        </w:tc>
        <w:tc>
          <w:tcPr>
            <w:tcW w:w="660" w:type="pct"/>
            <w:shd w:val="clear" w:color="auto" w:fill="F2F2F2" w:themeFill="background1" w:themeFillShade="F2"/>
            <w:vAlign w:val="center"/>
          </w:tcPr>
          <w:p w14:paraId="72E32F7B" w14:textId="77777777" w:rsidR="00C53AC3" w:rsidRPr="000A53C0" w:rsidRDefault="00C53AC3" w:rsidP="0018152C">
            <w:pPr>
              <w:pStyle w:val="TableBody"/>
              <w:jc w:val="center"/>
              <w:rPr>
                <w:rFonts w:cs="Arial"/>
              </w:rPr>
            </w:pPr>
            <w:r w:rsidRPr="000A53C0">
              <w:rPr>
                <w:rFonts w:cs="Arial"/>
              </w:rPr>
              <w:t>$9.3</w:t>
            </w:r>
          </w:p>
        </w:tc>
      </w:tr>
      <w:tr w:rsidR="00BB2BD5" w:rsidRPr="000A53C0" w14:paraId="2775A2D0" w14:textId="77777777" w:rsidTr="00130BD8">
        <w:trPr>
          <w:trHeight w:val="355"/>
        </w:trPr>
        <w:tc>
          <w:tcPr>
            <w:tcW w:w="636" w:type="pct"/>
            <w:shd w:val="clear" w:color="auto" w:fill="A6A6A6" w:themeFill="background1" w:themeFillShade="A6"/>
            <w:vAlign w:val="center"/>
          </w:tcPr>
          <w:p w14:paraId="1D688594" w14:textId="77777777" w:rsidR="00C53AC3" w:rsidRPr="002B48BE" w:rsidRDefault="00C53AC3" w:rsidP="0018152C">
            <w:pPr>
              <w:pStyle w:val="TableBody"/>
              <w:rPr>
                <w:rFonts w:cs="Arial"/>
                <w:b/>
                <w:bCs/>
              </w:rPr>
            </w:pPr>
            <w:r w:rsidRPr="002B48BE">
              <w:rPr>
                <w:rFonts w:cs="Arial"/>
                <w:b/>
                <w:bCs/>
              </w:rPr>
              <w:t>Total</w:t>
            </w:r>
          </w:p>
        </w:tc>
        <w:tc>
          <w:tcPr>
            <w:tcW w:w="1455" w:type="pct"/>
            <w:gridSpan w:val="2"/>
            <w:shd w:val="clear" w:color="auto" w:fill="A6A6A6" w:themeFill="background1" w:themeFillShade="A6"/>
            <w:vAlign w:val="center"/>
          </w:tcPr>
          <w:p w14:paraId="4DD94280" w14:textId="5BDAD62B" w:rsidR="00C53AC3" w:rsidRPr="002B48BE" w:rsidRDefault="00A6065A" w:rsidP="00130BD8">
            <w:pPr>
              <w:pStyle w:val="TableBody"/>
              <w:jc w:val="center"/>
              <w:rPr>
                <w:rFonts w:cs="Arial"/>
                <w:b/>
                <w:bCs/>
              </w:rPr>
            </w:pPr>
            <w:r>
              <w:rPr>
                <w:rFonts w:cs="Arial"/>
                <w:b/>
                <w:bCs/>
              </w:rPr>
              <w:t>$</w:t>
            </w:r>
            <w:r w:rsidR="00C53AC3" w:rsidRPr="002B48BE">
              <w:rPr>
                <w:rFonts w:cs="Arial"/>
                <w:b/>
                <w:bCs/>
              </w:rPr>
              <w:t>251.1</w:t>
            </w:r>
          </w:p>
        </w:tc>
        <w:tc>
          <w:tcPr>
            <w:tcW w:w="1455" w:type="pct"/>
            <w:gridSpan w:val="2"/>
            <w:shd w:val="clear" w:color="auto" w:fill="A6A6A6" w:themeFill="background1" w:themeFillShade="A6"/>
            <w:vAlign w:val="center"/>
          </w:tcPr>
          <w:p w14:paraId="22D90A22" w14:textId="755722EF" w:rsidR="00C53AC3" w:rsidRPr="002B48BE" w:rsidRDefault="00A6065A" w:rsidP="00130BD8">
            <w:pPr>
              <w:pStyle w:val="TableBody"/>
              <w:jc w:val="center"/>
              <w:rPr>
                <w:rFonts w:cs="Arial"/>
                <w:b/>
                <w:bCs/>
              </w:rPr>
            </w:pPr>
            <w:r>
              <w:rPr>
                <w:rFonts w:cs="Arial"/>
                <w:b/>
                <w:bCs/>
              </w:rPr>
              <w:t>$</w:t>
            </w:r>
            <w:r w:rsidR="00C53AC3" w:rsidRPr="002B48BE">
              <w:rPr>
                <w:rFonts w:cs="Arial"/>
                <w:b/>
                <w:bCs/>
              </w:rPr>
              <w:t>240.5</w:t>
            </w:r>
          </w:p>
        </w:tc>
        <w:tc>
          <w:tcPr>
            <w:tcW w:w="1454" w:type="pct"/>
            <w:gridSpan w:val="2"/>
            <w:shd w:val="clear" w:color="auto" w:fill="A6A6A6" w:themeFill="background1" w:themeFillShade="A6"/>
            <w:vAlign w:val="center"/>
          </w:tcPr>
          <w:p w14:paraId="7B6687D3" w14:textId="77777777" w:rsidR="00C53AC3" w:rsidRPr="002B48BE" w:rsidRDefault="00C53AC3" w:rsidP="00130BD8">
            <w:pPr>
              <w:pStyle w:val="TableBody"/>
              <w:jc w:val="center"/>
              <w:rPr>
                <w:rFonts w:cs="Arial"/>
                <w:b/>
                <w:bCs/>
              </w:rPr>
            </w:pPr>
            <w:r w:rsidRPr="002B48BE">
              <w:rPr>
                <w:rFonts w:cs="Arial"/>
                <w:b/>
                <w:bCs/>
              </w:rPr>
              <w:t>$249.7</w:t>
            </w:r>
          </w:p>
        </w:tc>
      </w:tr>
      <w:tr w:rsidR="00C53AC3" w:rsidRPr="000A53C0" w14:paraId="5FB814F9" w14:textId="77777777" w:rsidTr="00130BD8">
        <w:trPr>
          <w:trHeight w:val="355"/>
        </w:trPr>
        <w:tc>
          <w:tcPr>
            <w:tcW w:w="636" w:type="pct"/>
            <w:shd w:val="clear" w:color="auto" w:fill="F9C3C5" w:themeFill="accent6" w:themeFillTint="33"/>
            <w:vAlign w:val="center"/>
          </w:tcPr>
          <w:p w14:paraId="66F3D476" w14:textId="77777777" w:rsidR="00C53AC3" w:rsidRPr="000A53C0" w:rsidRDefault="00C53AC3" w:rsidP="0018152C">
            <w:pPr>
              <w:pStyle w:val="TableBody"/>
              <w:rPr>
                <w:rFonts w:cs="Arial"/>
              </w:rPr>
            </w:pPr>
            <w:r w:rsidRPr="000A53C0">
              <w:rPr>
                <w:rFonts w:cs="Arial"/>
              </w:rPr>
              <w:t>% Total option costs</w:t>
            </w:r>
          </w:p>
        </w:tc>
        <w:tc>
          <w:tcPr>
            <w:tcW w:w="794" w:type="pct"/>
            <w:shd w:val="clear" w:color="auto" w:fill="F9C3C5" w:themeFill="accent6" w:themeFillTint="33"/>
            <w:vAlign w:val="center"/>
          </w:tcPr>
          <w:p w14:paraId="332A96F9" w14:textId="77777777" w:rsidR="00C53AC3" w:rsidRPr="000A53C0" w:rsidRDefault="00C53AC3" w:rsidP="00130BD8">
            <w:pPr>
              <w:pStyle w:val="TableBody"/>
              <w:jc w:val="center"/>
              <w:rPr>
                <w:rFonts w:cs="Arial"/>
              </w:rPr>
            </w:pPr>
            <w:r w:rsidRPr="000A53C0">
              <w:rPr>
                <w:rFonts w:cs="Arial"/>
              </w:rPr>
              <w:t>96%</w:t>
            </w:r>
          </w:p>
        </w:tc>
        <w:tc>
          <w:tcPr>
            <w:tcW w:w="661" w:type="pct"/>
            <w:shd w:val="clear" w:color="auto" w:fill="F9C3C5" w:themeFill="accent6" w:themeFillTint="33"/>
            <w:vAlign w:val="center"/>
          </w:tcPr>
          <w:p w14:paraId="03EE9BB6" w14:textId="77777777" w:rsidR="00C53AC3" w:rsidRPr="000A53C0" w:rsidRDefault="00C53AC3" w:rsidP="00130BD8">
            <w:pPr>
              <w:pStyle w:val="TableBody"/>
              <w:jc w:val="center"/>
              <w:rPr>
                <w:rFonts w:cs="Arial"/>
              </w:rPr>
            </w:pPr>
            <w:r w:rsidRPr="000A53C0">
              <w:rPr>
                <w:rFonts w:cs="Arial"/>
              </w:rPr>
              <w:t>4%</w:t>
            </w:r>
          </w:p>
        </w:tc>
        <w:tc>
          <w:tcPr>
            <w:tcW w:w="794" w:type="pct"/>
            <w:shd w:val="clear" w:color="auto" w:fill="F9C3C5" w:themeFill="accent6" w:themeFillTint="33"/>
            <w:vAlign w:val="center"/>
          </w:tcPr>
          <w:p w14:paraId="73D85301" w14:textId="77777777" w:rsidR="00C53AC3" w:rsidRPr="000A53C0" w:rsidRDefault="00C53AC3" w:rsidP="00130BD8">
            <w:pPr>
              <w:pStyle w:val="TableBody"/>
              <w:jc w:val="center"/>
              <w:rPr>
                <w:rFonts w:cs="Arial"/>
              </w:rPr>
            </w:pPr>
            <w:r w:rsidRPr="000A53C0">
              <w:rPr>
                <w:rFonts w:cs="Arial"/>
              </w:rPr>
              <w:t>100%</w:t>
            </w:r>
          </w:p>
        </w:tc>
        <w:tc>
          <w:tcPr>
            <w:tcW w:w="661" w:type="pct"/>
            <w:shd w:val="clear" w:color="auto" w:fill="F9C3C5" w:themeFill="accent6" w:themeFillTint="33"/>
            <w:vAlign w:val="center"/>
          </w:tcPr>
          <w:p w14:paraId="4CF54EEA" w14:textId="77777777" w:rsidR="00C53AC3" w:rsidRPr="000A53C0" w:rsidRDefault="00C53AC3" w:rsidP="00130BD8">
            <w:pPr>
              <w:pStyle w:val="TableBody"/>
              <w:jc w:val="center"/>
              <w:rPr>
                <w:rFonts w:cs="Arial"/>
              </w:rPr>
            </w:pPr>
            <w:r w:rsidRPr="000A53C0">
              <w:rPr>
                <w:rFonts w:cs="Arial"/>
              </w:rPr>
              <w:t>0%</w:t>
            </w:r>
          </w:p>
        </w:tc>
        <w:tc>
          <w:tcPr>
            <w:tcW w:w="794" w:type="pct"/>
            <w:shd w:val="clear" w:color="auto" w:fill="F9C3C5" w:themeFill="accent6" w:themeFillTint="33"/>
            <w:vAlign w:val="center"/>
          </w:tcPr>
          <w:p w14:paraId="79E14317" w14:textId="77777777" w:rsidR="00C53AC3" w:rsidRPr="000A53C0" w:rsidRDefault="00C53AC3" w:rsidP="00130BD8">
            <w:pPr>
              <w:pStyle w:val="TableBody"/>
              <w:jc w:val="center"/>
              <w:rPr>
                <w:rFonts w:cs="Arial"/>
              </w:rPr>
            </w:pPr>
            <w:r w:rsidRPr="000A53C0">
              <w:rPr>
                <w:rFonts w:cs="Arial"/>
              </w:rPr>
              <w:t>96%</w:t>
            </w:r>
          </w:p>
        </w:tc>
        <w:tc>
          <w:tcPr>
            <w:tcW w:w="660" w:type="pct"/>
            <w:shd w:val="clear" w:color="auto" w:fill="F9C3C5" w:themeFill="accent6" w:themeFillTint="33"/>
            <w:vAlign w:val="center"/>
          </w:tcPr>
          <w:p w14:paraId="51D7D2A0" w14:textId="77777777" w:rsidR="00C53AC3" w:rsidRPr="000A53C0" w:rsidRDefault="00C53AC3" w:rsidP="00130BD8">
            <w:pPr>
              <w:pStyle w:val="TableBody"/>
              <w:jc w:val="center"/>
              <w:rPr>
                <w:rFonts w:cs="Arial"/>
              </w:rPr>
            </w:pPr>
            <w:r w:rsidRPr="000A53C0">
              <w:rPr>
                <w:rFonts w:cs="Arial"/>
              </w:rPr>
              <w:t>4%</w:t>
            </w:r>
          </w:p>
        </w:tc>
      </w:tr>
    </w:tbl>
    <w:p w14:paraId="322FFA90" w14:textId="41DA8F5E" w:rsidR="0045589C" w:rsidRPr="000A53C0" w:rsidRDefault="0045589C" w:rsidP="0018152C">
      <w:pPr>
        <w:spacing w:after="0" w:line="240" w:lineRule="auto"/>
        <w:textAlignment w:val="baseline"/>
        <w:rPr>
          <w:rFonts w:eastAsia="Times New Roman" w:cs="Arial"/>
          <w:lang w:eastAsia="en-AU"/>
        </w:rPr>
      </w:pPr>
    </w:p>
    <w:p w14:paraId="0B666914" w14:textId="7DBCD55B" w:rsidR="00E707F4" w:rsidRPr="000A53C0" w:rsidRDefault="00722409" w:rsidP="00514CCB">
      <w:pPr>
        <w:pStyle w:val="Heading3"/>
      </w:pPr>
      <w:r w:rsidRPr="000A53C0">
        <w:t>Breakeven analysis</w:t>
      </w:r>
    </w:p>
    <w:p w14:paraId="0A4C2C7F" w14:textId="6645D0BC" w:rsidR="001C2274" w:rsidRPr="000A53C0" w:rsidRDefault="001C2274" w:rsidP="0018152C">
      <w:pPr>
        <w:pStyle w:val="IAListbullet2"/>
        <w:numPr>
          <w:ilvl w:val="0"/>
          <w:numId w:val="0"/>
        </w:numPr>
        <w:rPr>
          <w:rFonts w:cs="Arial"/>
        </w:rPr>
      </w:pPr>
      <w:r w:rsidRPr="000A53C0">
        <w:rPr>
          <w:rFonts w:cs="Arial"/>
        </w:rPr>
        <w:t xml:space="preserve">Breakeven analysis </w:t>
      </w:r>
      <w:r w:rsidR="00BC40AD" w:rsidRPr="000A53C0">
        <w:rPr>
          <w:rFonts w:cs="Arial"/>
        </w:rPr>
        <w:t xml:space="preserve">estimates the number of silicosis cases which would </w:t>
      </w:r>
      <w:r w:rsidR="00915BEE" w:rsidRPr="000A53C0">
        <w:rPr>
          <w:rFonts w:cs="Arial"/>
        </w:rPr>
        <w:t xml:space="preserve">need to be </w:t>
      </w:r>
      <w:r w:rsidR="008E2845" w:rsidRPr="000A53C0">
        <w:rPr>
          <w:rFonts w:cs="Arial"/>
        </w:rPr>
        <w:t xml:space="preserve">averted </w:t>
      </w:r>
      <w:r w:rsidR="00915BEE" w:rsidRPr="000A53C0">
        <w:rPr>
          <w:rFonts w:cs="Arial"/>
        </w:rPr>
        <w:t>by each prohibition option to offset the costs of the option</w:t>
      </w:r>
      <w:r w:rsidR="005A0B2D" w:rsidRPr="000A53C0">
        <w:rPr>
          <w:rFonts w:cs="Arial"/>
        </w:rPr>
        <w:t xml:space="preserve">. </w:t>
      </w:r>
      <w:r w:rsidR="0082251E" w:rsidRPr="000A53C0">
        <w:rPr>
          <w:rFonts w:cs="Arial"/>
        </w:rPr>
        <w:t xml:space="preserve">It does not measure the relative benefits of each option. </w:t>
      </w:r>
      <w:r w:rsidR="005A0B2D" w:rsidRPr="000A53C0">
        <w:rPr>
          <w:rFonts w:cs="Arial"/>
        </w:rPr>
        <w:t xml:space="preserve">The </w:t>
      </w:r>
      <w:r w:rsidR="00B16AA9" w:rsidRPr="000A53C0">
        <w:rPr>
          <w:rFonts w:cs="Arial"/>
        </w:rPr>
        <w:t>breakeven point</w:t>
      </w:r>
      <w:r w:rsidR="005A0B2D" w:rsidRPr="000A53C0">
        <w:rPr>
          <w:rFonts w:cs="Arial"/>
        </w:rPr>
        <w:t xml:space="preserve"> </w:t>
      </w:r>
      <w:r w:rsidR="00B16AA9" w:rsidRPr="000A53C0">
        <w:rPr>
          <w:rFonts w:cs="Arial"/>
        </w:rPr>
        <w:t>was determined by dividing the net present cost over the appraisal period by the $4.</w:t>
      </w:r>
      <w:r w:rsidR="00931031" w:rsidRPr="000A53C0">
        <w:rPr>
          <w:rFonts w:cs="Arial"/>
        </w:rPr>
        <w:t>9</w:t>
      </w:r>
      <w:r w:rsidR="00173160" w:rsidRPr="000A53C0">
        <w:rPr>
          <w:rFonts w:cs="Arial"/>
        </w:rPr>
        <w:t xml:space="preserve"> </w:t>
      </w:r>
      <w:r w:rsidR="00B16AA9" w:rsidRPr="000A53C0">
        <w:rPr>
          <w:rFonts w:cs="Arial"/>
        </w:rPr>
        <w:t xml:space="preserve">million expected value of a life saved and illness avoided for silicosis. </w:t>
      </w:r>
      <w:r w:rsidR="00175A56" w:rsidRPr="000A53C0">
        <w:rPr>
          <w:rFonts w:cs="Arial"/>
        </w:rPr>
        <w:t xml:space="preserve">In total, </w:t>
      </w:r>
      <w:r w:rsidR="000C002E" w:rsidRPr="000A53C0">
        <w:rPr>
          <w:rFonts w:cs="Arial"/>
        </w:rPr>
        <w:t>depending on the option either</w:t>
      </w:r>
      <w:r w:rsidR="00175A56" w:rsidRPr="000A53C0">
        <w:rPr>
          <w:rFonts w:cs="Arial"/>
        </w:rPr>
        <w:t xml:space="preserve"> </w:t>
      </w:r>
      <w:r w:rsidR="00931031" w:rsidRPr="000A53C0">
        <w:rPr>
          <w:rFonts w:cs="Arial"/>
        </w:rPr>
        <w:t>49</w:t>
      </w:r>
      <w:r w:rsidR="00605624" w:rsidRPr="000A53C0">
        <w:rPr>
          <w:rFonts w:cs="Arial"/>
        </w:rPr>
        <w:t xml:space="preserve"> </w:t>
      </w:r>
      <w:r w:rsidR="000C002E" w:rsidRPr="000A53C0">
        <w:rPr>
          <w:rFonts w:cs="Arial"/>
        </w:rPr>
        <w:t xml:space="preserve">or </w:t>
      </w:r>
      <w:r w:rsidR="00605624" w:rsidRPr="000A53C0">
        <w:rPr>
          <w:rFonts w:cs="Arial"/>
        </w:rPr>
        <w:t>5</w:t>
      </w:r>
      <w:r w:rsidR="00931031" w:rsidRPr="000A53C0">
        <w:rPr>
          <w:rFonts w:cs="Arial"/>
        </w:rPr>
        <w:t>1</w:t>
      </w:r>
      <w:r w:rsidR="00605624" w:rsidRPr="000A53C0">
        <w:rPr>
          <w:rFonts w:cs="Arial"/>
        </w:rPr>
        <w:t xml:space="preserve"> </w:t>
      </w:r>
      <w:r w:rsidR="00175A56" w:rsidRPr="000A53C0">
        <w:rPr>
          <w:rFonts w:cs="Arial"/>
        </w:rPr>
        <w:t xml:space="preserve">cases would need to be averted for the measures to </w:t>
      </w:r>
      <w:r w:rsidR="00D83439" w:rsidRPr="000A53C0">
        <w:rPr>
          <w:rFonts w:cs="Arial"/>
        </w:rPr>
        <w:t>offset the costs</w:t>
      </w:r>
      <w:r w:rsidR="008F18B6" w:rsidRPr="000A53C0">
        <w:rPr>
          <w:rFonts w:cs="Arial"/>
        </w:rPr>
        <w:t xml:space="preserve">. </w:t>
      </w:r>
      <w:r w:rsidR="00C65BE5" w:rsidRPr="000A53C0">
        <w:rPr>
          <w:rFonts w:cs="Arial"/>
        </w:rPr>
        <w:t xml:space="preserve">The small difference in number of cases </w:t>
      </w:r>
      <w:r w:rsidR="00E5436E" w:rsidRPr="000A53C0">
        <w:rPr>
          <w:rFonts w:cs="Arial"/>
        </w:rPr>
        <w:t>that would need to be averted</w:t>
      </w:r>
      <w:r w:rsidR="00C65BE5" w:rsidRPr="000A53C0">
        <w:rPr>
          <w:rFonts w:cs="Arial"/>
        </w:rPr>
        <w:t xml:space="preserve"> </w:t>
      </w:r>
      <w:r w:rsidR="00C539C2" w:rsidRPr="000A53C0">
        <w:rPr>
          <w:rFonts w:cs="Arial"/>
        </w:rPr>
        <w:t xml:space="preserve">between the options </w:t>
      </w:r>
      <w:r w:rsidR="00CD0D75" w:rsidRPr="000A53C0">
        <w:rPr>
          <w:rFonts w:cs="Arial"/>
        </w:rPr>
        <w:t xml:space="preserve">is </w:t>
      </w:r>
      <w:r w:rsidR="008E2845" w:rsidRPr="000A53C0">
        <w:rPr>
          <w:rFonts w:cs="Arial"/>
        </w:rPr>
        <w:t>because</w:t>
      </w:r>
      <w:r w:rsidR="00217410" w:rsidRPr="000A53C0">
        <w:rPr>
          <w:rFonts w:cs="Arial"/>
        </w:rPr>
        <w:t xml:space="preserve"> each option has a common licensing framework for work with legacy products</w:t>
      </w:r>
      <w:r w:rsidR="005C6E3C" w:rsidRPr="000A53C0">
        <w:rPr>
          <w:rFonts w:cs="Arial"/>
        </w:rPr>
        <w:t xml:space="preserve">, which </w:t>
      </w:r>
      <w:r w:rsidR="00432CA8" w:rsidRPr="000A53C0">
        <w:rPr>
          <w:rFonts w:cs="Arial"/>
        </w:rPr>
        <w:t xml:space="preserve">is </w:t>
      </w:r>
      <w:r w:rsidR="008C01A3" w:rsidRPr="000A53C0">
        <w:rPr>
          <w:rFonts w:cs="Arial"/>
        </w:rPr>
        <w:t>either</w:t>
      </w:r>
      <w:r w:rsidR="00CC689A" w:rsidRPr="000A53C0">
        <w:rPr>
          <w:rFonts w:cs="Arial"/>
        </w:rPr>
        <w:t xml:space="preserve"> </w:t>
      </w:r>
      <w:r w:rsidR="00F338C4" w:rsidRPr="000A53C0">
        <w:rPr>
          <w:rFonts w:cs="Arial"/>
        </w:rPr>
        <w:t xml:space="preserve">100% </w:t>
      </w:r>
      <w:r w:rsidR="00CC689A" w:rsidRPr="000A53C0">
        <w:rPr>
          <w:rFonts w:cs="Arial"/>
        </w:rPr>
        <w:t>(</w:t>
      </w:r>
      <w:r w:rsidR="001E43AB">
        <w:rPr>
          <w:rFonts w:cs="Arial"/>
        </w:rPr>
        <w:t>O</w:t>
      </w:r>
      <w:r w:rsidR="008C01A3" w:rsidRPr="000A53C0">
        <w:rPr>
          <w:rFonts w:cs="Arial"/>
        </w:rPr>
        <w:t xml:space="preserve">ption 2) </w:t>
      </w:r>
      <w:r w:rsidR="00F338C4" w:rsidRPr="000A53C0">
        <w:rPr>
          <w:rFonts w:cs="Arial"/>
        </w:rPr>
        <w:t>or 96%</w:t>
      </w:r>
      <w:r w:rsidR="00CC689A" w:rsidRPr="000A53C0">
        <w:rPr>
          <w:rFonts w:cs="Arial"/>
        </w:rPr>
        <w:t xml:space="preserve"> (</w:t>
      </w:r>
      <w:r w:rsidR="00D57919">
        <w:rPr>
          <w:rFonts w:cs="Arial"/>
        </w:rPr>
        <w:t>O</w:t>
      </w:r>
      <w:r w:rsidR="008C01A3" w:rsidRPr="000A53C0">
        <w:rPr>
          <w:rFonts w:cs="Arial"/>
        </w:rPr>
        <w:t>ptions 1 and 3</w:t>
      </w:r>
      <w:r w:rsidR="00CC689A" w:rsidRPr="000A53C0">
        <w:rPr>
          <w:rFonts w:cs="Arial"/>
        </w:rPr>
        <w:t xml:space="preserve">) of the </w:t>
      </w:r>
      <w:r w:rsidR="0082631A" w:rsidRPr="000A53C0">
        <w:rPr>
          <w:rFonts w:cs="Arial"/>
        </w:rPr>
        <w:t>total</w:t>
      </w:r>
      <w:r w:rsidR="00CC689A" w:rsidRPr="000A53C0">
        <w:rPr>
          <w:rFonts w:cs="Arial"/>
        </w:rPr>
        <w:t xml:space="preserve"> cost.</w:t>
      </w:r>
      <w:r w:rsidR="008A22AA" w:rsidRPr="000A53C0">
        <w:rPr>
          <w:rFonts w:cs="Arial"/>
        </w:rPr>
        <w:t xml:space="preserve"> </w:t>
      </w:r>
    </w:p>
    <w:p w14:paraId="17199C15" w14:textId="7BBD7BA8" w:rsidR="00E707F4" w:rsidRPr="000A53C0" w:rsidRDefault="001308C9" w:rsidP="0018152C">
      <w:pPr>
        <w:pStyle w:val="Caption"/>
        <w:rPr>
          <w:rFonts w:cs="Arial"/>
        </w:rPr>
      </w:pPr>
      <w:r w:rsidRPr="00DE4B90">
        <w:rPr>
          <w:rFonts w:cs="Arial"/>
          <w:b/>
          <w:bCs/>
        </w:rPr>
        <w:t xml:space="preserve">Table </w:t>
      </w:r>
      <w:r w:rsidRPr="00DE4B90">
        <w:rPr>
          <w:rFonts w:cs="Arial"/>
          <w:b/>
          <w:bCs/>
        </w:rPr>
        <w:fldChar w:fldCharType="begin"/>
      </w:r>
      <w:r w:rsidRPr="00DE4B90">
        <w:rPr>
          <w:rFonts w:cs="Arial"/>
          <w:b/>
          <w:bCs/>
        </w:rPr>
        <w:instrText xml:space="preserve"> SEQ Table \* ARABIC </w:instrText>
      </w:r>
      <w:r w:rsidRPr="00DE4B90">
        <w:rPr>
          <w:rFonts w:cs="Arial"/>
          <w:b/>
          <w:bCs/>
        </w:rPr>
        <w:fldChar w:fldCharType="separate"/>
      </w:r>
      <w:r w:rsidR="00D16271">
        <w:rPr>
          <w:rFonts w:cs="Arial"/>
          <w:b/>
          <w:bCs/>
          <w:noProof/>
        </w:rPr>
        <w:t>2</w:t>
      </w:r>
      <w:r w:rsidRPr="00DE4B90">
        <w:rPr>
          <w:rFonts w:cs="Arial"/>
          <w:b/>
          <w:bCs/>
        </w:rPr>
        <w:fldChar w:fldCharType="end"/>
      </w:r>
      <w:r w:rsidRPr="000A53C0">
        <w:rPr>
          <w:rFonts w:cs="Arial"/>
        </w:rPr>
        <w:t xml:space="preserve"> Estimated breakeven analysis results over appraisal period </w:t>
      </w:r>
    </w:p>
    <w:tbl>
      <w:tblPr>
        <w:tblStyle w:val="TableGrid"/>
        <w:tblW w:w="29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1278"/>
        <w:gridCol w:w="1701"/>
        <w:gridCol w:w="2974"/>
      </w:tblGrid>
      <w:tr w:rsidR="005779DD" w:rsidRPr="000A53C0" w14:paraId="7EBD149D" w14:textId="77777777" w:rsidTr="00DE4B90">
        <w:trPr>
          <w:trHeight w:val="104"/>
          <w:tblHeader/>
        </w:trPr>
        <w:tc>
          <w:tcPr>
            <w:tcW w:w="1073" w:type="pct"/>
            <w:shd w:val="clear" w:color="auto" w:fill="E81D32"/>
            <w:vAlign w:val="center"/>
            <w:hideMark/>
          </w:tcPr>
          <w:p w14:paraId="7EE48054" w14:textId="77777777" w:rsidR="00E707F4" w:rsidRPr="00DE4B90" w:rsidRDefault="00E707F4" w:rsidP="0018152C">
            <w:pPr>
              <w:pStyle w:val="TableHeading"/>
              <w:rPr>
                <w:rFonts w:ascii="Arial" w:hAnsi="Arial" w:cs="Arial"/>
                <w:color w:val="FFFFFF" w:themeColor="background1"/>
              </w:rPr>
            </w:pPr>
            <w:r w:rsidRPr="00DE4B90">
              <w:rPr>
                <w:rFonts w:ascii="Arial" w:hAnsi="Arial" w:cs="Arial"/>
                <w:color w:val="FFFFFF" w:themeColor="background1"/>
              </w:rPr>
              <w:t>Option</w:t>
            </w:r>
          </w:p>
        </w:tc>
        <w:tc>
          <w:tcPr>
            <w:tcW w:w="1429" w:type="pct"/>
            <w:shd w:val="clear" w:color="auto" w:fill="E81D32"/>
            <w:vAlign w:val="center"/>
          </w:tcPr>
          <w:p w14:paraId="1F1C2448" w14:textId="62C05607" w:rsidR="00E707F4" w:rsidRPr="00DE4B90" w:rsidRDefault="00B27F96" w:rsidP="00DE4B90">
            <w:pPr>
              <w:pStyle w:val="TableHeading"/>
              <w:jc w:val="center"/>
              <w:rPr>
                <w:rFonts w:ascii="Arial" w:hAnsi="Arial" w:cs="Arial"/>
                <w:color w:val="FFFFFF" w:themeColor="background1"/>
              </w:rPr>
            </w:pPr>
            <w:r w:rsidRPr="00DE4B90">
              <w:rPr>
                <w:rFonts w:ascii="Arial" w:hAnsi="Arial" w:cs="Arial"/>
                <w:color w:val="FFFFFF" w:themeColor="background1"/>
              </w:rPr>
              <w:t>Total cost ($m)</w:t>
            </w:r>
          </w:p>
        </w:tc>
        <w:tc>
          <w:tcPr>
            <w:tcW w:w="2499" w:type="pct"/>
            <w:shd w:val="clear" w:color="auto" w:fill="E81D32"/>
          </w:tcPr>
          <w:p w14:paraId="15A8AB1C" w14:textId="544DE164" w:rsidR="00E707F4" w:rsidRPr="00DE4B90" w:rsidRDefault="00E707F4" w:rsidP="0018152C">
            <w:pPr>
              <w:pStyle w:val="TableHeading"/>
              <w:jc w:val="center"/>
              <w:rPr>
                <w:rFonts w:ascii="Arial" w:hAnsi="Arial" w:cs="Arial"/>
                <w:color w:val="FFFFFF" w:themeColor="background1"/>
              </w:rPr>
            </w:pPr>
            <w:r w:rsidRPr="00DE4B90">
              <w:rPr>
                <w:rFonts w:ascii="Arial" w:hAnsi="Arial" w:cs="Arial"/>
                <w:color w:val="FFFFFF" w:themeColor="background1"/>
              </w:rPr>
              <w:t xml:space="preserve">Estimated number of cases prevented required to breakeven over the period </w:t>
            </w:r>
            <w:r w:rsidR="00185CF5" w:rsidRPr="00DE4B90">
              <w:rPr>
                <w:rFonts w:ascii="Arial" w:hAnsi="Arial" w:cs="Arial"/>
                <w:color w:val="FFFFFF" w:themeColor="background1"/>
              </w:rPr>
              <w:t>–</w:t>
            </w:r>
            <w:r w:rsidRPr="00DE4B90">
              <w:rPr>
                <w:rFonts w:ascii="Arial" w:hAnsi="Arial" w:cs="Arial"/>
                <w:color w:val="FFFFFF" w:themeColor="background1"/>
              </w:rPr>
              <w:t xml:space="preserve"> total</w:t>
            </w:r>
          </w:p>
        </w:tc>
      </w:tr>
      <w:tr w:rsidR="00E707F4" w:rsidRPr="000A53C0" w14:paraId="6771F107" w14:textId="77777777" w:rsidTr="005779DD">
        <w:trPr>
          <w:trHeight w:val="196"/>
        </w:trPr>
        <w:tc>
          <w:tcPr>
            <w:tcW w:w="1073" w:type="pct"/>
            <w:tcBorders>
              <w:top w:val="nil"/>
              <w:left w:val="nil"/>
              <w:bottom w:val="single" w:sz="8" w:space="0" w:color="D1D1D1" w:themeColor="background2"/>
              <w:right w:val="nil"/>
            </w:tcBorders>
            <w:hideMark/>
          </w:tcPr>
          <w:p w14:paraId="36CCD1C2" w14:textId="77777777" w:rsidR="00E707F4" w:rsidRPr="000A53C0" w:rsidRDefault="00E707F4" w:rsidP="0018152C">
            <w:pPr>
              <w:pStyle w:val="TableBody"/>
              <w:rPr>
                <w:rFonts w:cs="Arial"/>
              </w:rPr>
            </w:pPr>
            <w:r w:rsidRPr="000A53C0">
              <w:rPr>
                <w:rFonts w:cs="Arial"/>
              </w:rPr>
              <w:t>Option 1</w:t>
            </w:r>
          </w:p>
        </w:tc>
        <w:tc>
          <w:tcPr>
            <w:tcW w:w="1429" w:type="pct"/>
            <w:tcBorders>
              <w:top w:val="nil"/>
              <w:left w:val="nil"/>
              <w:right w:val="nil"/>
            </w:tcBorders>
          </w:tcPr>
          <w:p w14:paraId="6A97C9BA" w14:textId="6B96B7F0" w:rsidR="00E707F4" w:rsidRPr="000A53C0" w:rsidRDefault="00775CA0" w:rsidP="0018152C">
            <w:pPr>
              <w:pStyle w:val="TableBody"/>
              <w:jc w:val="center"/>
              <w:rPr>
                <w:rFonts w:cs="Arial"/>
              </w:rPr>
            </w:pPr>
            <w:r>
              <w:rPr>
                <w:rFonts w:cs="Arial"/>
              </w:rPr>
              <w:t>$</w:t>
            </w:r>
            <w:r w:rsidR="00E707F4" w:rsidRPr="000A53C0">
              <w:rPr>
                <w:rFonts w:cs="Arial"/>
              </w:rPr>
              <w:t>251.1</w:t>
            </w:r>
          </w:p>
        </w:tc>
        <w:tc>
          <w:tcPr>
            <w:tcW w:w="2499" w:type="pct"/>
            <w:tcBorders>
              <w:top w:val="nil"/>
              <w:left w:val="nil"/>
              <w:right w:val="nil"/>
            </w:tcBorders>
          </w:tcPr>
          <w:p w14:paraId="5C22E4FF" w14:textId="1F65AE1E" w:rsidR="00E707F4" w:rsidRPr="000A53C0" w:rsidRDefault="00931031" w:rsidP="0018152C">
            <w:pPr>
              <w:pStyle w:val="TableBody"/>
              <w:jc w:val="center"/>
              <w:rPr>
                <w:rFonts w:cs="Arial"/>
              </w:rPr>
            </w:pPr>
            <w:r w:rsidRPr="000A53C0">
              <w:rPr>
                <w:rFonts w:cs="Arial"/>
              </w:rPr>
              <w:t>51</w:t>
            </w:r>
          </w:p>
        </w:tc>
      </w:tr>
      <w:tr w:rsidR="00E707F4" w:rsidRPr="000A53C0" w14:paraId="616879DE" w14:textId="77777777" w:rsidTr="005779DD">
        <w:trPr>
          <w:trHeight w:val="196"/>
        </w:trPr>
        <w:tc>
          <w:tcPr>
            <w:tcW w:w="1073" w:type="pct"/>
            <w:tcBorders>
              <w:top w:val="single" w:sz="8" w:space="0" w:color="D1D1D1" w:themeColor="background2"/>
              <w:left w:val="nil"/>
              <w:bottom w:val="single" w:sz="8" w:space="0" w:color="D1D1D1" w:themeColor="background2"/>
              <w:right w:val="nil"/>
            </w:tcBorders>
            <w:hideMark/>
          </w:tcPr>
          <w:p w14:paraId="1938800D" w14:textId="77777777" w:rsidR="00E707F4" w:rsidRPr="000A53C0" w:rsidRDefault="00E707F4" w:rsidP="0018152C">
            <w:pPr>
              <w:pStyle w:val="TableBody"/>
              <w:rPr>
                <w:rFonts w:cs="Arial"/>
              </w:rPr>
            </w:pPr>
            <w:r w:rsidRPr="000A53C0">
              <w:rPr>
                <w:rFonts w:cs="Arial"/>
              </w:rPr>
              <w:t>Option 2</w:t>
            </w:r>
          </w:p>
        </w:tc>
        <w:tc>
          <w:tcPr>
            <w:tcW w:w="1429" w:type="pct"/>
            <w:tcBorders>
              <w:left w:val="nil"/>
              <w:right w:val="nil"/>
            </w:tcBorders>
          </w:tcPr>
          <w:p w14:paraId="2795296C" w14:textId="5CE37DE5" w:rsidR="00E707F4" w:rsidRPr="000A53C0" w:rsidRDefault="00775CA0" w:rsidP="0018152C">
            <w:pPr>
              <w:pStyle w:val="TableBody"/>
              <w:jc w:val="center"/>
              <w:rPr>
                <w:rFonts w:cs="Arial"/>
              </w:rPr>
            </w:pPr>
            <w:r>
              <w:rPr>
                <w:rFonts w:cs="Arial"/>
              </w:rPr>
              <w:t>$</w:t>
            </w:r>
            <w:r w:rsidR="00E707F4" w:rsidRPr="000A53C0">
              <w:rPr>
                <w:rFonts w:cs="Arial"/>
              </w:rPr>
              <w:t>240.5</w:t>
            </w:r>
          </w:p>
        </w:tc>
        <w:tc>
          <w:tcPr>
            <w:tcW w:w="2499" w:type="pct"/>
            <w:tcBorders>
              <w:left w:val="nil"/>
              <w:right w:val="nil"/>
            </w:tcBorders>
          </w:tcPr>
          <w:p w14:paraId="2062DEA4" w14:textId="1AD56501" w:rsidR="00E707F4" w:rsidRPr="000A53C0" w:rsidRDefault="00931031" w:rsidP="0018152C">
            <w:pPr>
              <w:pStyle w:val="TableBody"/>
              <w:jc w:val="center"/>
              <w:rPr>
                <w:rFonts w:cs="Arial"/>
              </w:rPr>
            </w:pPr>
            <w:r w:rsidRPr="000A53C0">
              <w:rPr>
                <w:rFonts w:cs="Arial"/>
              </w:rPr>
              <w:t>49</w:t>
            </w:r>
          </w:p>
        </w:tc>
      </w:tr>
      <w:tr w:rsidR="00E707F4" w:rsidRPr="000A53C0" w14:paraId="07B1B1E6" w14:textId="77777777" w:rsidTr="005779DD">
        <w:trPr>
          <w:trHeight w:val="196"/>
        </w:trPr>
        <w:tc>
          <w:tcPr>
            <w:tcW w:w="1073" w:type="pct"/>
            <w:tcBorders>
              <w:top w:val="single" w:sz="8" w:space="0" w:color="D1D1D1" w:themeColor="background2"/>
              <w:left w:val="nil"/>
              <w:bottom w:val="single" w:sz="8" w:space="0" w:color="D1D1D1" w:themeColor="background2"/>
              <w:right w:val="nil"/>
            </w:tcBorders>
            <w:hideMark/>
          </w:tcPr>
          <w:p w14:paraId="00181849" w14:textId="77777777" w:rsidR="00E707F4" w:rsidRPr="000A53C0" w:rsidRDefault="00E707F4" w:rsidP="0018152C">
            <w:pPr>
              <w:pStyle w:val="TableBody"/>
              <w:rPr>
                <w:rFonts w:cs="Arial"/>
              </w:rPr>
            </w:pPr>
            <w:r w:rsidRPr="000A53C0">
              <w:rPr>
                <w:rFonts w:cs="Arial"/>
              </w:rPr>
              <w:t>Option 3</w:t>
            </w:r>
          </w:p>
        </w:tc>
        <w:tc>
          <w:tcPr>
            <w:tcW w:w="1429" w:type="pct"/>
            <w:tcBorders>
              <w:left w:val="nil"/>
              <w:bottom w:val="single" w:sz="8" w:space="0" w:color="D1D1D1" w:themeColor="background2"/>
              <w:right w:val="nil"/>
            </w:tcBorders>
          </w:tcPr>
          <w:p w14:paraId="37686BCE" w14:textId="1E61B3CD" w:rsidR="00E707F4" w:rsidRPr="000A53C0" w:rsidRDefault="00775CA0" w:rsidP="0018152C">
            <w:pPr>
              <w:pStyle w:val="TableBody"/>
              <w:jc w:val="center"/>
              <w:rPr>
                <w:rFonts w:cs="Arial"/>
              </w:rPr>
            </w:pPr>
            <w:r>
              <w:rPr>
                <w:rFonts w:cs="Arial"/>
              </w:rPr>
              <w:t>$</w:t>
            </w:r>
            <w:r w:rsidR="00E707F4" w:rsidRPr="000A53C0">
              <w:rPr>
                <w:rFonts w:cs="Arial"/>
              </w:rPr>
              <w:t>249.7</w:t>
            </w:r>
          </w:p>
        </w:tc>
        <w:tc>
          <w:tcPr>
            <w:tcW w:w="2499" w:type="pct"/>
            <w:tcBorders>
              <w:left w:val="nil"/>
              <w:bottom w:val="single" w:sz="8" w:space="0" w:color="D1D1D1" w:themeColor="background2"/>
              <w:right w:val="nil"/>
            </w:tcBorders>
          </w:tcPr>
          <w:p w14:paraId="3BFC9C06" w14:textId="0790A25F" w:rsidR="00E707F4" w:rsidRPr="000A53C0" w:rsidRDefault="00931031" w:rsidP="0018152C">
            <w:pPr>
              <w:pStyle w:val="TableBody"/>
              <w:jc w:val="center"/>
              <w:rPr>
                <w:rFonts w:cs="Arial"/>
              </w:rPr>
            </w:pPr>
            <w:r w:rsidRPr="000A53C0">
              <w:rPr>
                <w:rFonts w:cs="Arial"/>
              </w:rPr>
              <w:t>51</w:t>
            </w:r>
          </w:p>
        </w:tc>
      </w:tr>
    </w:tbl>
    <w:p w14:paraId="75AE61F1" w14:textId="353EC407" w:rsidR="00333279" w:rsidRPr="000A53C0" w:rsidRDefault="00333279" w:rsidP="0018152C">
      <w:pPr>
        <w:pStyle w:val="IAListbullet2"/>
        <w:numPr>
          <w:ilvl w:val="0"/>
          <w:numId w:val="0"/>
        </w:numPr>
        <w:rPr>
          <w:rFonts w:cs="Arial"/>
        </w:rPr>
      </w:pPr>
    </w:p>
    <w:p w14:paraId="180C756B" w14:textId="7D5259B7" w:rsidR="00F64BC7" w:rsidRPr="000A53C0" w:rsidRDefault="00F64BC7" w:rsidP="00514CCB">
      <w:pPr>
        <w:pStyle w:val="Heading3"/>
      </w:pPr>
      <w:r w:rsidRPr="000A53C0">
        <w:t>Benefits</w:t>
      </w:r>
    </w:p>
    <w:p w14:paraId="43C75D58" w14:textId="6533B315" w:rsidR="00683BD2" w:rsidRPr="000A53C0" w:rsidRDefault="00F64BC7" w:rsidP="0018152C">
      <w:pPr>
        <w:spacing w:after="0" w:line="240" w:lineRule="auto"/>
        <w:textAlignment w:val="baseline"/>
        <w:rPr>
          <w:rFonts w:eastAsia="Times New Roman" w:cs="Arial"/>
          <w:color w:val="262626"/>
          <w:lang w:eastAsia="en-AU"/>
        </w:rPr>
      </w:pPr>
      <w:r w:rsidRPr="000A53C0">
        <w:rPr>
          <w:rFonts w:eastAsia="Times New Roman" w:cs="Arial"/>
          <w:color w:val="262626"/>
          <w:lang w:eastAsia="en-AU"/>
        </w:rPr>
        <w:t>Removing engineered stone as a source of RCS from the Australian market is expected to lead to a range of long</w:t>
      </w:r>
      <w:r w:rsidRPr="000A53C0">
        <w:rPr>
          <w:rFonts w:eastAsia="Times New Roman" w:cs="Arial"/>
          <w:color w:val="262626"/>
          <w:lang w:eastAsia="en-AU"/>
        </w:rPr>
        <w:noBreakHyphen/>
        <w:t xml:space="preserve">term benefits including reduced illness and death, increase quality of life for workers, and </w:t>
      </w:r>
      <w:r w:rsidRPr="000A53C0">
        <w:rPr>
          <w:rFonts w:eastAsia="Times New Roman" w:cs="Arial"/>
          <w:color w:val="262626"/>
          <w:lang w:eastAsia="en-AU"/>
        </w:rPr>
        <w:lastRenderedPageBreak/>
        <w:t xml:space="preserve">avoided health system costs and improved workplace productivity. </w:t>
      </w:r>
      <w:r w:rsidR="00F03763" w:rsidRPr="000A53C0">
        <w:rPr>
          <w:rFonts w:eastAsia="Times New Roman" w:cs="Arial"/>
          <w:color w:val="262626"/>
          <w:lang w:eastAsia="en-AU"/>
        </w:rPr>
        <w:t>There are</w:t>
      </w:r>
      <w:r w:rsidRPr="000A53C0">
        <w:rPr>
          <w:rFonts w:eastAsia="Times New Roman" w:cs="Arial"/>
          <w:color w:val="262626"/>
          <w:lang w:eastAsia="en-AU"/>
        </w:rPr>
        <w:t xml:space="preserve"> also benefits to workers’ families</w:t>
      </w:r>
      <w:r w:rsidR="00583DD2" w:rsidRPr="000A53C0">
        <w:rPr>
          <w:rFonts w:eastAsia="Times New Roman" w:cs="Arial"/>
          <w:color w:val="262626"/>
          <w:lang w:eastAsia="en-AU"/>
        </w:rPr>
        <w:t>, friends</w:t>
      </w:r>
      <w:r w:rsidRPr="000A53C0">
        <w:rPr>
          <w:rFonts w:eastAsia="Times New Roman" w:cs="Arial"/>
          <w:color w:val="262626"/>
          <w:lang w:eastAsia="en-AU"/>
        </w:rPr>
        <w:t xml:space="preserve"> and communities.</w:t>
      </w:r>
      <w:r w:rsidR="009D338E" w:rsidRPr="000A53C0">
        <w:rPr>
          <w:rFonts w:eastAsia="Times New Roman" w:cs="Arial"/>
          <w:color w:val="262626"/>
          <w:lang w:eastAsia="en-AU"/>
        </w:rPr>
        <w:t xml:space="preserve"> </w:t>
      </w:r>
    </w:p>
    <w:p w14:paraId="073B9E4B" w14:textId="77777777" w:rsidR="00683BD2" w:rsidRPr="000A53C0" w:rsidRDefault="00683BD2" w:rsidP="0018152C">
      <w:pPr>
        <w:spacing w:after="0" w:line="240" w:lineRule="auto"/>
        <w:textAlignment w:val="baseline"/>
        <w:rPr>
          <w:rFonts w:eastAsia="Times New Roman" w:cs="Arial"/>
          <w:color w:val="262626"/>
          <w:lang w:eastAsia="en-AU"/>
        </w:rPr>
      </w:pPr>
    </w:p>
    <w:p w14:paraId="619B42D2" w14:textId="1D94A486" w:rsidR="00F64BC7" w:rsidRPr="000A53C0" w:rsidRDefault="00683BD2" w:rsidP="0018152C">
      <w:pPr>
        <w:pStyle w:val="BodyText"/>
        <w:rPr>
          <w:rFonts w:cs="Arial"/>
          <w:lang w:eastAsia="en-AU"/>
        </w:rPr>
      </w:pPr>
      <w:r w:rsidRPr="000A53C0">
        <w:rPr>
          <w:rFonts w:cs="Arial"/>
        </w:rPr>
        <w:t xml:space="preserve">The extent to which these benefits are realised will depend on the option implemented. </w:t>
      </w:r>
      <w:r w:rsidR="0096396C" w:rsidRPr="000A53C0">
        <w:rPr>
          <w:rFonts w:cs="Arial"/>
        </w:rPr>
        <w:t>A prohibition on the use of all engineered stone (</w:t>
      </w:r>
      <w:r w:rsidR="002D497F">
        <w:rPr>
          <w:rFonts w:cs="Arial"/>
        </w:rPr>
        <w:t>O</w:t>
      </w:r>
      <w:r w:rsidR="0096396C" w:rsidRPr="000A53C0">
        <w:rPr>
          <w:rFonts w:cs="Arial"/>
        </w:rPr>
        <w:t xml:space="preserve">ption 1) </w:t>
      </w:r>
      <w:r w:rsidR="009172A8" w:rsidRPr="000A53C0">
        <w:rPr>
          <w:rFonts w:cs="Arial"/>
        </w:rPr>
        <w:t>will</w:t>
      </w:r>
      <w:r w:rsidR="0096396C" w:rsidRPr="000A53C0">
        <w:rPr>
          <w:rFonts w:cs="Arial"/>
        </w:rPr>
        <w:t xml:space="preserve"> have greater health benefits for workers compared to </w:t>
      </w:r>
      <w:r w:rsidR="004135C7" w:rsidRPr="000A53C0">
        <w:rPr>
          <w:rFonts w:cs="Arial"/>
        </w:rPr>
        <w:t>a prohibition on</w:t>
      </w:r>
      <w:r w:rsidR="000E5750" w:rsidRPr="000A53C0">
        <w:rPr>
          <w:rFonts w:cs="Arial"/>
        </w:rPr>
        <w:t xml:space="preserve"> the </w:t>
      </w:r>
      <w:r w:rsidR="004135C7" w:rsidRPr="000A53C0">
        <w:rPr>
          <w:rFonts w:cs="Arial"/>
        </w:rPr>
        <w:t>use</w:t>
      </w:r>
      <w:r w:rsidR="000E5750" w:rsidRPr="000A53C0">
        <w:rPr>
          <w:rFonts w:cs="Arial"/>
        </w:rPr>
        <w:t xml:space="preserve"> of </w:t>
      </w:r>
      <w:r w:rsidR="004135C7" w:rsidRPr="000A53C0">
        <w:rPr>
          <w:rFonts w:cs="Arial"/>
        </w:rPr>
        <w:t>engineered stone containing 40% or more crystalline silica (</w:t>
      </w:r>
      <w:r w:rsidR="002D497F">
        <w:rPr>
          <w:rFonts w:cs="Arial"/>
        </w:rPr>
        <w:t>O</w:t>
      </w:r>
      <w:r w:rsidR="0096396C" w:rsidRPr="000A53C0">
        <w:rPr>
          <w:rFonts w:cs="Arial"/>
        </w:rPr>
        <w:t>ptions 2 and 3</w:t>
      </w:r>
      <w:r w:rsidR="004135C7" w:rsidRPr="000A53C0">
        <w:rPr>
          <w:rFonts w:cs="Arial"/>
        </w:rPr>
        <w:t>)</w:t>
      </w:r>
      <w:r w:rsidR="0096396C" w:rsidRPr="000A53C0">
        <w:rPr>
          <w:rFonts w:cs="Arial"/>
        </w:rPr>
        <w:t xml:space="preserve">. </w:t>
      </w:r>
      <w:r w:rsidRPr="000A53C0">
        <w:rPr>
          <w:rFonts w:cs="Arial"/>
        </w:rPr>
        <w:t xml:space="preserve">There is no evidence to demonstrate that </w:t>
      </w:r>
      <w:r w:rsidR="00DB7159" w:rsidRPr="000A53C0">
        <w:rPr>
          <w:rFonts w:cs="Arial"/>
        </w:rPr>
        <w:t xml:space="preserve">prohibiting engineered stone </w:t>
      </w:r>
      <w:r w:rsidR="00465B5A" w:rsidRPr="000A53C0">
        <w:rPr>
          <w:rFonts w:cs="Arial"/>
        </w:rPr>
        <w:t>with</w:t>
      </w:r>
      <w:r w:rsidRPr="000A53C0">
        <w:rPr>
          <w:rFonts w:cs="Arial"/>
        </w:rPr>
        <w:t xml:space="preserve"> 40% </w:t>
      </w:r>
      <w:r w:rsidR="00465B5A" w:rsidRPr="000A53C0">
        <w:rPr>
          <w:rFonts w:cs="Arial"/>
        </w:rPr>
        <w:t>or more</w:t>
      </w:r>
      <w:r w:rsidRPr="000A53C0">
        <w:rPr>
          <w:rFonts w:cs="Arial"/>
        </w:rPr>
        <w:t xml:space="preserve"> crystalline silica </w:t>
      </w:r>
      <w:r w:rsidR="009532A7" w:rsidRPr="000A53C0">
        <w:rPr>
          <w:rFonts w:cs="Arial"/>
        </w:rPr>
        <w:t>(</w:t>
      </w:r>
      <w:r w:rsidR="00982649">
        <w:rPr>
          <w:rFonts w:cs="Arial"/>
        </w:rPr>
        <w:t>O</w:t>
      </w:r>
      <w:r w:rsidR="009532A7" w:rsidRPr="000A53C0">
        <w:rPr>
          <w:rFonts w:cs="Arial"/>
        </w:rPr>
        <w:t xml:space="preserve">ptions 2 and 3) </w:t>
      </w:r>
      <w:r w:rsidR="00465B5A" w:rsidRPr="000A53C0">
        <w:rPr>
          <w:rFonts w:cs="Arial"/>
        </w:rPr>
        <w:t>will</w:t>
      </w:r>
      <w:r w:rsidR="009A45C0" w:rsidRPr="000A53C0">
        <w:rPr>
          <w:rFonts w:cs="Arial"/>
        </w:rPr>
        <w:t xml:space="preserve"> </w:t>
      </w:r>
      <w:r w:rsidR="00E45768" w:rsidRPr="000A53C0">
        <w:rPr>
          <w:rFonts w:cs="Arial"/>
        </w:rPr>
        <w:t xml:space="preserve">prevent </w:t>
      </w:r>
      <w:r w:rsidRPr="000A53C0">
        <w:rPr>
          <w:rFonts w:cs="Arial"/>
        </w:rPr>
        <w:t xml:space="preserve">all </w:t>
      </w:r>
      <w:r w:rsidR="00694A0F" w:rsidRPr="000A53C0">
        <w:rPr>
          <w:rFonts w:cs="Arial"/>
        </w:rPr>
        <w:t xml:space="preserve">adverse </w:t>
      </w:r>
      <w:r w:rsidR="00E45768" w:rsidRPr="000A53C0">
        <w:rPr>
          <w:rFonts w:cs="Arial"/>
        </w:rPr>
        <w:t>health effects</w:t>
      </w:r>
      <w:r w:rsidR="00BE0B9E" w:rsidRPr="000A53C0">
        <w:rPr>
          <w:rFonts w:cs="Arial"/>
        </w:rPr>
        <w:t xml:space="preserve"> </w:t>
      </w:r>
      <w:r w:rsidR="00694A0F" w:rsidRPr="000A53C0">
        <w:rPr>
          <w:rFonts w:cs="Arial"/>
        </w:rPr>
        <w:t>associated with exposure to dust from engineered stone</w:t>
      </w:r>
      <w:r w:rsidRPr="000A53C0">
        <w:rPr>
          <w:rFonts w:cs="Arial"/>
        </w:rPr>
        <w:t>.</w:t>
      </w:r>
    </w:p>
    <w:p w14:paraId="300A2DF0" w14:textId="71EE87BA" w:rsidR="0085307F" w:rsidRPr="000A53C0" w:rsidRDefault="0085307F" w:rsidP="00514CCB">
      <w:pPr>
        <w:pStyle w:val="Heading3"/>
      </w:pPr>
      <w:r w:rsidRPr="000A53C0">
        <w:t>Consultation outcomes</w:t>
      </w:r>
    </w:p>
    <w:p w14:paraId="5907F809" w14:textId="0F391C03" w:rsidR="00812B32" w:rsidRPr="000A53C0" w:rsidRDefault="0044768C" w:rsidP="0018152C">
      <w:pPr>
        <w:pStyle w:val="BodyText"/>
        <w:rPr>
          <w:rFonts w:cs="Arial"/>
        </w:rPr>
      </w:pPr>
      <w:r w:rsidRPr="000A53C0">
        <w:rPr>
          <w:rFonts w:cs="Arial"/>
        </w:rPr>
        <w:t>C</w:t>
      </w:r>
      <w:r w:rsidR="0085307F" w:rsidRPr="000A53C0">
        <w:rPr>
          <w:rFonts w:cs="Arial"/>
        </w:rPr>
        <w:t xml:space="preserve">onsultation </w:t>
      </w:r>
      <w:r w:rsidRPr="000A53C0">
        <w:rPr>
          <w:rFonts w:cs="Arial"/>
        </w:rPr>
        <w:t>on the proposed options</w:t>
      </w:r>
      <w:r w:rsidR="0085307F" w:rsidRPr="000A53C0">
        <w:rPr>
          <w:rFonts w:cs="Arial"/>
        </w:rPr>
        <w:t xml:space="preserve"> showed clear </w:t>
      </w:r>
      <w:r w:rsidRPr="000A53C0">
        <w:rPr>
          <w:rFonts w:cs="Arial"/>
        </w:rPr>
        <w:t xml:space="preserve">stakeholder </w:t>
      </w:r>
      <w:r w:rsidR="0085307F" w:rsidRPr="000A53C0">
        <w:rPr>
          <w:rFonts w:cs="Arial"/>
        </w:rPr>
        <w:t xml:space="preserve">support for </w:t>
      </w:r>
      <w:r w:rsidR="00273CD5" w:rsidRPr="000A53C0">
        <w:rPr>
          <w:rFonts w:cs="Arial"/>
        </w:rPr>
        <w:t>some form of</w:t>
      </w:r>
      <w:r w:rsidRPr="000A53C0">
        <w:rPr>
          <w:rFonts w:cs="Arial"/>
        </w:rPr>
        <w:t xml:space="preserve"> </w:t>
      </w:r>
      <w:r w:rsidR="0085307F" w:rsidRPr="000A53C0">
        <w:rPr>
          <w:rFonts w:cs="Arial"/>
        </w:rPr>
        <w:t>prohibition</w:t>
      </w:r>
      <w:r w:rsidR="004B1812" w:rsidRPr="000A53C0">
        <w:rPr>
          <w:rFonts w:cs="Arial"/>
        </w:rPr>
        <w:t xml:space="preserve"> (rather than maintaining the status quo)</w:t>
      </w:r>
      <w:r w:rsidR="0085307F" w:rsidRPr="000A53C0">
        <w:rPr>
          <w:rFonts w:cs="Arial"/>
        </w:rPr>
        <w:t xml:space="preserve">, with preferences split across the </w:t>
      </w:r>
      <w:r w:rsidR="005766CF" w:rsidRPr="000A53C0">
        <w:rPr>
          <w:rFonts w:cs="Arial"/>
        </w:rPr>
        <w:t xml:space="preserve">options </w:t>
      </w:r>
      <w:r w:rsidR="0085307F" w:rsidRPr="000A53C0">
        <w:rPr>
          <w:rFonts w:cs="Arial"/>
        </w:rPr>
        <w:t>proposed.</w:t>
      </w:r>
      <w:r w:rsidR="00027BE5" w:rsidRPr="000A53C0">
        <w:rPr>
          <w:rFonts w:cs="Arial"/>
        </w:rPr>
        <w:t xml:space="preserve"> </w:t>
      </w:r>
      <w:r w:rsidR="0014431A" w:rsidRPr="000A53C0">
        <w:rPr>
          <w:rFonts w:cs="Arial"/>
        </w:rPr>
        <w:t xml:space="preserve">Only 16 of the 114 submissions did not support any of the proposed options. </w:t>
      </w:r>
      <w:r w:rsidR="003F2BB0" w:rsidRPr="000A53C0">
        <w:rPr>
          <w:rStyle w:val="normaltextrun"/>
          <w:rFonts w:cs="Arial"/>
        </w:rPr>
        <w:t xml:space="preserve">Unions, professional organisations and peak health bodies supported </w:t>
      </w:r>
      <w:r w:rsidR="00230D15">
        <w:rPr>
          <w:rStyle w:val="normaltextrun"/>
          <w:rFonts w:cs="Arial"/>
        </w:rPr>
        <w:t>O</w:t>
      </w:r>
      <w:r w:rsidR="003F2BB0" w:rsidRPr="000A53C0">
        <w:rPr>
          <w:rStyle w:val="normaltextrun"/>
          <w:rFonts w:cs="Arial"/>
        </w:rPr>
        <w:t>ption 1 (a prohibition on the use of all engineered stone).</w:t>
      </w:r>
      <w:r w:rsidR="00A81F5E" w:rsidRPr="000A53C0">
        <w:rPr>
          <w:rStyle w:val="normaltextrun"/>
          <w:rFonts w:cs="Arial"/>
        </w:rPr>
        <w:t xml:space="preserve"> Industry groups, while not necessarily supportive of a prohibition</w:t>
      </w:r>
      <w:r w:rsidR="00FA609B" w:rsidRPr="000A53C0">
        <w:rPr>
          <w:rStyle w:val="normaltextrun"/>
          <w:rFonts w:cs="Arial"/>
        </w:rPr>
        <w:t xml:space="preserve"> of engineered stone</w:t>
      </w:r>
      <w:r w:rsidR="00A81F5E" w:rsidRPr="000A53C0">
        <w:rPr>
          <w:rStyle w:val="normaltextrun"/>
          <w:rFonts w:cs="Arial"/>
        </w:rPr>
        <w:t xml:space="preserve">, acknowledged there is an issue with silicosis in engineered stone workers. They </w:t>
      </w:r>
      <w:r w:rsidR="005C3CA4" w:rsidRPr="000A53C0">
        <w:rPr>
          <w:rStyle w:val="normaltextrun"/>
          <w:rFonts w:cs="Arial"/>
        </w:rPr>
        <w:t>consider</w:t>
      </w:r>
      <w:r w:rsidR="00A81F5E" w:rsidRPr="000A53C0">
        <w:rPr>
          <w:rStyle w:val="normaltextrun"/>
          <w:rFonts w:cs="Arial"/>
        </w:rPr>
        <w:t xml:space="preserve"> it can be addressed through regulation of high risk crystalline silica processes previously agreed by WHS ministers (</w:t>
      </w:r>
      <w:r w:rsidR="00A60512">
        <w:rPr>
          <w:rStyle w:val="normaltextrun"/>
          <w:rFonts w:cs="Arial"/>
        </w:rPr>
        <w:t>O</w:t>
      </w:r>
      <w:r w:rsidR="00A81F5E" w:rsidRPr="000A53C0">
        <w:rPr>
          <w:rStyle w:val="normaltextrun"/>
          <w:rFonts w:cs="Arial"/>
        </w:rPr>
        <w:t>ption 5a in the Silica Decision RIS).</w:t>
      </w:r>
      <w:r w:rsidR="00A81F5E" w:rsidRPr="000A53C0">
        <w:rPr>
          <w:rStyle w:val="eop"/>
          <w:rFonts w:cs="Arial"/>
        </w:rPr>
        <w:t> </w:t>
      </w:r>
      <w:r w:rsidR="0081752F" w:rsidRPr="000A53C0">
        <w:rPr>
          <w:rStyle w:val="normaltextrun"/>
          <w:rFonts w:cs="Arial"/>
        </w:rPr>
        <w:t>The majority of stakeholders acknowledged there is not currently enough evidence to determine a threshold crystalline silica content at which engineered stone c</w:t>
      </w:r>
      <w:r w:rsidR="005C3CA4" w:rsidRPr="000A53C0">
        <w:rPr>
          <w:rStyle w:val="normaltextrun"/>
          <w:rFonts w:cs="Arial"/>
        </w:rPr>
        <w:t>ould</w:t>
      </w:r>
      <w:r w:rsidR="0081752F" w:rsidRPr="000A53C0">
        <w:rPr>
          <w:rStyle w:val="normaltextrun"/>
          <w:rFonts w:cs="Arial"/>
        </w:rPr>
        <w:t xml:space="preserve"> be worked with </w:t>
      </w:r>
      <w:r w:rsidR="005C3CA4" w:rsidRPr="000A53C0">
        <w:rPr>
          <w:rStyle w:val="normaltextrun"/>
          <w:rFonts w:cs="Arial"/>
        </w:rPr>
        <w:t>without risk</w:t>
      </w:r>
      <w:r w:rsidR="0081752F" w:rsidRPr="000A53C0">
        <w:rPr>
          <w:rStyle w:val="normaltextrun"/>
          <w:rFonts w:cs="Arial"/>
        </w:rPr>
        <w:t xml:space="preserve"> (for example, the 40% threshold proposed in </w:t>
      </w:r>
      <w:r w:rsidR="007F0D68">
        <w:rPr>
          <w:rStyle w:val="normaltextrun"/>
          <w:rFonts w:cs="Arial"/>
        </w:rPr>
        <w:t>O</w:t>
      </w:r>
      <w:r w:rsidR="0081752F" w:rsidRPr="000A53C0">
        <w:rPr>
          <w:rStyle w:val="normaltextrun"/>
          <w:rFonts w:cs="Arial"/>
        </w:rPr>
        <w:t>ptions 2 and 3).</w:t>
      </w:r>
      <w:r w:rsidR="0081752F" w:rsidRPr="000A53C0">
        <w:rPr>
          <w:rStyle w:val="eop"/>
          <w:rFonts w:cs="Arial"/>
        </w:rPr>
        <w:t> </w:t>
      </w:r>
      <w:r w:rsidR="00A4538F" w:rsidRPr="000A53C0">
        <w:rPr>
          <w:rStyle w:val="normaltextrun"/>
          <w:rFonts w:cs="Arial"/>
        </w:rPr>
        <w:t xml:space="preserve">Around half of PCBUs working with or supplying engineered stone supported </w:t>
      </w:r>
      <w:r w:rsidR="007F0D68">
        <w:rPr>
          <w:rStyle w:val="normaltextrun"/>
          <w:rFonts w:cs="Arial"/>
        </w:rPr>
        <w:t>O</w:t>
      </w:r>
      <w:r w:rsidR="00A4538F" w:rsidRPr="000A53C0">
        <w:rPr>
          <w:rStyle w:val="normaltextrun"/>
          <w:rFonts w:cs="Arial"/>
        </w:rPr>
        <w:t>ption 3, commenting that a licensing scheme would enhance compliance in the sector. </w:t>
      </w:r>
      <w:r w:rsidR="00A4538F" w:rsidRPr="000A53C0">
        <w:rPr>
          <w:rStyle w:val="eop"/>
          <w:rFonts w:cs="Arial"/>
        </w:rPr>
        <w:t> </w:t>
      </w:r>
    </w:p>
    <w:p w14:paraId="5405278D" w14:textId="29F17B0B" w:rsidR="00491BE8" w:rsidRPr="000A53C0" w:rsidRDefault="00491BE8" w:rsidP="00514CCB">
      <w:pPr>
        <w:pStyle w:val="Heading2"/>
      </w:pPr>
      <w:r w:rsidRPr="000A53C0">
        <w:t>What is the best option or combination of options?</w:t>
      </w:r>
    </w:p>
    <w:p w14:paraId="64CB211D" w14:textId="77777777" w:rsidR="00491BE8" w:rsidRPr="000A53C0" w:rsidRDefault="00491BE8" w:rsidP="00A400E9">
      <w:pPr>
        <w:pStyle w:val="EmphasisPanelBody"/>
        <w:shd w:val="clear" w:color="auto" w:fill="F2F2F2" w:themeFill="background1" w:themeFillShade="F2"/>
        <w:rPr>
          <w:rFonts w:cs="Arial"/>
          <w:b/>
          <w:bCs/>
        </w:rPr>
      </w:pPr>
      <w:r w:rsidRPr="000A53C0">
        <w:rPr>
          <w:rFonts w:cs="Arial"/>
          <w:b/>
          <w:bCs/>
        </w:rPr>
        <w:t>Recommended option:</w:t>
      </w:r>
    </w:p>
    <w:p w14:paraId="5FC24E05" w14:textId="601A785D" w:rsidR="00491BE8" w:rsidRPr="000A53C0" w:rsidRDefault="00491BE8" w:rsidP="00A400E9">
      <w:pPr>
        <w:pStyle w:val="EmphasisPanelBody"/>
        <w:shd w:val="clear" w:color="auto" w:fill="F2F2F2" w:themeFill="background1" w:themeFillShade="F2"/>
        <w:rPr>
          <w:rFonts w:cs="Arial"/>
        </w:rPr>
      </w:pPr>
      <w:r w:rsidRPr="000A53C0">
        <w:rPr>
          <w:rFonts w:cs="Arial"/>
          <w:b/>
          <w:bCs/>
        </w:rPr>
        <w:t>Option 1</w:t>
      </w:r>
      <w:r w:rsidRPr="000A53C0">
        <w:rPr>
          <w:rFonts w:cs="Arial"/>
        </w:rPr>
        <w:t>: Prohibition on the use of all engineered stone</w:t>
      </w:r>
      <w:r w:rsidR="00333279" w:rsidRPr="000A53C0">
        <w:rPr>
          <w:rFonts w:cs="Arial"/>
        </w:rPr>
        <w:t>.</w:t>
      </w:r>
    </w:p>
    <w:p w14:paraId="21E4B1FF" w14:textId="35549819" w:rsidR="00491BE8" w:rsidRPr="000A53C0" w:rsidRDefault="00491BE8" w:rsidP="006324D8">
      <w:pPr>
        <w:pStyle w:val="BodyText"/>
        <w:rPr>
          <w:rFonts w:cs="Arial"/>
        </w:rPr>
      </w:pPr>
      <w:r w:rsidRPr="000A53C0">
        <w:rPr>
          <w:rFonts w:cs="Arial"/>
        </w:rPr>
        <w:t>All options, including</w:t>
      </w:r>
      <w:r w:rsidR="004B1812" w:rsidRPr="000A53C0">
        <w:rPr>
          <w:rFonts w:cs="Arial"/>
        </w:rPr>
        <w:t xml:space="preserve"> </w:t>
      </w:r>
      <w:r w:rsidR="007E4584" w:rsidRPr="000A53C0">
        <w:rPr>
          <w:rFonts w:cs="Arial"/>
        </w:rPr>
        <w:t xml:space="preserve">maintaining </w:t>
      </w:r>
      <w:r w:rsidR="00467FFA" w:rsidRPr="000A53C0">
        <w:rPr>
          <w:rFonts w:cs="Arial"/>
        </w:rPr>
        <w:t xml:space="preserve">the </w:t>
      </w:r>
      <w:r w:rsidR="007E4584" w:rsidRPr="000A53C0">
        <w:rPr>
          <w:rFonts w:cs="Arial"/>
        </w:rPr>
        <w:t>status quo</w:t>
      </w:r>
      <w:r w:rsidR="00467FFA" w:rsidRPr="000A53C0">
        <w:rPr>
          <w:rFonts w:cs="Arial"/>
        </w:rPr>
        <w:t xml:space="preserve"> </w:t>
      </w:r>
      <w:r w:rsidR="00FA609B" w:rsidRPr="000A53C0">
        <w:rPr>
          <w:rFonts w:cs="Arial"/>
        </w:rPr>
        <w:t>(i.e. no</w:t>
      </w:r>
      <w:r w:rsidR="00467FFA" w:rsidRPr="000A53C0">
        <w:rPr>
          <w:rFonts w:cs="Arial"/>
        </w:rPr>
        <w:t xml:space="preserve"> prohibiti</w:t>
      </w:r>
      <w:r w:rsidR="00FA609B" w:rsidRPr="000A53C0">
        <w:rPr>
          <w:rFonts w:cs="Arial"/>
        </w:rPr>
        <w:t>on</w:t>
      </w:r>
      <w:r w:rsidR="00467FFA" w:rsidRPr="000A53C0">
        <w:rPr>
          <w:rFonts w:cs="Arial"/>
        </w:rPr>
        <w:t xml:space="preserve"> </w:t>
      </w:r>
      <w:r w:rsidR="00FA609B" w:rsidRPr="000A53C0">
        <w:rPr>
          <w:rFonts w:cs="Arial"/>
        </w:rPr>
        <w:t>on the use of</w:t>
      </w:r>
      <w:r w:rsidR="00467FFA" w:rsidRPr="000A53C0">
        <w:rPr>
          <w:rFonts w:cs="Arial"/>
        </w:rPr>
        <w:t xml:space="preserve"> engineered stone</w:t>
      </w:r>
      <w:r w:rsidR="00FA609B" w:rsidRPr="000A53C0">
        <w:rPr>
          <w:rFonts w:cs="Arial"/>
        </w:rPr>
        <w:t>)</w:t>
      </w:r>
      <w:r w:rsidRPr="000A53C0">
        <w:rPr>
          <w:rFonts w:cs="Arial"/>
        </w:rPr>
        <w:t>, were considered in the context of</w:t>
      </w:r>
      <w:r w:rsidR="00D80189" w:rsidRPr="000A53C0">
        <w:rPr>
          <w:rFonts w:cs="Arial"/>
        </w:rPr>
        <w:t xml:space="preserve"> the </w:t>
      </w:r>
      <w:r w:rsidR="00A949AA" w:rsidRPr="000A53C0">
        <w:rPr>
          <w:rFonts w:cs="Arial"/>
        </w:rPr>
        <w:t xml:space="preserve">problem statement, </w:t>
      </w:r>
      <w:r w:rsidRPr="000A53C0">
        <w:rPr>
          <w:rFonts w:cs="Arial"/>
        </w:rPr>
        <w:t xml:space="preserve">consultation feedback, </w:t>
      </w:r>
      <w:r w:rsidR="00467FFA" w:rsidRPr="000A53C0">
        <w:rPr>
          <w:rFonts w:cs="Arial"/>
        </w:rPr>
        <w:t>workshop outcomes</w:t>
      </w:r>
      <w:r w:rsidRPr="000A53C0">
        <w:rPr>
          <w:rFonts w:cs="Arial"/>
        </w:rPr>
        <w:t xml:space="preserve">, </w:t>
      </w:r>
      <w:r w:rsidR="00467FFA" w:rsidRPr="000A53C0">
        <w:rPr>
          <w:rFonts w:cs="Arial"/>
        </w:rPr>
        <w:t xml:space="preserve">an </w:t>
      </w:r>
      <w:r w:rsidR="00157624" w:rsidRPr="000A53C0">
        <w:rPr>
          <w:rFonts w:cs="Arial"/>
        </w:rPr>
        <w:t>economic</w:t>
      </w:r>
      <w:r w:rsidR="00467FFA" w:rsidRPr="000A53C0">
        <w:rPr>
          <w:rFonts w:cs="Arial"/>
        </w:rPr>
        <w:t xml:space="preserve"> </w:t>
      </w:r>
      <w:r w:rsidRPr="000A53C0">
        <w:rPr>
          <w:rFonts w:cs="Arial"/>
        </w:rPr>
        <w:t xml:space="preserve">impact analysis and an expert review of available evidence on the risk profile of working with engineered stone. </w:t>
      </w:r>
    </w:p>
    <w:p w14:paraId="5DE75EBB" w14:textId="4F5E761A" w:rsidR="00185CF5" w:rsidRPr="000A53C0" w:rsidRDefault="310A240E" w:rsidP="001B44C4">
      <w:pPr>
        <w:pStyle w:val="IAListbullet2"/>
        <w:numPr>
          <w:ilvl w:val="0"/>
          <w:numId w:val="0"/>
        </w:numPr>
        <w:rPr>
          <w:rFonts w:cs="Arial"/>
        </w:rPr>
      </w:pPr>
      <w:r w:rsidRPr="000A53C0">
        <w:rPr>
          <w:rFonts w:cs="Arial"/>
        </w:rPr>
        <w:t>A complete prohibition on the use of engineered stone is recommended</w:t>
      </w:r>
      <w:r w:rsidR="6EDAB856" w:rsidRPr="000A53C0">
        <w:rPr>
          <w:rFonts w:cs="Arial"/>
        </w:rPr>
        <w:t xml:space="preserve">. </w:t>
      </w:r>
    </w:p>
    <w:p w14:paraId="0EE712AF" w14:textId="12CD0CDD" w:rsidR="00185CF5" w:rsidRPr="000A53C0" w:rsidRDefault="00185CF5" w:rsidP="001B44C4">
      <w:pPr>
        <w:pStyle w:val="IAListbullet2"/>
        <w:numPr>
          <w:ilvl w:val="0"/>
          <w:numId w:val="0"/>
        </w:numPr>
        <w:rPr>
          <w:rFonts w:cs="Arial"/>
        </w:rPr>
      </w:pPr>
      <w:r w:rsidRPr="000A53C0">
        <w:rPr>
          <w:rFonts w:cs="Arial"/>
        </w:rPr>
        <w:t xml:space="preserve">The risks posed by working with engineered stone are serious and the possible consequences of being exposed to RCS generated by engineered stone are severe and sometimes fatal. To date, </w:t>
      </w:r>
      <w:r w:rsidR="006523DB" w:rsidRPr="000A53C0">
        <w:rPr>
          <w:rFonts w:cs="Arial"/>
        </w:rPr>
        <w:t xml:space="preserve">we </w:t>
      </w:r>
      <w:r w:rsidR="00DF3795" w:rsidRPr="000A53C0">
        <w:rPr>
          <w:rFonts w:cs="Arial"/>
        </w:rPr>
        <w:t xml:space="preserve">– PCBUs, workers, regulators </w:t>
      </w:r>
      <w:r w:rsidR="00876C30" w:rsidRPr="000A53C0">
        <w:rPr>
          <w:rFonts w:cs="Arial"/>
        </w:rPr>
        <w:t xml:space="preserve">and policy agencies </w:t>
      </w:r>
      <w:r w:rsidR="000073AA" w:rsidRPr="000A53C0">
        <w:rPr>
          <w:rFonts w:cs="Arial"/>
        </w:rPr>
        <w:t>–</w:t>
      </w:r>
      <w:r w:rsidR="00876C30" w:rsidRPr="000A53C0">
        <w:rPr>
          <w:rFonts w:cs="Arial"/>
        </w:rPr>
        <w:t xml:space="preserve"> </w:t>
      </w:r>
      <w:r w:rsidR="006523DB" w:rsidRPr="000A53C0">
        <w:rPr>
          <w:rFonts w:cs="Arial"/>
        </w:rPr>
        <w:t>have failed to</w:t>
      </w:r>
      <w:r w:rsidRPr="000A53C0">
        <w:rPr>
          <w:rFonts w:cs="Arial"/>
        </w:rPr>
        <w:t xml:space="preserve"> ensure the health and safety of all workers working with engineered stone. </w:t>
      </w:r>
    </w:p>
    <w:p w14:paraId="5C435344" w14:textId="476E7E60" w:rsidR="003F4B32" w:rsidRPr="000A53C0" w:rsidRDefault="00185CF5" w:rsidP="001B44C4">
      <w:pPr>
        <w:pStyle w:val="IAListbullet2"/>
        <w:numPr>
          <w:ilvl w:val="0"/>
          <w:numId w:val="0"/>
        </w:numPr>
        <w:rPr>
          <w:rFonts w:cs="Arial"/>
        </w:rPr>
      </w:pPr>
      <w:r w:rsidRPr="000A53C0">
        <w:rPr>
          <w:rFonts w:cs="Arial"/>
        </w:rPr>
        <w:t xml:space="preserve">To ensure prevention is effective, it is vital all </w:t>
      </w:r>
      <w:r w:rsidR="007B4075" w:rsidRPr="000A53C0">
        <w:rPr>
          <w:rFonts w:cs="Arial"/>
        </w:rPr>
        <w:t>participants</w:t>
      </w:r>
      <w:r w:rsidRPr="000A53C0">
        <w:rPr>
          <w:rFonts w:cs="Arial"/>
        </w:rPr>
        <w:t xml:space="preserve"> in the </w:t>
      </w:r>
      <w:r w:rsidR="006523DB" w:rsidRPr="000A53C0">
        <w:rPr>
          <w:rFonts w:cs="Arial"/>
        </w:rPr>
        <w:t>WHS s</w:t>
      </w:r>
      <w:r w:rsidRPr="000A53C0">
        <w:rPr>
          <w:rFonts w:cs="Arial"/>
        </w:rPr>
        <w:t>ystem discharge their duties</w:t>
      </w:r>
      <w:r w:rsidR="003F4B32" w:rsidRPr="000A53C0">
        <w:rPr>
          <w:rFonts w:cs="Arial"/>
        </w:rPr>
        <w:t xml:space="preserve">: </w:t>
      </w:r>
    </w:p>
    <w:p w14:paraId="75C81213" w14:textId="6A029EFD" w:rsidR="00E538AF" w:rsidRPr="000A53C0" w:rsidRDefault="00C0588E" w:rsidP="001B44C4">
      <w:pPr>
        <w:pStyle w:val="IAListbullet2"/>
        <w:rPr>
          <w:rFonts w:cs="Arial"/>
        </w:rPr>
      </w:pPr>
      <w:r w:rsidRPr="000A53C0">
        <w:rPr>
          <w:rFonts w:cs="Arial"/>
        </w:rPr>
        <w:t>importers</w:t>
      </w:r>
      <w:r w:rsidR="006523DB" w:rsidRPr="000A53C0">
        <w:rPr>
          <w:rFonts w:cs="Arial"/>
        </w:rPr>
        <w:t>, manufacturers and suppliers must provide adequate information on the risks posed by engineered stone</w:t>
      </w:r>
    </w:p>
    <w:p w14:paraId="28DA8A77" w14:textId="7CF93C0F" w:rsidR="00CB0ED4" w:rsidRPr="00CB0ED4" w:rsidRDefault="006523DB" w:rsidP="00CB0ED4">
      <w:pPr>
        <w:pStyle w:val="IAListbullet2"/>
        <w:rPr>
          <w:rFonts w:cs="Arial"/>
        </w:rPr>
      </w:pPr>
      <w:r w:rsidRPr="000A53C0">
        <w:rPr>
          <w:rFonts w:cs="Arial"/>
        </w:rPr>
        <w:t>PCBUs must do all that is reasonably practicable to eliminate or minimise those risks</w:t>
      </w:r>
    </w:p>
    <w:p w14:paraId="02850022" w14:textId="4F2033C0" w:rsidR="006B2916" w:rsidRPr="000A53C0" w:rsidRDefault="006523DB" w:rsidP="001B44C4">
      <w:pPr>
        <w:pStyle w:val="IAListbullet2"/>
        <w:rPr>
          <w:rFonts w:cs="Arial"/>
        </w:rPr>
      </w:pPr>
      <w:r w:rsidRPr="000A53C0">
        <w:rPr>
          <w:rFonts w:cs="Arial"/>
        </w:rPr>
        <w:t xml:space="preserve">workers must take reasonable </w:t>
      </w:r>
      <w:r w:rsidR="00610111" w:rsidRPr="000A53C0">
        <w:rPr>
          <w:rFonts w:cs="Arial"/>
        </w:rPr>
        <w:t>care</w:t>
      </w:r>
      <w:r w:rsidRPr="000A53C0">
        <w:rPr>
          <w:rFonts w:cs="Arial"/>
        </w:rPr>
        <w:t xml:space="preserve"> for their own health and safety, and </w:t>
      </w:r>
    </w:p>
    <w:p w14:paraId="64B09531" w14:textId="77777777" w:rsidR="006B2916" w:rsidRPr="000A53C0" w:rsidRDefault="006523DB" w:rsidP="001B44C4">
      <w:pPr>
        <w:pStyle w:val="IAListbullet2"/>
        <w:rPr>
          <w:rFonts w:cs="Arial"/>
        </w:rPr>
      </w:pPr>
      <w:r w:rsidRPr="000A53C0">
        <w:rPr>
          <w:rFonts w:cs="Arial"/>
        </w:rPr>
        <w:lastRenderedPageBreak/>
        <w:t xml:space="preserve">WHS regulators must adequately regulate the industry. </w:t>
      </w:r>
    </w:p>
    <w:p w14:paraId="1E4CA931" w14:textId="2AC7BA39" w:rsidR="00185CF5" w:rsidRPr="000A53C0" w:rsidRDefault="006523DB" w:rsidP="001B44C4">
      <w:pPr>
        <w:pStyle w:val="IAListbullet2"/>
        <w:numPr>
          <w:ilvl w:val="0"/>
          <w:numId w:val="0"/>
        </w:numPr>
        <w:rPr>
          <w:rFonts w:cs="Arial"/>
        </w:rPr>
      </w:pPr>
      <w:r w:rsidRPr="000A53C0">
        <w:rPr>
          <w:rFonts w:cs="Arial"/>
        </w:rPr>
        <w:t xml:space="preserve">The failure of only one </w:t>
      </w:r>
      <w:r w:rsidR="00151159" w:rsidRPr="000A53C0">
        <w:rPr>
          <w:rFonts w:cs="Arial"/>
        </w:rPr>
        <w:t>participant</w:t>
      </w:r>
      <w:r w:rsidRPr="000A53C0">
        <w:rPr>
          <w:rFonts w:cs="Arial"/>
        </w:rPr>
        <w:t xml:space="preserve"> to meet their duties could mean increased </w:t>
      </w:r>
      <w:r w:rsidR="003605DE" w:rsidRPr="000A53C0">
        <w:rPr>
          <w:rFonts w:cs="Arial"/>
        </w:rPr>
        <w:t>incidence</w:t>
      </w:r>
      <w:r w:rsidRPr="000A53C0">
        <w:rPr>
          <w:rFonts w:cs="Arial"/>
        </w:rPr>
        <w:t xml:space="preserve"> of silicosis in engineered stone workers.</w:t>
      </w:r>
      <w:r w:rsidR="00185CF5" w:rsidRPr="000A53C0">
        <w:rPr>
          <w:rFonts w:cs="Arial"/>
        </w:rPr>
        <w:t xml:space="preserve"> </w:t>
      </w:r>
    </w:p>
    <w:p w14:paraId="493FFD79" w14:textId="11C7DCC1" w:rsidR="007F74E4" w:rsidRPr="000A53C0" w:rsidRDefault="007F74E4" w:rsidP="001B44C4">
      <w:pPr>
        <w:pStyle w:val="IAListbullet2"/>
        <w:numPr>
          <w:ilvl w:val="0"/>
          <w:numId w:val="0"/>
        </w:numPr>
        <w:rPr>
          <w:rFonts w:cs="Arial"/>
        </w:rPr>
      </w:pPr>
      <w:r w:rsidRPr="000A53C0">
        <w:rPr>
          <w:rFonts w:cs="Arial"/>
        </w:rPr>
        <w:t>Unfortunately, there is evidence of continued non-compliance with WHS laws by PCBUs and workers</w:t>
      </w:r>
      <w:r w:rsidR="004F0147" w:rsidRPr="000A53C0">
        <w:rPr>
          <w:rFonts w:cs="Arial"/>
        </w:rPr>
        <w:t xml:space="preserve"> in the </w:t>
      </w:r>
      <w:r w:rsidR="00A6454A" w:rsidRPr="000A53C0">
        <w:rPr>
          <w:rFonts w:cs="Arial"/>
        </w:rPr>
        <w:t xml:space="preserve">engineered stone </w:t>
      </w:r>
      <w:r w:rsidR="004F0147" w:rsidRPr="000A53C0">
        <w:rPr>
          <w:rFonts w:cs="Arial"/>
        </w:rPr>
        <w:t>industry</w:t>
      </w:r>
      <w:r w:rsidRPr="000A53C0">
        <w:rPr>
          <w:rFonts w:cs="Arial"/>
        </w:rPr>
        <w:t>, despite significant education and awareness</w:t>
      </w:r>
      <w:r w:rsidR="00A6454A" w:rsidRPr="000A53C0">
        <w:rPr>
          <w:rFonts w:cs="Arial"/>
        </w:rPr>
        <w:t>-raising</w:t>
      </w:r>
      <w:r w:rsidRPr="000A53C0">
        <w:rPr>
          <w:rFonts w:cs="Arial"/>
        </w:rPr>
        <w:t xml:space="preserve"> activities </w:t>
      </w:r>
      <w:r w:rsidR="00590E63" w:rsidRPr="000A53C0">
        <w:rPr>
          <w:rFonts w:cs="Arial"/>
        </w:rPr>
        <w:t>as well as compliance and enforcement</w:t>
      </w:r>
      <w:r w:rsidRPr="000A53C0">
        <w:rPr>
          <w:rFonts w:cs="Arial"/>
        </w:rPr>
        <w:t xml:space="preserve"> action by WHS regulators. This means workers will continue to be put at risk </w:t>
      </w:r>
      <w:r w:rsidR="00A6454A" w:rsidRPr="000A53C0">
        <w:rPr>
          <w:rFonts w:cs="Arial"/>
        </w:rPr>
        <w:t>from</w:t>
      </w:r>
      <w:r w:rsidRPr="000A53C0">
        <w:rPr>
          <w:rFonts w:cs="Arial"/>
        </w:rPr>
        <w:t xml:space="preserve"> exposure to RCS. </w:t>
      </w:r>
    </w:p>
    <w:p w14:paraId="5774FDB3" w14:textId="3B6C81D9" w:rsidR="00185CF5" w:rsidRPr="000A53C0" w:rsidRDefault="006523DB" w:rsidP="001B44C4">
      <w:pPr>
        <w:pStyle w:val="IAListbullet2"/>
        <w:numPr>
          <w:ilvl w:val="0"/>
          <w:numId w:val="0"/>
        </w:numPr>
        <w:rPr>
          <w:rFonts w:cs="Arial"/>
        </w:rPr>
      </w:pPr>
      <w:r w:rsidRPr="000A53C0">
        <w:rPr>
          <w:rFonts w:cs="Arial"/>
        </w:rPr>
        <w:t xml:space="preserve">A </w:t>
      </w:r>
      <w:r w:rsidR="00185CF5" w:rsidRPr="000A53C0">
        <w:rPr>
          <w:rFonts w:cs="Arial"/>
        </w:rPr>
        <w:t xml:space="preserve">lower silica content </w:t>
      </w:r>
      <w:r w:rsidRPr="000A53C0">
        <w:rPr>
          <w:rFonts w:cs="Arial"/>
        </w:rPr>
        <w:t>engineered stone</w:t>
      </w:r>
      <w:r w:rsidR="00185CF5" w:rsidRPr="000A53C0">
        <w:rPr>
          <w:rFonts w:cs="Arial"/>
        </w:rPr>
        <w:t xml:space="preserve"> is not expected to result in improvements in compliance.</w:t>
      </w:r>
      <w:r w:rsidR="00AA5F42" w:rsidRPr="000A53C0">
        <w:rPr>
          <w:rFonts w:cs="Arial"/>
        </w:rPr>
        <w:t xml:space="preserve"> </w:t>
      </w:r>
      <w:r w:rsidR="00A96C9D" w:rsidRPr="000A53C0">
        <w:rPr>
          <w:rFonts w:cs="Arial"/>
        </w:rPr>
        <w:t>The features of the sector that have contributed to the</w:t>
      </w:r>
      <w:r w:rsidR="009C6877" w:rsidRPr="000A53C0">
        <w:rPr>
          <w:rFonts w:cs="Arial"/>
        </w:rPr>
        <w:t xml:space="preserve"> current</w:t>
      </w:r>
      <w:r w:rsidR="00EC6B85" w:rsidRPr="000A53C0">
        <w:rPr>
          <w:rFonts w:cs="Arial"/>
        </w:rPr>
        <w:t xml:space="preserve"> levels</w:t>
      </w:r>
      <w:r w:rsidR="00A96C9D" w:rsidRPr="000A53C0">
        <w:rPr>
          <w:rFonts w:cs="Arial"/>
        </w:rPr>
        <w:t xml:space="preserve"> of non-compliance remain. </w:t>
      </w:r>
      <w:r w:rsidR="00185CF5" w:rsidRPr="000A53C0">
        <w:rPr>
          <w:rFonts w:cs="Arial"/>
        </w:rPr>
        <w:t xml:space="preserve">In fact, permitting work with lower silica engineered stone may encourage even </w:t>
      </w:r>
      <w:r w:rsidR="006C44D1" w:rsidRPr="000A53C0">
        <w:rPr>
          <w:rFonts w:cs="Arial"/>
        </w:rPr>
        <w:t>greater non-</w:t>
      </w:r>
      <w:r w:rsidR="00185CF5" w:rsidRPr="000A53C0">
        <w:rPr>
          <w:rFonts w:cs="Arial"/>
        </w:rPr>
        <w:t xml:space="preserve">compliance with WHS laws as there may be an incorrect perception that these products are ‘safer’. </w:t>
      </w:r>
    </w:p>
    <w:p w14:paraId="5CAF7B2C" w14:textId="3A232EA8" w:rsidR="006523DB" w:rsidRPr="000A53C0" w:rsidRDefault="00643051" w:rsidP="001B44C4">
      <w:pPr>
        <w:pStyle w:val="IAListbullet2"/>
        <w:numPr>
          <w:ilvl w:val="0"/>
          <w:numId w:val="0"/>
        </w:numPr>
        <w:rPr>
          <w:rFonts w:cs="Arial"/>
        </w:rPr>
      </w:pPr>
      <w:r w:rsidRPr="000A53C0">
        <w:rPr>
          <w:rFonts w:cs="Arial"/>
        </w:rPr>
        <w:t xml:space="preserve">There is </w:t>
      </w:r>
      <w:r w:rsidR="006523DB" w:rsidRPr="000A53C0">
        <w:rPr>
          <w:rFonts w:cs="Arial"/>
        </w:rPr>
        <w:t xml:space="preserve">also </w:t>
      </w:r>
      <w:r w:rsidRPr="000A53C0">
        <w:rPr>
          <w:rFonts w:cs="Arial"/>
        </w:rPr>
        <w:t xml:space="preserve">no evidence that lower silica engineered stone </w:t>
      </w:r>
      <w:r w:rsidR="006E4362" w:rsidRPr="000A53C0">
        <w:rPr>
          <w:rFonts w:cs="Arial"/>
        </w:rPr>
        <w:t>poses less risk to worker health and safety</w:t>
      </w:r>
      <w:r w:rsidR="007E2807" w:rsidRPr="000A53C0">
        <w:rPr>
          <w:rFonts w:cs="Arial"/>
        </w:rPr>
        <w:t xml:space="preserve">. </w:t>
      </w:r>
      <w:r w:rsidR="00B112D7" w:rsidRPr="000A53C0">
        <w:rPr>
          <w:rFonts w:cs="Arial"/>
        </w:rPr>
        <w:t>Manufacturer</w:t>
      </w:r>
      <w:r w:rsidR="00BA5FA8" w:rsidRPr="000A53C0">
        <w:rPr>
          <w:rFonts w:cs="Arial"/>
        </w:rPr>
        <w:t xml:space="preserve">s </w:t>
      </w:r>
      <w:r w:rsidR="000D3A94" w:rsidRPr="000A53C0">
        <w:rPr>
          <w:rFonts w:cs="Arial"/>
        </w:rPr>
        <w:t>have not yet</w:t>
      </w:r>
      <w:r w:rsidR="00BA5FA8" w:rsidRPr="000A53C0">
        <w:rPr>
          <w:rFonts w:cs="Arial"/>
        </w:rPr>
        <w:t xml:space="preserve"> establish</w:t>
      </w:r>
      <w:r w:rsidR="000D3A94" w:rsidRPr="000A53C0">
        <w:rPr>
          <w:rFonts w:cs="Arial"/>
        </w:rPr>
        <w:t>ed</w:t>
      </w:r>
      <w:r w:rsidR="00BA5FA8" w:rsidRPr="000A53C0">
        <w:rPr>
          <w:rFonts w:cs="Arial"/>
        </w:rPr>
        <w:t xml:space="preserve"> (through independent</w:t>
      </w:r>
      <w:r w:rsidR="00E070EB" w:rsidRPr="000A53C0">
        <w:rPr>
          <w:rFonts w:cs="Arial"/>
        </w:rPr>
        <w:t xml:space="preserve"> scientific </w:t>
      </w:r>
      <w:r w:rsidR="00BA5FA8" w:rsidRPr="000A53C0">
        <w:rPr>
          <w:rFonts w:cs="Arial"/>
        </w:rPr>
        <w:t xml:space="preserve">evidence) </w:t>
      </w:r>
      <w:r w:rsidR="009820CB" w:rsidRPr="000A53C0">
        <w:rPr>
          <w:rFonts w:cs="Arial"/>
        </w:rPr>
        <w:t xml:space="preserve">that </w:t>
      </w:r>
      <w:r w:rsidR="00E070EB" w:rsidRPr="000A53C0">
        <w:rPr>
          <w:rFonts w:cs="Arial"/>
        </w:rPr>
        <w:t>the</w:t>
      </w:r>
      <w:r w:rsidR="009820CB" w:rsidRPr="000A53C0">
        <w:rPr>
          <w:rFonts w:cs="Arial"/>
        </w:rPr>
        <w:t>se products are</w:t>
      </w:r>
      <w:r w:rsidR="00E01293" w:rsidRPr="000A53C0">
        <w:rPr>
          <w:rFonts w:cs="Arial"/>
        </w:rPr>
        <w:t xml:space="preserve"> </w:t>
      </w:r>
      <w:r w:rsidR="009820CB" w:rsidRPr="000A53C0">
        <w:rPr>
          <w:rFonts w:cs="Arial"/>
        </w:rPr>
        <w:t xml:space="preserve">without risks to the health and safety of </w:t>
      </w:r>
      <w:r w:rsidR="00FA609B" w:rsidRPr="000A53C0">
        <w:rPr>
          <w:rFonts w:cs="Arial"/>
        </w:rPr>
        <w:t>workers and others in the workplace</w:t>
      </w:r>
      <w:r w:rsidR="006523DB" w:rsidRPr="000A53C0">
        <w:rPr>
          <w:rFonts w:cs="Arial"/>
        </w:rPr>
        <w:t>. There</w:t>
      </w:r>
      <w:r w:rsidR="00FD56E4" w:rsidRPr="000A53C0">
        <w:rPr>
          <w:rFonts w:cs="Arial"/>
        </w:rPr>
        <w:t xml:space="preserve"> is no </w:t>
      </w:r>
      <w:r w:rsidR="00A21C50" w:rsidRPr="000A53C0">
        <w:rPr>
          <w:rFonts w:cs="Arial"/>
        </w:rPr>
        <w:t xml:space="preserve">toxicological </w:t>
      </w:r>
      <w:r w:rsidR="00FD56E4" w:rsidRPr="000A53C0">
        <w:rPr>
          <w:rFonts w:cs="Arial"/>
        </w:rPr>
        <w:t xml:space="preserve">evidence </w:t>
      </w:r>
      <w:r w:rsidR="006523DB" w:rsidRPr="000A53C0">
        <w:rPr>
          <w:rFonts w:cs="Arial"/>
        </w:rPr>
        <w:t>of</w:t>
      </w:r>
      <w:r w:rsidR="00FD56E4" w:rsidRPr="000A53C0">
        <w:rPr>
          <w:rFonts w:cs="Arial"/>
        </w:rPr>
        <w:t xml:space="preserve"> a ‘safe’ threshold of crystalline silica content, </w:t>
      </w:r>
      <w:r w:rsidR="00C04FA8" w:rsidRPr="000A53C0">
        <w:rPr>
          <w:rFonts w:cs="Arial"/>
        </w:rPr>
        <w:t>or</w:t>
      </w:r>
      <w:r w:rsidR="00FD56E4" w:rsidRPr="000A53C0">
        <w:rPr>
          <w:rFonts w:cs="Arial"/>
        </w:rPr>
        <w:t xml:space="preserve"> </w:t>
      </w:r>
      <w:r w:rsidR="00EA52DA" w:rsidRPr="000A53C0">
        <w:rPr>
          <w:rFonts w:cs="Arial"/>
        </w:rPr>
        <w:t>th</w:t>
      </w:r>
      <w:r w:rsidR="00D06E64" w:rsidRPr="000A53C0">
        <w:rPr>
          <w:rFonts w:cs="Arial"/>
        </w:rPr>
        <w:t xml:space="preserve">at </w:t>
      </w:r>
      <w:r w:rsidR="00EA52DA" w:rsidRPr="000A53C0">
        <w:rPr>
          <w:rFonts w:cs="Arial"/>
        </w:rPr>
        <w:t xml:space="preserve">the other components of </w:t>
      </w:r>
      <w:r w:rsidR="00A21C50" w:rsidRPr="000A53C0">
        <w:rPr>
          <w:rFonts w:cs="Arial"/>
        </w:rPr>
        <w:t>lower silica</w:t>
      </w:r>
      <w:r w:rsidR="00771542" w:rsidRPr="000A53C0">
        <w:rPr>
          <w:rFonts w:cs="Arial"/>
        </w:rPr>
        <w:t xml:space="preserve"> engineered stone products</w:t>
      </w:r>
      <w:r w:rsidR="004F74B9" w:rsidRPr="000A53C0">
        <w:rPr>
          <w:rFonts w:cs="Arial"/>
        </w:rPr>
        <w:t xml:space="preserve"> (e.g.</w:t>
      </w:r>
      <w:r w:rsidR="00771542" w:rsidRPr="000A53C0">
        <w:rPr>
          <w:rFonts w:cs="Arial"/>
        </w:rPr>
        <w:t xml:space="preserve"> amorphous silica</w:t>
      </w:r>
      <w:r w:rsidR="003F1220" w:rsidRPr="000A53C0">
        <w:rPr>
          <w:rFonts w:cs="Arial"/>
        </w:rPr>
        <w:t xml:space="preserve"> including</w:t>
      </w:r>
      <w:r w:rsidR="004F74B9" w:rsidRPr="000A53C0">
        <w:rPr>
          <w:rFonts w:cs="Arial"/>
        </w:rPr>
        <w:t xml:space="preserve"> recycled glass</w:t>
      </w:r>
      <w:r w:rsidR="003F1220" w:rsidRPr="000A53C0">
        <w:rPr>
          <w:rFonts w:cs="Arial"/>
        </w:rPr>
        <w:t xml:space="preserve">, </w:t>
      </w:r>
      <w:r w:rsidR="00771542" w:rsidRPr="000A53C0">
        <w:rPr>
          <w:rFonts w:cs="Arial"/>
        </w:rPr>
        <w:t>fe</w:t>
      </w:r>
      <w:r w:rsidR="004F74B9" w:rsidRPr="000A53C0">
        <w:rPr>
          <w:rFonts w:cs="Arial"/>
        </w:rPr>
        <w:t>ldspar)</w:t>
      </w:r>
      <w:r w:rsidR="00B112D7" w:rsidRPr="000A53C0">
        <w:rPr>
          <w:rFonts w:cs="Arial"/>
        </w:rPr>
        <w:t xml:space="preserve"> </w:t>
      </w:r>
      <w:r w:rsidR="00C04FA8" w:rsidRPr="000A53C0">
        <w:rPr>
          <w:rFonts w:cs="Arial"/>
        </w:rPr>
        <w:t>do not pose additional risks</w:t>
      </w:r>
      <w:r w:rsidR="00C0037E" w:rsidRPr="000A53C0">
        <w:rPr>
          <w:rFonts w:cs="Arial"/>
        </w:rPr>
        <w:t xml:space="preserve"> to worker health</w:t>
      </w:r>
      <w:r w:rsidR="00AD08F5" w:rsidRPr="000A53C0">
        <w:rPr>
          <w:rFonts w:cs="Arial"/>
        </w:rPr>
        <w:t>.</w:t>
      </w:r>
      <w:r w:rsidR="00954491" w:rsidRPr="000A53C0">
        <w:rPr>
          <w:rFonts w:cs="Arial"/>
        </w:rPr>
        <w:t xml:space="preserve"> </w:t>
      </w:r>
    </w:p>
    <w:p w14:paraId="399159ED" w14:textId="44F32BE1" w:rsidR="000B745D" w:rsidRPr="000A53C0" w:rsidRDefault="006523DB" w:rsidP="001B44C4">
      <w:pPr>
        <w:pStyle w:val="IAListbullet2"/>
        <w:numPr>
          <w:ilvl w:val="0"/>
          <w:numId w:val="0"/>
        </w:numPr>
        <w:rPr>
          <w:rFonts w:cs="Arial"/>
        </w:rPr>
      </w:pPr>
      <w:r w:rsidRPr="000A53C0">
        <w:rPr>
          <w:rFonts w:cs="Arial"/>
        </w:rPr>
        <w:t>Given this</w:t>
      </w:r>
      <w:r w:rsidR="007F74E4" w:rsidRPr="000A53C0">
        <w:rPr>
          <w:rFonts w:cs="Arial"/>
        </w:rPr>
        <w:t>, a precautionary policy response is appropriate. At present</w:t>
      </w:r>
      <w:r w:rsidR="004858A4" w:rsidRPr="000A53C0">
        <w:rPr>
          <w:rFonts w:cs="Arial"/>
        </w:rPr>
        <w:t xml:space="preserve"> an unknown number of Australian workers will</w:t>
      </w:r>
      <w:r w:rsidR="00703594" w:rsidRPr="000A53C0">
        <w:rPr>
          <w:rFonts w:cs="Arial"/>
        </w:rPr>
        <w:t xml:space="preserve"> go on to</w:t>
      </w:r>
      <w:r w:rsidR="004858A4" w:rsidRPr="000A53C0">
        <w:rPr>
          <w:rFonts w:cs="Arial"/>
        </w:rPr>
        <w:t xml:space="preserve"> develop silicosis because of the</w:t>
      </w:r>
      <w:r w:rsidR="00DA3BC6" w:rsidRPr="000A53C0">
        <w:rPr>
          <w:rFonts w:cs="Arial"/>
        </w:rPr>
        <w:t>ir</w:t>
      </w:r>
      <w:r w:rsidR="004858A4" w:rsidRPr="000A53C0">
        <w:rPr>
          <w:rFonts w:cs="Arial"/>
        </w:rPr>
        <w:t xml:space="preserve"> prior exposure </w:t>
      </w:r>
      <w:r w:rsidR="008500AC" w:rsidRPr="000A53C0">
        <w:rPr>
          <w:rFonts w:cs="Arial"/>
        </w:rPr>
        <w:t>to RCS</w:t>
      </w:r>
      <w:r w:rsidR="00525966" w:rsidRPr="000A53C0">
        <w:rPr>
          <w:rFonts w:cs="Arial"/>
        </w:rPr>
        <w:t xml:space="preserve"> from working with engineered stone</w:t>
      </w:r>
      <w:r w:rsidR="00DA3BC6" w:rsidRPr="000A53C0">
        <w:rPr>
          <w:rFonts w:cs="Arial"/>
        </w:rPr>
        <w:t xml:space="preserve">. </w:t>
      </w:r>
      <w:r w:rsidR="00E15D78" w:rsidRPr="000A53C0">
        <w:rPr>
          <w:rFonts w:cs="Arial"/>
        </w:rPr>
        <w:t>T</w:t>
      </w:r>
      <w:r w:rsidR="007F74E4" w:rsidRPr="000A53C0">
        <w:rPr>
          <w:rFonts w:cs="Arial"/>
        </w:rPr>
        <w:t xml:space="preserve">he only way to ensure that </w:t>
      </w:r>
      <w:r w:rsidR="00E15D78" w:rsidRPr="000A53C0">
        <w:rPr>
          <w:rFonts w:cs="Arial"/>
        </w:rPr>
        <w:t xml:space="preserve">another generation of </w:t>
      </w:r>
      <w:r w:rsidR="007F74E4" w:rsidRPr="000A53C0">
        <w:rPr>
          <w:rFonts w:cs="Arial"/>
        </w:rPr>
        <w:t xml:space="preserve">Australian workers do not contract silicosis from </w:t>
      </w:r>
      <w:r w:rsidR="00525966" w:rsidRPr="000A53C0">
        <w:rPr>
          <w:rFonts w:cs="Arial"/>
        </w:rPr>
        <w:t>such work</w:t>
      </w:r>
      <w:r w:rsidR="007F74E4" w:rsidRPr="000A53C0">
        <w:rPr>
          <w:rFonts w:cs="Arial"/>
        </w:rPr>
        <w:t xml:space="preserve"> is to prohibit its use, regardless of its silica content. The cost to industry</w:t>
      </w:r>
      <w:r w:rsidR="003F4B32" w:rsidRPr="000A53C0">
        <w:rPr>
          <w:rFonts w:cs="Arial"/>
        </w:rPr>
        <w:t>,</w:t>
      </w:r>
      <w:r w:rsidR="007F74E4" w:rsidRPr="000A53C0">
        <w:rPr>
          <w:rFonts w:cs="Arial"/>
        </w:rPr>
        <w:t xml:space="preserve"> while real and relevant</w:t>
      </w:r>
      <w:r w:rsidR="003F4B32" w:rsidRPr="000A53C0">
        <w:rPr>
          <w:rFonts w:cs="Arial"/>
        </w:rPr>
        <w:t>,</w:t>
      </w:r>
      <w:r w:rsidR="007F74E4" w:rsidRPr="000A53C0">
        <w:rPr>
          <w:rFonts w:cs="Arial"/>
        </w:rPr>
        <w:t xml:space="preserve"> cannot outweigh the significant costs to Australian workers, their families and the broader community </w:t>
      </w:r>
      <w:r w:rsidR="009A5671" w:rsidRPr="000A53C0">
        <w:rPr>
          <w:rFonts w:cs="Arial"/>
        </w:rPr>
        <w:t xml:space="preserve">that </w:t>
      </w:r>
      <w:r w:rsidR="007F74E4" w:rsidRPr="000A53C0">
        <w:rPr>
          <w:rFonts w:cs="Arial"/>
        </w:rPr>
        <w:t>resul</w:t>
      </w:r>
      <w:r w:rsidR="009A5671" w:rsidRPr="000A53C0">
        <w:rPr>
          <w:rFonts w:cs="Arial"/>
        </w:rPr>
        <w:t>t</w:t>
      </w:r>
      <w:r w:rsidR="007F74E4" w:rsidRPr="000A53C0">
        <w:rPr>
          <w:rFonts w:cs="Arial"/>
        </w:rPr>
        <w:t xml:space="preserve"> from exposure to RCS from engineered stone.  </w:t>
      </w:r>
    </w:p>
    <w:p w14:paraId="640439B6" w14:textId="76D61848" w:rsidR="00CC7FEF" w:rsidRPr="000A53C0" w:rsidRDefault="00CC7FEF" w:rsidP="001B44C4">
      <w:pPr>
        <w:pStyle w:val="IAListbullet2"/>
        <w:numPr>
          <w:ilvl w:val="0"/>
          <w:numId w:val="0"/>
        </w:numPr>
        <w:rPr>
          <w:rFonts w:cs="Arial"/>
        </w:rPr>
      </w:pPr>
      <w:r w:rsidRPr="000A53C0">
        <w:rPr>
          <w:rFonts w:cs="Arial"/>
        </w:rPr>
        <w:br w:type="page"/>
      </w:r>
    </w:p>
    <w:p w14:paraId="4848B01C" w14:textId="7767C80A" w:rsidR="00E64DD9" w:rsidRPr="000A53C0" w:rsidRDefault="001C3DD9" w:rsidP="003452B7">
      <w:pPr>
        <w:pStyle w:val="Heading1numbered"/>
        <w:rPr>
          <w:rStyle w:val="Heading1Char"/>
          <w:rFonts w:cs="Arial"/>
          <w:b/>
          <w:bCs w:val="0"/>
        </w:rPr>
      </w:pPr>
      <w:bookmarkStart w:id="11" w:name="_Toc102142407"/>
      <w:bookmarkStart w:id="12" w:name="_Toc106109636"/>
      <w:bookmarkStart w:id="13" w:name="_Toc106111951"/>
      <w:bookmarkStart w:id="14" w:name="_Ref139550439"/>
      <w:bookmarkStart w:id="15" w:name="_Ref139550447"/>
      <w:bookmarkStart w:id="16" w:name="_Toc142991313"/>
      <w:bookmarkEnd w:id="11"/>
      <w:bookmarkEnd w:id="12"/>
      <w:bookmarkEnd w:id="13"/>
      <w:r w:rsidRPr="000A53C0">
        <w:rPr>
          <w:rFonts w:cs="Arial"/>
        </w:rPr>
        <w:lastRenderedPageBreak/>
        <w:t>Introduction</w:t>
      </w:r>
      <w:bookmarkEnd w:id="14"/>
      <w:bookmarkEnd w:id="15"/>
      <w:bookmarkEnd w:id="16"/>
    </w:p>
    <w:p w14:paraId="142FA9F2" w14:textId="14C4E2F7" w:rsidR="005D2DDF" w:rsidRPr="000A53C0" w:rsidRDefault="00620243" w:rsidP="00514CCB">
      <w:pPr>
        <w:pStyle w:val="Heading2numbered"/>
      </w:pPr>
      <w:bookmarkStart w:id="17" w:name="_Toc142991314"/>
      <w:r w:rsidRPr="000A53C0">
        <w:t>A</w:t>
      </w:r>
      <w:r w:rsidR="005D2DDF" w:rsidRPr="000A53C0">
        <w:t>bout Safe Work Australia</w:t>
      </w:r>
      <w:bookmarkEnd w:id="17"/>
    </w:p>
    <w:p w14:paraId="7B4D67A3" w14:textId="77777777" w:rsidR="00785475" w:rsidRPr="000A53C0" w:rsidRDefault="00785475" w:rsidP="00785475">
      <w:pPr>
        <w:pStyle w:val="BodyText"/>
        <w:rPr>
          <w:rFonts w:cs="Arial"/>
        </w:rPr>
      </w:pPr>
      <w:r w:rsidRPr="000A53C0">
        <w:rPr>
          <w:rFonts w:cs="Arial"/>
        </w:rPr>
        <w:t>Safe Work Australia is an independent Australian Government statutory agency jointly funded by the Commonwealth, state and territory governments through an Intergovernmental Agreement.</w:t>
      </w:r>
    </w:p>
    <w:p w14:paraId="638DE3F4" w14:textId="3D67959D" w:rsidR="00785475" w:rsidRPr="000A53C0" w:rsidRDefault="00785475" w:rsidP="00785475">
      <w:pPr>
        <w:pStyle w:val="BodyText"/>
        <w:rPr>
          <w:rFonts w:cs="Arial"/>
        </w:rPr>
      </w:pPr>
      <w:r w:rsidRPr="000A53C0">
        <w:rPr>
          <w:rFonts w:cs="Arial"/>
        </w:rPr>
        <w:t xml:space="preserve">Safe Work Australia was established by the </w:t>
      </w:r>
      <w:r w:rsidRPr="000A53C0">
        <w:rPr>
          <w:rFonts w:cs="Arial"/>
          <w:i/>
          <w:iCs/>
        </w:rPr>
        <w:t>Safe Work Australia Act 2008</w:t>
      </w:r>
      <w:r w:rsidRPr="000A53C0">
        <w:rPr>
          <w:rFonts w:cs="Arial"/>
        </w:rPr>
        <w:t xml:space="preserve"> (Cth) to lead the development of policy to improve work health and safety (WHS) and workers’ compensation arrangements across Australia. </w:t>
      </w:r>
    </w:p>
    <w:p w14:paraId="556EFEB3" w14:textId="52B1C32B" w:rsidR="00785475" w:rsidRPr="000A53C0" w:rsidRDefault="00785475" w:rsidP="00785475">
      <w:pPr>
        <w:pStyle w:val="BodyText"/>
        <w:rPr>
          <w:rFonts w:cs="Arial"/>
        </w:rPr>
      </w:pPr>
      <w:r w:rsidRPr="000A53C0">
        <w:rPr>
          <w:rFonts w:cs="Arial"/>
        </w:rPr>
        <w:t xml:space="preserve">Safe Work Australia does not regulate WHS. The Commonwealth, states and territories </w:t>
      </w:r>
      <w:r w:rsidR="004D35FE" w:rsidRPr="000A53C0">
        <w:rPr>
          <w:rFonts w:cs="Arial"/>
        </w:rPr>
        <w:t xml:space="preserve">have </w:t>
      </w:r>
      <w:r w:rsidRPr="000A53C0">
        <w:rPr>
          <w:rFonts w:cs="Arial"/>
        </w:rPr>
        <w:t xml:space="preserve">responsibility for implementing </w:t>
      </w:r>
      <w:r w:rsidR="001F462E" w:rsidRPr="000A53C0">
        <w:rPr>
          <w:rFonts w:cs="Arial"/>
        </w:rPr>
        <w:t xml:space="preserve">and enforcing </w:t>
      </w:r>
      <w:r w:rsidRPr="000A53C0">
        <w:rPr>
          <w:rFonts w:cs="Arial"/>
        </w:rPr>
        <w:t>WHS laws in their jurisdiction.</w:t>
      </w:r>
    </w:p>
    <w:p w14:paraId="1E2E0AEC" w14:textId="77777777" w:rsidR="00785475" w:rsidRPr="000A53C0" w:rsidRDefault="00785475" w:rsidP="00785475">
      <w:pPr>
        <w:pStyle w:val="BodyText"/>
        <w:rPr>
          <w:rFonts w:cs="Arial"/>
        </w:rPr>
      </w:pPr>
      <w:r w:rsidRPr="000A53C0">
        <w:rPr>
          <w:rFonts w:cs="Arial"/>
        </w:rPr>
        <w:t>Safe Work Australia is governed by a tripartite body comprising 15 Members, including:</w:t>
      </w:r>
    </w:p>
    <w:p w14:paraId="6765B6CE" w14:textId="76BCF093" w:rsidR="00785475" w:rsidRPr="000A53C0" w:rsidRDefault="001F462E" w:rsidP="001B44C4">
      <w:pPr>
        <w:pStyle w:val="IAListbullet2"/>
        <w:rPr>
          <w:rFonts w:cs="Arial"/>
        </w:rPr>
      </w:pPr>
      <w:r w:rsidRPr="000A53C0">
        <w:rPr>
          <w:rFonts w:cs="Arial"/>
        </w:rPr>
        <w:t>a</w:t>
      </w:r>
      <w:r w:rsidR="00785475" w:rsidRPr="000A53C0">
        <w:rPr>
          <w:rFonts w:cs="Arial"/>
        </w:rPr>
        <w:t xml:space="preserve"> Chair</w:t>
      </w:r>
    </w:p>
    <w:p w14:paraId="4422EA15" w14:textId="77777777" w:rsidR="00785475" w:rsidRPr="000A53C0" w:rsidRDefault="00785475" w:rsidP="001B44C4">
      <w:pPr>
        <w:pStyle w:val="IAListbullet2"/>
        <w:rPr>
          <w:rFonts w:cs="Arial"/>
        </w:rPr>
      </w:pPr>
      <w:r w:rsidRPr="000A53C0">
        <w:rPr>
          <w:rFonts w:cs="Arial"/>
        </w:rPr>
        <w:t>nine Members representing the Commonwealth and each state and territory</w:t>
      </w:r>
    </w:p>
    <w:p w14:paraId="0A7AFB07" w14:textId="77777777" w:rsidR="00785475" w:rsidRPr="000A53C0" w:rsidRDefault="00785475" w:rsidP="001B44C4">
      <w:pPr>
        <w:pStyle w:val="IAListbullet2"/>
        <w:rPr>
          <w:rFonts w:cs="Arial"/>
        </w:rPr>
      </w:pPr>
      <w:r w:rsidRPr="000A53C0">
        <w:rPr>
          <w:rFonts w:cs="Arial"/>
        </w:rPr>
        <w:t>two Members representing the interests of workers</w:t>
      </w:r>
    </w:p>
    <w:p w14:paraId="2AFCF564" w14:textId="77777777" w:rsidR="00785475" w:rsidRPr="000A53C0" w:rsidRDefault="00785475" w:rsidP="001B44C4">
      <w:pPr>
        <w:pStyle w:val="IAListbullet2"/>
        <w:rPr>
          <w:rFonts w:cs="Arial"/>
        </w:rPr>
      </w:pPr>
      <w:r w:rsidRPr="000A53C0">
        <w:rPr>
          <w:rFonts w:cs="Arial"/>
        </w:rPr>
        <w:t xml:space="preserve">two Members representing the interests of employers, and </w:t>
      </w:r>
    </w:p>
    <w:p w14:paraId="455EB97F" w14:textId="4966209A" w:rsidR="00785475" w:rsidRPr="000A53C0" w:rsidRDefault="00785475" w:rsidP="001B44C4">
      <w:pPr>
        <w:pStyle w:val="IAListbullet2"/>
        <w:rPr>
          <w:rFonts w:cs="Arial"/>
        </w:rPr>
      </w:pPr>
      <w:r w:rsidRPr="000A53C0">
        <w:rPr>
          <w:rFonts w:cs="Arial"/>
        </w:rPr>
        <w:t>the Chief Executive Officer of Safe Work Australia.</w:t>
      </w:r>
    </w:p>
    <w:p w14:paraId="5DFF1181" w14:textId="267D0D6B" w:rsidR="00785475" w:rsidRPr="000A53C0" w:rsidRDefault="00785475" w:rsidP="00785475">
      <w:pPr>
        <w:pStyle w:val="BodyText"/>
        <w:rPr>
          <w:rFonts w:cs="Arial"/>
        </w:rPr>
      </w:pPr>
      <w:r w:rsidRPr="000A53C0">
        <w:rPr>
          <w:rFonts w:cs="Arial"/>
        </w:rPr>
        <w:t xml:space="preserve">Safe Work Australia’s </w:t>
      </w:r>
      <w:r w:rsidR="001F462E" w:rsidRPr="000A53C0">
        <w:rPr>
          <w:rFonts w:cs="Arial"/>
        </w:rPr>
        <w:t>function</w:t>
      </w:r>
      <w:r w:rsidR="005E75DB" w:rsidRPr="000A53C0">
        <w:rPr>
          <w:rFonts w:cs="Arial"/>
        </w:rPr>
        <w:t>s</w:t>
      </w:r>
      <w:r w:rsidRPr="000A53C0">
        <w:rPr>
          <w:rFonts w:cs="Arial"/>
        </w:rPr>
        <w:t xml:space="preserve"> include:</w:t>
      </w:r>
    </w:p>
    <w:p w14:paraId="1D4F6FEF" w14:textId="702C48DE" w:rsidR="00785475" w:rsidRPr="000A53C0" w:rsidRDefault="00785475" w:rsidP="001B44C4">
      <w:pPr>
        <w:pStyle w:val="IAListbullet2"/>
        <w:rPr>
          <w:rFonts w:cs="Arial"/>
        </w:rPr>
      </w:pPr>
      <w:r w:rsidRPr="000A53C0">
        <w:rPr>
          <w:rFonts w:cs="Arial"/>
        </w:rPr>
        <w:t>monitoring and evaluating the model WHS laws</w:t>
      </w:r>
      <w:r w:rsidR="00EF3613" w:rsidRPr="000A53C0">
        <w:rPr>
          <w:rFonts w:cs="Arial"/>
        </w:rPr>
        <w:t xml:space="preserve"> (the </w:t>
      </w:r>
      <w:r w:rsidR="00F1541F" w:rsidRPr="000A53C0">
        <w:rPr>
          <w:rFonts w:cs="Arial"/>
        </w:rPr>
        <w:t>model WHS Act, model WHS Regulations and model Codes of Practice)</w:t>
      </w:r>
      <w:r w:rsidRPr="000A53C0">
        <w:rPr>
          <w:rFonts w:cs="Arial"/>
        </w:rPr>
        <w:t xml:space="preserve"> to improve safety outcomes and address issues that have the potential to impede the effective and efficient operation of the laws, and</w:t>
      </w:r>
    </w:p>
    <w:p w14:paraId="0B85F726" w14:textId="08992C5B" w:rsidR="00785475" w:rsidRPr="000A53C0" w:rsidRDefault="00785475" w:rsidP="001B44C4">
      <w:pPr>
        <w:pStyle w:val="IAListbullet2"/>
        <w:rPr>
          <w:rFonts w:cs="Arial"/>
        </w:rPr>
      </w:pPr>
      <w:r w:rsidRPr="000A53C0">
        <w:rPr>
          <w:rFonts w:cs="Arial"/>
        </w:rPr>
        <w:t xml:space="preserve">facilitating the development of accessible, effective and practical material to aid understanding and compliance; minimise regulatory cost; and support improved </w:t>
      </w:r>
      <w:r w:rsidR="004D35FE" w:rsidRPr="000A53C0">
        <w:rPr>
          <w:rFonts w:cs="Arial"/>
        </w:rPr>
        <w:t>WHS</w:t>
      </w:r>
      <w:r w:rsidRPr="000A53C0">
        <w:rPr>
          <w:rFonts w:cs="Arial"/>
        </w:rPr>
        <w:t xml:space="preserve"> outcomes, particularly for small business and individuals.</w:t>
      </w:r>
    </w:p>
    <w:p w14:paraId="2D671FAF" w14:textId="2EF2E552" w:rsidR="00785475" w:rsidRPr="000A53C0" w:rsidRDefault="00785475" w:rsidP="00785475">
      <w:pPr>
        <w:pStyle w:val="BodyText"/>
        <w:rPr>
          <w:rFonts w:cs="Arial"/>
        </w:rPr>
      </w:pPr>
      <w:r w:rsidRPr="000A53C0">
        <w:rPr>
          <w:rFonts w:cs="Arial"/>
        </w:rPr>
        <w:t>The model WHS laws have been implemented in the Commonwealth and all states and territories except Victoria.</w:t>
      </w:r>
    </w:p>
    <w:p w14:paraId="68373CDC" w14:textId="77777777" w:rsidR="00785475" w:rsidRPr="000A53C0" w:rsidRDefault="00785475" w:rsidP="00514CCB">
      <w:pPr>
        <w:pStyle w:val="Heading2numbered"/>
      </w:pPr>
      <w:bookmarkStart w:id="18" w:name="_Background"/>
      <w:bookmarkStart w:id="19" w:name="_Ref102054054"/>
      <w:bookmarkStart w:id="20" w:name="_Toc142991315"/>
      <w:bookmarkEnd w:id="18"/>
      <w:r w:rsidRPr="000A53C0">
        <w:t>Background</w:t>
      </w:r>
      <w:bookmarkEnd w:id="19"/>
      <w:bookmarkEnd w:id="20"/>
    </w:p>
    <w:p w14:paraId="2A26BE48" w14:textId="08A11974" w:rsidR="00785475" w:rsidRPr="000A53C0" w:rsidRDefault="000073AA" w:rsidP="00785475">
      <w:pPr>
        <w:pStyle w:val="BodyText"/>
        <w:rPr>
          <w:rFonts w:cs="Arial"/>
        </w:rPr>
      </w:pPr>
      <w:r w:rsidRPr="000A53C0">
        <w:rPr>
          <w:rFonts w:cs="Arial"/>
        </w:rPr>
        <w:t xml:space="preserve">The </w:t>
      </w:r>
      <w:r w:rsidR="00785475" w:rsidRPr="000A53C0">
        <w:rPr>
          <w:rFonts w:cs="Arial"/>
        </w:rPr>
        <w:t xml:space="preserve">Safe Work Australia </w:t>
      </w:r>
      <w:r w:rsidRPr="000A53C0">
        <w:rPr>
          <w:rFonts w:cs="Arial"/>
        </w:rPr>
        <w:t xml:space="preserve">Agency </w:t>
      </w:r>
      <w:r w:rsidR="004F356C" w:rsidRPr="000A53C0">
        <w:rPr>
          <w:rFonts w:cs="Arial"/>
        </w:rPr>
        <w:t xml:space="preserve">(the Agency) </w:t>
      </w:r>
      <w:r w:rsidR="00785475" w:rsidRPr="000A53C0">
        <w:rPr>
          <w:rFonts w:cs="Arial"/>
        </w:rPr>
        <w:t xml:space="preserve">finalised the Silica Decision RIS on 5 February 2023, for consideration by WHS ministers. </w:t>
      </w:r>
    </w:p>
    <w:p w14:paraId="2B5E9B63" w14:textId="29EAEB0C" w:rsidR="00785475" w:rsidRPr="000A53C0" w:rsidRDefault="00785475" w:rsidP="00785475">
      <w:pPr>
        <w:pStyle w:val="BodyText"/>
        <w:rPr>
          <w:rFonts w:cs="Arial"/>
          <w:color w:val="auto"/>
        </w:rPr>
      </w:pPr>
      <w:r w:rsidRPr="000A53C0">
        <w:rPr>
          <w:rFonts w:cs="Arial"/>
          <w:color w:val="auto"/>
        </w:rPr>
        <w:t xml:space="preserve">At a meeting on 28 February 2023, WHS ministers considered and agreed to the recommendations proposed by </w:t>
      </w:r>
      <w:r w:rsidR="004F356C" w:rsidRPr="000A53C0">
        <w:rPr>
          <w:rFonts w:cs="Arial"/>
          <w:color w:val="auto"/>
        </w:rPr>
        <w:t>the Agency</w:t>
      </w:r>
      <w:r w:rsidRPr="000A53C0">
        <w:rPr>
          <w:rFonts w:cs="Arial"/>
          <w:color w:val="auto"/>
        </w:rPr>
        <w:t xml:space="preserve"> in the Silica Decision RIS:</w:t>
      </w:r>
    </w:p>
    <w:p w14:paraId="677BE686" w14:textId="6FA1FB48" w:rsidR="00785475" w:rsidRPr="000A53C0" w:rsidRDefault="007F4A99" w:rsidP="001B44C4">
      <w:pPr>
        <w:pStyle w:val="IAListbullet2"/>
        <w:rPr>
          <w:rFonts w:cs="Arial"/>
        </w:rPr>
      </w:pPr>
      <w:r>
        <w:rPr>
          <w:rFonts w:cs="Arial"/>
        </w:rPr>
        <w:t>O</w:t>
      </w:r>
      <w:r w:rsidR="00785475" w:rsidRPr="000A53C0">
        <w:rPr>
          <w:rFonts w:cs="Arial"/>
        </w:rPr>
        <w:t>ption 2: National awareness and behaviour change initiatives</w:t>
      </w:r>
    </w:p>
    <w:p w14:paraId="184D0D2E" w14:textId="2845FAF4" w:rsidR="003E5C98" w:rsidRDefault="007F4A99" w:rsidP="003E5C98">
      <w:pPr>
        <w:pStyle w:val="IAListbullet2"/>
      </w:pPr>
      <w:r w:rsidRPr="00D22D34">
        <w:rPr>
          <w:rFonts w:cs="Arial"/>
        </w:rPr>
        <w:t>O</w:t>
      </w:r>
      <w:r w:rsidR="00785475" w:rsidRPr="00D22D34">
        <w:rPr>
          <w:rFonts w:cs="Arial"/>
        </w:rPr>
        <w:t>ption 5a: Regulation of high-risk crystalline silica processes for all materials (including engineered stone</w:t>
      </w:r>
      <w:r w:rsidR="003E5C98">
        <w:rPr>
          <w:rFonts w:cs="Arial"/>
        </w:rPr>
        <w:t>)</w:t>
      </w:r>
      <w:r w:rsidR="00701F25">
        <w:rPr>
          <w:rFonts w:cs="Arial"/>
        </w:rPr>
        <w:t xml:space="preserve">. </w:t>
      </w:r>
      <w:r w:rsidR="00785475" w:rsidRPr="000A53C0">
        <w:t>Ministers noted this should cover all industries, and</w:t>
      </w:r>
    </w:p>
    <w:p w14:paraId="2D43A353" w14:textId="04A966CD" w:rsidR="00785475" w:rsidRPr="003E5C98" w:rsidRDefault="007F4A99" w:rsidP="003E5C98">
      <w:pPr>
        <w:pStyle w:val="IAListbullet2"/>
      </w:pPr>
      <w:r w:rsidRPr="003E5C98">
        <w:rPr>
          <w:rFonts w:cs="Arial"/>
        </w:rPr>
        <w:t>O</w:t>
      </w:r>
      <w:r w:rsidR="00785475" w:rsidRPr="003E5C98">
        <w:rPr>
          <w:rFonts w:cs="Arial"/>
        </w:rPr>
        <w:t>ption 6: Further analysis and consultation on the impacts of a prohibition o</w:t>
      </w:r>
      <w:r w:rsidR="007A23B8" w:rsidRPr="003E5C98">
        <w:rPr>
          <w:rFonts w:cs="Arial"/>
        </w:rPr>
        <w:t>n</w:t>
      </w:r>
      <w:r w:rsidR="00785475" w:rsidRPr="003E5C98">
        <w:rPr>
          <w:rFonts w:cs="Arial"/>
        </w:rPr>
        <w:t xml:space="preserve"> the use of engineered stone under the model WHS laws.</w:t>
      </w:r>
      <w:r w:rsidR="003E5C98">
        <w:rPr>
          <w:rFonts w:cs="Arial"/>
        </w:rPr>
        <w:t xml:space="preserve"> </w:t>
      </w:r>
      <w:r w:rsidR="00785475" w:rsidRPr="003E5C98">
        <w:rPr>
          <w:rFonts w:cs="Arial"/>
        </w:rPr>
        <w:t>Ministers noted this should include consideration of silica content levels and other risk factors, and a national licensing system for products that are not subject to a ban and for legacy products.</w:t>
      </w:r>
    </w:p>
    <w:p w14:paraId="16DD7408" w14:textId="09C9ECC2" w:rsidR="00785475" w:rsidRPr="000A53C0" w:rsidRDefault="00785475" w:rsidP="00785475">
      <w:pPr>
        <w:pStyle w:val="BodyText"/>
        <w:rPr>
          <w:rFonts w:cs="Arial"/>
        </w:rPr>
      </w:pPr>
      <w:r w:rsidRPr="000A53C0">
        <w:rPr>
          <w:rFonts w:cs="Arial"/>
        </w:rPr>
        <w:lastRenderedPageBreak/>
        <w:t xml:space="preserve">This </w:t>
      </w:r>
      <w:r w:rsidR="00870783" w:rsidRPr="000A53C0">
        <w:rPr>
          <w:rFonts w:cs="Arial"/>
        </w:rPr>
        <w:t xml:space="preserve">Decision RIS </w:t>
      </w:r>
      <w:r w:rsidRPr="000A53C0">
        <w:rPr>
          <w:rFonts w:cs="Arial"/>
        </w:rPr>
        <w:t>summarises outcomes of the further analysis and consultation on a prohibition of engineered stone and makes recommendations to</w:t>
      </w:r>
      <w:r w:rsidR="003D1F55" w:rsidRPr="000A53C0">
        <w:rPr>
          <w:rFonts w:cs="Arial"/>
        </w:rPr>
        <w:t xml:space="preserve"> WHS</w:t>
      </w:r>
      <w:r w:rsidRPr="000A53C0">
        <w:rPr>
          <w:rFonts w:cs="Arial"/>
        </w:rPr>
        <w:t xml:space="preserve"> ministers on next steps.  </w:t>
      </w:r>
    </w:p>
    <w:p w14:paraId="09A94F8C" w14:textId="48D65156" w:rsidR="00584971" w:rsidRPr="000A53C0" w:rsidRDefault="00785475" w:rsidP="00785475">
      <w:pPr>
        <w:pStyle w:val="BodyText"/>
        <w:rPr>
          <w:rFonts w:cs="Arial"/>
        </w:rPr>
      </w:pPr>
      <w:r w:rsidRPr="000A53C0">
        <w:rPr>
          <w:rFonts w:cs="Arial"/>
        </w:rPr>
        <w:t xml:space="preserve">This </w:t>
      </w:r>
      <w:r w:rsidR="00870783" w:rsidRPr="000A53C0">
        <w:rPr>
          <w:rFonts w:cs="Arial"/>
        </w:rPr>
        <w:t>Decision RIS</w:t>
      </w:r>
      <w:r w:rsidR="00FC3EE0" w:rsidRPr="000A53C0">
        <w:rPr>
          <w:rFonts w:cs="Arial"/>
        </w:rPr>
        <w:t xml:space="preserve"> </w:t>
      </w:r>
      <w:r w:rsidRPr="000A53C0">
        <w:rPr>
          <w:rFonts w:cs="Arial"/>
        </w:rPr>
        <w:t xml:space="preserve">should be read in conjunction with the Silica Decision RIS, which contains a more complete introduction to the risks posed by RCS in the workplace.  </w:t>
      </w:r>
    </w:p>
    <w:p w14:paraId="48B91852" w14:textId="46B272BF" w:rsidR="00785475" w:rsidRPr="000A53C0" w:rsidRDefault="00785475" w:rsidP="00785475">
      <w:pPr>
        <w:pStyle w:val="BodyText"/>
        <w:rPr>
          <w:rFonts w:cs="Arial"/>
        </w:rPr>
      </w:pPr>
      <w:r w:rsidRPr="000A53C0">
        <w:rPr>
          <w:rFonts w:cs="Arial"/>
        </w:rPr>
        <w:t xml:space="preserve">This </w:t>
      </w:r>
      <w:r w:rsidR="003D1F55" w:rsidRPr="000A53C0">
        <w:rPr>
          <w:rFonts w:cs="Arial"/>
        </w:rPr>
        <w:t xml:space="preserve">Chapter </w:t>
      </w:r>
      <w:r w:rsidRPr="000A53C0">
        <w:rPr>
          <w:rFonts w:cs="Arial"/>
        </w:rPr>
        <w:t xml:space="preserve">summarises new information since the Silica Decision RIS was finalised in February 2023. Chapter 2 expands on risks specific to RCS generated from engineered stone. </w:t>
      </w:r>
    </w:p>
    <w:p w14:paraId="3C045E00" w14:textId="77777777" w:rsidR="00D0714A" w:rsidRPr="000A53C0" w:rsidRDefault="00D0714A" w:rsidP="00514CCB">
      <w:pPr>
        <w:pStyle w:val="Heading2numbered"/>
      </w:pPr>
      <w:bookmarkStart w:id="21" w:name="_Toc142991316"/>
      <w:r w:rsidRPr="000A53C0">
        <w:t>The case for government intervention</w:t>
      </w:r>
      <w:bookmarkEnd w:id="21"/>
    </w:p>
    <w:p w14:paraId="0E96EFBC" w14:textId="77777777" w:rsidR="00D0714A" w:rsidRPr="000A53C0" w:rsidRDefault="00D0714A" w:rsidP="00D0714A">
      <w:pPr>
        <w:pStyle w:val="BodyText"/>
        <w:rPr>
          <w:rFonts w:cs="Arial"/>
        </w:rPr>
      </w:pPr>
      <w:r w:rsidRPr="000A53C0">
        <w:rPr>
          <w:rFonts w:cs="Arial"/>
        </w:rPr>
        <w:t>Silicosis and silica-related diseases pose an unacceptable health risk to workers. There are significant financial and non-financial costs associated with being diagnosed with</w:t>
      </w:r>
      <w:r w:rsidRPr="000A53C0" w:rsidDel="0071738E">
        <w:rPr>
          <w:rFonts w:cs="Arial"/>
        </w:rPr>
        <w:t xml:space="preserve"> </w:t>
      </w:r>
      <w:r w:rsidRPr="000A53C0">
        <w:rPr>
          <w:rFonts w:cs="Arial"/>
        </w:rPr>
        <w:t>silicosis and/or a silica-related disease, including significant physical and emotional harm, reduced ability to work, reduced quality of life and premature death of workers. There are also significant costs to the public health system, including for health screening, diagnosis, treatment and disease management.</w:t>
      </w:r>
    </w:p>
    <w:p w14:paraId="4F77A895" w14:textId="46E8D79D" w:rsidR="00D0714A" w:rsidRPr="000A53C0" w:rsidRDefault="00D0714A" w:rsidP="00D0714A">
      <w:pPr>
        <w:pStyle w:val="BodyText"/>
        <w:rPr>
          <w:rFonts w:cs="Arial"/>
        </w:rPr>
      </w:pPr>
      <w:r w:rsidRPr="000A53C0">
        <w:rPr>
          <w:rFonts w:cs="Arial"/>
        </w:rPr>
        <w:t xml:space="preserve">The disproportionate number of cases, and age of diagnosis of silicosis and silica-related diseases in engineered stone workers, and the impacts on these workers, their families and communities present an urgent case for government intervention. Further details on the need for government action are included in the Silica Decision RIS. </w:t>
      </w:r>
    </w:p>
    <w:p w14:paraId="3C8B3931" w14:textId="77777777" w:rsidR="00D0714A" w:rsidRPr="000A53C0" w:rsidRDefault="00D0714A" w:rsidP="00514CCB">
      <w:pPr>
        <w:pStyle w:val="Heading2numbered"/>
      </w:pPr>
      <w:bookmarkStart w:id="22" w:name="_Toc142991317"/>
      <w:r w:rsidRPr="000A53C0">
        <w:t>Objectives of government intervention</w:t>
      </w:r>
      <w:bookmarkEnd w:id="22"/>
    </w:p>
    <w:p w14:paraId="441DD734" w14:textId="6DA46DC9" w:rsidR="00D0714A" w:rsidRPr="000A53C0" w:rsidRDefault="00D0714A" w:rsidP="00D0714A">
      <w:pPr>
        <w:pStyle w:val="BodyText"/>
        <w:rPr>
          <w:rFonts w:cs="Arial"/>
        </w:rPr>
      </w:pPr>
      <w:r w:rsidRPr="000A53C0">
        <w:rPr>
          <w:rFonts w:cs="Arial"/>
        </w:rPr>
        <w:t>The primary objective of government intervention is to reduce workplace exposure to RCS from engineered stone in Australia, with the ultimate aim of eliminating silicosis</w:t>
      </w:r>
      <w:r w:rsidR="003D1F55" w:rsidRPr="000A53C0">
        <w:rPr>
          <w:rFonts w:cs="Arial"/>
        </w:rPr>
        <w:t xml:space="preserve">, a preventable disease, </w:t>
      </w:r>
      <w:r w:rsidRPr="000A53C0">
        <w:rPr>
          <w:rFonts w:cs="Arial"/>
        </w:rPr>
        <w:t xml:space="preserve">and other silica-related diseases in engineered stone workers. This is consistent with the shared objective in the </w:t>
      </w:r>
      <w:r w:rsidRPr="00C91571">
        <w:rPr>
          <w:rFonts w:cs="Arial"/>
          <w:i/>
          <w:iCs/>
        </w:rPr>
        <w:t>All of Australian Governments’ response to the National Dust Disease Taskforce fi</w:t>
      </w:r>
      <w:r w:rsidR="00AE3362" w:rsidRPr="00C91571">
        <w:rPr>
          <w:rFonts w:cs="Arial"/>
          <w:i/>
          <w:iCs/>
        </w:rPr>
        <w:t>nal report</w:t>
      </w:r>
      <w:r w:rsidRPr="000A53C0">
        <w:rPr>
          <w:rFonts w:cs="Arial"/>
        </w:rPr>
        <w:t xml:space="preserve"> of eliminating silicosis amongst workers and increasing the quality of life for those already impacted and their families</w:t>
      </w:r>
      <w:sdt>
        <w:sdtPr>
          <w:rPr>
            <w:rFonts w:cs="Arial"/>
          </w:rPr>
          <w:id w:val="-988561000"/>
          <w:citation/>
        </w:sdtPr>
        <w:sdtEndPr/>
        <w:sdtContent>
          <w:r w:rsidR="00AE3362" w:rsidRPr="000A53C0">
            <w:rPr>
              <w:rFonts w:cs="Arial"/>
            </w:rPr>
            <w:fldChar w:fldCharType="begin"/>
          </w:r>
          <w:r w:rsidR="00AE3362" w:rsidRPr="000A53C0">
            <w:rPr>
              <w:rFonts w:cs="Arial"/>
            </w:rPr>
            <w:instrText xml:space="preserve"> CITATION Aus22 \l 3081 </w:instrText>
          </w:r>
          <w:r w:rsidR="00AE3362" w:rsidRPr="000A53C0">
            <w:rPr>
              <w:rFonts w:cs="Arial"/>
            </w:rPr>
            <w:fldChar w:fldCharType="separate"/>
          </w:r>
          <w:r w:rsidR="001F7BAA" w:rsidRPr="000A53C0">
            <w:rPr>
              <w:rFonts w:cs="Arial"/>
              <w:noProof/>
            </w:rPr>
            <w:t xml:space="preserve"> (Australian Government 2022)</w:t>
          </w:r>
          <w:r w:rsidR="00AE3362" w:rsidRPr="000A53C0">
            <w:rPr>
              <w:rFonts w:cs="Arial"/>
            </w:rPr>
            <w:fldChar w:fldCharType="end"/>
          </w:r>
        </w:sdtContent>
      </w:sdt>
      <w:r w:rsidRPr="000A53C0">
        <w:rPr>
          <w:rFonts w:cs="Arial"/>
        </w:rPr>
        <w:t xml:space="preserve">.  </w:t>
      </w:r>
    </w:p>
    <w:p w14:paraId="5ADB573B" w14:textId="77777777" w:rsidR="00785475" w:rsidRPr="000A53C0" w:rsidRDefault="00785475" w:rsidP="00514CCB">
      <w:pPr>
        <w:pStyle w:val="Heading2numbered"/>
      </w:pPr>
      <w:bookmarkStart w:id="23" w:name="_Toc142991318"/>
      <w:r w:rsidRPr="000A53C0">
        <w:t>Purpose and scope of this Decision Regulation Impact Statement</w:t>
      </w:r>
      <w:bookmarkEnd w:id="23"/>
    </w:p>
    <w:p w14:paraId="2BAE4D79" w14:textId="2BD86C75" w:rsidR="00785475" w:rsidRPr="000A53C0" w:rsidRDefault="00785475" w:rsidP="00785475">
      <w:pPr>
        <w:pStyle w:val="BodyText"/>
        <w:rPr>
          <w:rFonts w:cs="Arial"/>
        </w:rPr>
      </w:pPr>
      <w:r w:rsidRPr="000A53C0">
        <w:rPr>
          <w:rFonts w:cs="Arial"/>
        </w:rPr>
        <w:t>The purpose of this D</w:t>
      </w:r>
      <w:r w:rsidR="00A7083B" w:rsidRPr="000A53C0">
        <w:rPr>
          <w:rFonts w:cs="Arial"/>
        </w:rPr>
        <w:t xml:space="preserve">ecision </w:t>
      </w:r>
      <w:r w:rsidRPr="000A53C0">
        <w:rPr>
          <w:rFonts w:cs="Arial"/>
        </w:rPr>
        <w:t>RIS is to consider and make recommendations to WHS ministers on the preferred options for a prohibition on engineered stone.</w:t>
      </w:r>
    </w:p>
    <w:p w14:paraId="58DEE908" w14:textId="68747C4A" w:rsidR="00785475" w:rsidRPr="000A53C0" w:rsidRDefault="00785475" w:rsidP="00785475">
      <w:pPr>
        <w:pStyle w:val="BodyText"/>
        <w:rPr>
          <w:rFonts w:cs="Arial"/>
        </w:rPr>
      </w:pPr>
      <w:r w:rsidRPr="000A53C0">
        <w:rPr>
          <w:rFonts w:cs="Arial"/>
        </w:rPr>
        <w:t xml:space="preserve">As explained in </w:t>
      </w:r>
      <w:r w:rsidR="00421554">
        <w:rPr>
          <w:rFonts w:cs="Arial"/>
        </w:rPr>
        <w:t>S</w:t>
      </w:r>
      <w:r w:rsidRPr="000A53C0">
        <w:rPr>
          <w:rFonts w:cs="Arial"/>
        </w:rPr>
        <w:t xml:space="preserve">ection </w:t>
      </w:r>
      <w:r w:rsidRPr="000A53C0">
        <w:rPr>
          <w:rFonts w:cs="Arial"/>
        </w:rPr>
        <w:fldChar w:fldCharType="begin" w:fldLock="1"/>
      </w:r>
      <w:r w:rsidRPr="000A53C0">
        <w:rPr>
          <w:rFonts w:cs="Arial"/>
        </w:rPr>
        <w:instrText xml:space="preserve"> REF _Ref124686819 \r \h </w:instrText>
      </w:r>
      <w:r w:rsidR="000A53C0">
        <w:rPr>
          <w:rFonts w:cs="Arial"/>
        </w:rPr>
        <w:instrText xml:space="preserve"> \* MERGEFORMAT </w:instrText>
      </w:r>
      <w:r w:rsidRPr="000A53C0">
        <w:rPr>
          <w:rFonts w:cs="Arial"/>
        </w:rPr>
      </w:r>
      <w:r w:rsidRPr="000A53C0">
        <w:rPr>
          <w:rFonts w:cs="Arial"/>
        </w:rPr>
        <w:fldChar w:fldCharType="separate"/>
      </w:r>
      <w:r w:rsidR="00D16271">
        <w:rPr>
          <w:rFonts w:cs="Arial"/>
        </w:rPr>
        <w:t>2.2</w:t>
      </w:r>
      <w:r w:rsidRPr="000A53C0">
        <w:rPr>
          <w:rFonts w:cs="Arial"/>
        </w:rPr>
        <w:fldChar w:fldCharType="end"/>
      </w:r>
      <w:r w:rsidRPr="000A53C0">
        <w:rPr>
          <w:rFonts w:cs="Arial"/>
        </w:rPr>
        <w:t>, RCS exposure from working with engineered stone can lead to earlier onset and more severe disease. The scope of this D</w:t>
      </w:r>
      <w:r w:rsidR="00B8581A" w:rsidRPr="000A53C0">
        <w:rPr>
          <w:rFonts w:cs="Arial"/>
        </w:rPr>
        <w:t xml:space="preserve">ecision </w:t>
      </w:r>
      <w:r w:rsidRPr="000A53C0">
        <w:rPr>
          <w:rFonts w:cs="Arial"/>
        </w:rPr>
        <w:t xml:space="preserve">RIS includes all workplaces subject to the model WHS laws and where workers use engineered stone. </w:t>
      </w:r>
    </w:p>
    <w:p w14:paraId="7A9EBC15" w14:textId="6D16AAFB" w:rsidR="00785475" w:rsidRPr="000A53C0" w:rsidRDefault="00785475" w:rsidP="00785475">
      <w:pPr>
        <w:pStyle w:val="BodyText"/>
        <w:rPr>
          <w:rFonts w:cs="Arial"/>
        </w:rPr>
      </w:pPr>
      <w:r w:rsidRPr="000A53C0">
        <w:rPr>
          <w:rFonts w:cs="Arial"/>
        </w:rPr>
        <w:t xml:space="preserve">Victoria has not </w:t>
      </w:r>
      <w:r w:rsidR="00F74D78" w:rsidRPr="000A53C0">
        <w:rPr>
          <w:rFonts w:cs="Arial"/>
        </w:rPr>
        <w:t xml:space="preserve">implemented </w:t>
      </w:r>
      <w:r w:rsidRPr="000A53C0">
        <w:rPr>
          <w:rFonts w:cs="Arial"/>
        </w:rPr>
        <w:t>the model WHS laws, and therefore workplaces in Victoria are out of the scope of this D</w:t>
      </w:r>
      <w:r w:rsidR="00893DAF" w:rsidRPr="000A53C0">
        <w:rPr>
          <w:rFonts w:cs="Arial"/>
        </w:rPr>
        <w:t xml:space="preserve">ecision </w:t>
      </w:r>
      <w:r w:rsidRPr="000A53C0">
        <w:rPr>
          <w:rFonts w:cs="Arial"/>
        </w:rPr>
        <w:t xml:space="preserve">RIS. However, recent amendments to the Victorian </w:t>
      </w:r>
      <w:r w:rsidRPr="000A53C0">
        <w:rPr>
          <w:rFonts w:cs="Arial"/>
          <w:i/>
          <w:iCs/>
        </w:rPr>
        <w:t>Occupational Health and Safety Regulations 2017</w:t>
      </w:r>
      <w:r w:rsidRPr="000A53C0">
        <w:rPr>
          <w:rFonts w:cs="Arial"/>
        </w:rPr>
        <w:t xml:space="preserve"> were considered in developing the options. The Victorian amendments include the introduction of a licensing scheme for employers working with engineered stone (defined as containing 40% or more crystalline silica), duties on manufacturers and suppliers of engineered stone, and additional regulatory oversight of high risk crystalline silica work outside of engineered stone across a broad range of industries </w:t>
      </w:r>
      <w:r w:rsidRPr="000A53C0">
        <w:rPr>
          <w:rFonts w:cs="Arial"/>
        </w:rPr>
        <w:fldChar w:fldCharType="begin"/>
      </w:r>
      <w:r w:rsidRPr="000A53C0">
        <w:rPr>
          <w:rFonts w:cs="Arial"/>
        </w:rPr>
        <w:instrText xml:space="preserve"> ADDIN ZOTERO_ITEM CSL_CITATION {"citationID":"3iK7yZfu","properties":{"formattedCitation":"(WorkSafe Victoria 2021)","plainCitation":"(WorkSafe Victoria 2021)","noteIndex":0},"citationItems":[{"id":835,"uris":["http://zotero.org/users/6230888/items/H4E4TH5E"],"itemData":{"id":835,"type":"webpage","title":"Changes to protect Victorians working with crystalline silica","URL":"https://www.worksafe.vic.gov.au/changes-protect-victorians-working-crystalline-silica","author":[{"literal":"WorkSafe Victoria"}],"accessed":{"date-parts":[["2022",6,24]]},"issued":{"date-parts":[["2021"]]}}}],"schema":"https://github.com/citation-style-language/schema/raw/master/csl-citation.json"} </w:instrText>
      </w:r>
      <w:r w:rsidRPr="000A53C0">
        <w:rPr>
          <w:rFonts w:cs="Arial"/>
        </w:rPr>
        <w:fldChar w:fldCharType="separate"/>
      </w:r>
      <w:r w:rsidRPr="000A53C0">
        <w:rPr>
          <w:rFonts w:cs="Arial"/>
        </w:rPr>
        <w:t>(WorkSafe Victoria 2021)</w:t>
      </w:r>
      <w:r w:rsidRPr="000A53C0">
        <w:rPr>
          <w:rFonts w:cs="Arial"/>
        </w:rPr>
        <w:fldChar w:fldCharType="end"/>
      </w:r>
      <w:r w:rsidRPr="000A53C0">
        <w:rPr>
          <w:rFonts w:cs="Arial"/>
        </w:rPr>
        <w:t>.</w:t>
      </w:r>
    </w:p>
    <w:p w14:paraId="116BF2BE" w14:textId="1D5D51CA" w:rsidR="00A63859" w:rsidRPr="000A53C0" w:rsidRDefault="00186E1C" w:rsidP="00785475">
      <w:pPr>
        <w:pStyle w:val="BodyText"/>
        <w:rPr>
          <w:rFonts w:cs="Arial"/>
        </w:rPr>
      </w:pPr>
      <w:r w:rsidRPr="000A53C0">
        <w:rPr>
          <w:rFonts w:cs="Arial"/>
        </w:rPr>
        <w:t xml:space="preserve">The import of engineered stone is out of scope of this </w:t>
      </w:r>
      <w:r w:rsidR="00A41930" w:rsidRPr="000A53C0">
        <w:rPr>
          <w:rFonts w:cs="Arial"/>
        </w:rPr>
        <w:t>Decision RIS as</w:t>
      </w:r>
      <w:r w:rsidR="007A003E" w:rsidRPr="000A53C0">
        <w:rPr>
          <w:rFonts w:cs="Arial"/>
        </w:rPr>
        <w:t xml:space="preserve"> </w:t>
      </w:r>
      <w:r w:rsidR="00A41930" w:rsidRPr="000A53C0">
        <w:rPr>
          <w:rFonts w:cs="Arial"/>
        </w:rPr>
        <w:t>import</w:t>
      </w:r>
      <w:r w:rsidR="007A003E" w:rsidRPr="000A53C0">
        <w:rPr>
          <w:rFonts w:cs="Arial"/>
        </w:rPr>
        <w:t>ation</w:t>
      </w:r>
      <w:r w:rsidR="00A41930" w:rsidRPr="000A53C0">
        <w:rPr>
          <w:rFonts w:cs="Arial"/>
        </w:rPr>
        <w:t xml:space="preserve"> </w:t>
      </w:r>
      <w:r w:rsidR="00550192" w:rsidRPr="000A53C0">
        <w:rPr>
          <w:rFonts w:cs="Arial"/>
        </w:rPr>
        <w:t xml:space="preserve">prohibitions are within the remit of the </w:t>
      </w:r>
      <w:r w:rsidR="00A41930" w:rsidRPr="000A53C0">
        <w:rPr>
          <w:rFonts w:cs="Arial"/>
        </w:rPr>
        <w:t>Commonwealth.</w:t>
      </w:r>
      <w:r w:rsidR="0038777C" w:rsidRPr="000A53C0">
        <w:rPr>
          <w:rFonts w:cs="Arial"/>
        </w:rPr>
        <w:t xml:space="preserve"> The Commonwealth Department of </w:t>
      </w:r>
      <w:r w:rsidR="00165874">
        <w:rPr>
          <w:rFonts w:cs="Arial"/>
        </w:rPr>
        <w:t xml:space="preserve">Employment and </w:t>
      </w:r>
      <w:r w:rsidR="0038777C" w:rsidRPr="000A53C0">
        <w:rPr>
          <w:rFonts w:cs="Arial"/>
        </w:rPr>
        <w:t xml:space="preserve">Workplace Relations is currently </w:t>
      </w:r>
      <w:r w:rsidR="009D5D47" w:rsidRPr="000A53C0">
        <w:rPr>
          <w:rFonts w:cs="Arial"/>
        </w:rPr>
        <w:t xml:space="preserve">exploring an import ban on engineered stone, and </w:t>
      </w:r>
      <w:r w:rsidR="00A16845" w:rsidRPr="000A53C0">
        <w:rPr>
          <w:rFonts w:cs="Arial"/>
        </w:rPr>
        <w:t>the Agency</w:t>
      </w:r>
      <w:r w:rsidR="009D5D47" w:rsidRPr="000A53C0">
        <w:rPr>
          <w:rFonts w:cs="Arial"/>
        </w:rPr>
        <w:t xml:space="preserve"> understands this will involve consult</w:t>
      </w:r>
      <w:r w:rsidR="00F641AE" w:rsidRPr="000A53C0">
        <w:rPr>
          <w:rFonts w:cs="Arial"/>
        </w:rPr>
        <w:t>ing</w:t>
      </w:r>
      <w:r w:rsidR="009D5D47" w:rsidRPr="000A53C0">
        <w:rPr>
          <w:rFonts w:cs="Arial"/>
        </w:rPr>
        <w:t xml:space="preserve"> with </w:t>
      </w:r>
      <w:r w:rsidR="00F641AE" w:rsidRPr="000A53C0">
        <w:rPr>
          <w:rFonts w:cs="Arial"/>
        </w:rPr>
        <w:t xml:space="preserve">states, territories and other </w:t>
      </w:r>
      <w:r w:rsidR="00521B14" w:rsidRPr="000A53C0">
        <w:rPr>
          <w:rFonts w:cs="Arial"/>
        </w:rPr>
        <w:t xml:space="preserve">affected </w:t>
      </w:r>
      <w:r w:rsidR="00F641AE" w:rsidRPr="000A53C0">
        <w:rPr>
          <w:rFonts w:cs="Arial"/>
        </w:rPr>
        <w:t xml:space="preserve">parties on the effect of the ban. </w:t>
      </w:r>
    </w:p>
    <w:p w14:paraId="36A26C36" w14:textId="78B90BF7" w:rsidR="00785475" w:rsidRPr="000A53C0" w:rsidRDefault="00785475" w:rsidP="00514CCB">
      <w:pPr>
        <w:pStyle w:val="Heading2numbered"/>
      </w:pPr>
      <w:bookmarkStart w:id="24" w:name="_Toc142991319"/>
      <w:r w:rsidRPr="000A53C0">
        <w:lastRenderedPageBreak/>
        <w:t xml:space="preserve">Structure of this </w:t>
      </w:r>
      <w:r w:rsidR="00F74D78" w:rsidRPr="000A53C0">
        <w:t>Decision RIS</w:t>
      </w:r>
      <w:bookmarkEnd w:id="24"/>
    </w:p>
    <w:p w14:paraId="101E33C1" w14:textId="7CEBDA69" w:rsidR="00785475" w:rsidRPr="000A53C0" w:rsidRDefault="00785475" w:rsidP="00785475">
      <w:pPr>
        <w:pStyle w:val="BodyText"/>
        <w:rPr>
          <w:rFonts w:cs="Arial"/>
        </w:rPr>
      </w:pPr>
      <w:r w:rsidRPr="000A53C0">
        <w:rPr>
          <w:rFonts w:cs="Arial"/>
        </w:rPr>
        <w:t>This D</w:t>
      </w:r>
      <w:r w:rsidR="00893DAF" w:rsidRPr="000A53C0">
        <w:rPr>
          <w:rFonts w:cs="Arial"/>
        </w:rPr>
        <w:t xml:space="preserve">ecision </w:t>
      </w:r>
      <w:r w:rsidRPr="000A53C0">
        <w:rPr>
          <w:rFonts w:cs="Arial"/>
        </w:rPr>
        <w:t>RIS was prepared in accordance with the Regulatory Impact Analysis Guide for Ministers’ Meetings and National Standard Setting Bodies</w:t>
      </w:r>
      <w:r w:rsidR="00C9321E" w:rsidRPr="000A53C0">
        <w:rPr>
          <w:rFonts w:cs="Arial"/>
        </w:rPr>
        <w:t xml:space="preserve"> June 2023 </w:t>
      </w:r>
      <w:sdt>
        <w:sdtPr>
          <w:rPr>
            <w:rFonts w:cs="Arial"/>
          </w:rPr>
          <w:id w:val="-333920783"/>
          <w:citation/>
        </w:sdtPr>
        <w:sdtEndPr/>
        <w:sdtContent>
          <w:r w:rsidR="00141C2D" w:rsidRPr="000A53C0">
            <w:rPr>
              <w:rFonts w:cs="Arial"/>
            </w:rPr>
            <w:fldChar w:fldCharType="begin"/>
          </w:r>
          <w:r w:rsidR="00141C2D" w:rsidRPr="000A53C0">
            <w:rPr>
              <w:rFonts w:cs="Arial"/>
            </w:rPr>
            <w:instrText xml:space="preserve"> CITATION Dep23 \l 3081 </w:instrText>
          </w:r>
          <w:r w:rsidR="00141C2D" w:rsidRPr="000A53C0">
            <w:rPr>
              <w:rFonts w:cs="Arial"/>
            </w:rPr>
            <w:fldChar w:fldCharType="separate"/>
          </w:r>
          <w:r w:rsidR="001F7BAA" w:rsidRPr="000A53C0">
            <w:rPr>
              <w:rFonts w:cs="Arial"/>
              <w:noProof/>
            </w:rPr>
            <w:t>(Department of Prime Minister and Cabinet 2023)</w:t>
          </w:r>
          <w:r w:rsidR="00141C2D" w:rsidRPr="000A53C0">
            <w:rPr>
              <w:rFonts w:cs="Arial"/>
            </w:rPr>
            <w:fldChar w:fldCharType="end"/>
          </w:r>
        </w:sdtContent>
      </w:sdt>
      <w:r w:rsidRPr="000A53C0">
        <w:rPr>
          <w:rFonts w:cs="Arial"/>
        </w:rPr>
        <w:fldChar w:fldCharType="begin"/>
      </w:r>
      <w:r w:rsidRPr="000A53C0">
        <w:rPr>
          <w:rFonts w:cs="Arial"/>
        </w:rPr>
        <w:instrText xml:space="preserve"> ADDIN ZOTERO_ITEM CSL_CITATION {"citationID":"QMtJAFM9","properties":{"formattedCitation":"(Department of Prime Minister and Cabinet 2021a)","plainCitation":"(Department of Prime Minister and Cabinet 2021a)","noteIndex":0},"citationItems":[{"id":837,"uris":["http://zotero.org/users/6230888/items/QGN7XAW3"],"itemData":{"id":837,"type":"report","page":"34","title":"Regulatory Impact Analysis Guide for Ministers’ Meetings and National Standard Setting Bodies | OBPR","URL":"https://obpr.pmc.gov.au/resources/guidance-impact-analysis/regulatory-impact-analysis-guide-ministers-meetings-and-national","author":[{"literal":"Department of Prime Minister and Cabinet"}],"accessed":{"date-parts":[["2022",6,24]]},"issued":{"date-parts":[["2021"]]}}}],"schema":"https://github.com/citation-style-language/schema/raw/master/csl-citation.json"} </w:instrText>
      </w:r>
      <w:r w:rsidRPr="000A53C0">
        <w:rPr>
          <w:rFonts w:cs="Arial"/>
        </w:rPr>
        <w:fldChar w:fldCharType="end"/>
      </w:r>
      <w:r w:rsidRPr="000A53C0">
        <w:rPr>
          <w:rFonts w:cs="Arial"/>
        </w:rPr>
        <w:t xml:space="preserve">. </w:t>
      </w:r>
      <w:r w:rsidR="00297A5D" w:rsidRPr="000A53C0">
        <w:rPr>
          <w:rFonts w:cs="Arial"/>
        </w:rPr>
        <w:fldChar w:fldCharType="begin" w:fldLock="1"/>
      </w:r>
      <w:r w:rsidR="00297A5D" w:rsidRPr="000A53C0">
        <w:rPr>
          <w:rFonts w:cs="Arial"/>
        </w:rPr>
        <w:instrText xml:space="preserve"> REF _Ref139553082 \h </w:instrText>
      </w:r>
      <w:r w:rsidR="000A53C0">
        <w:rPr>
          <w:rFonts w:cs="Arial"/>
        </w:rPr>
        <w:instrText xml:space="preserve"> \* MERGEFORMAT </w:instrText>
      </w:r>
      <w:r w:rsidR="00297A5D" w:rsidRPr="000A53C0">
        <w:rPr>
          <w:rFonts w:cs="Arial"/>
        </w:rPr>
      </w:r>
      <w:r w:rsidR="00297A5D" w:rsidRPr="000A53C0">
        <w:rPr>
          <w:rFonts w:cs="Arial"/>
        </w:rPr>
        <w:fldChar w:fldCharType="separate"/>
      </w:r>
      <w:r w:rsidR="00D16271" w:rsidRPr="00D16271">
        <w:rPr>
          <w:rFonts w:cs="Arial"/>
        </w:rPr>
        <w:t xml:space="preserve">Table </w:t>
      </w:r>
      <w:r w:rsidR="00D16271" w:rsidRPr="00D16271">
        <w:rPr>
          <w:rFonts w:cs="Arial"/>
          <w:noProof/>
        </w:rPr>
        <w:t>3</w:t>
      </w:r>
      <w:r w:rsidR="00297A5D" w:rsidRPr="000A53C0">
        <w:rPr>
          <w:rFonts w:cs="Arial"/>
        </w:rPr>
        <w:fldChar w:fldCharType="end"/>
      </w:r>
      <w:r w:rsidR="00CD649A" w:rsidRPr="000A53C0">
        <w:rPr>
          <w:rFonts w:cs="Arial"/>
        </w:rPr>
        <w:t xml:space="preserve"> </w:t>
      </w:r>
      <w:r w:rsidR="009C59B5" w:rsidRPr="000A53C0">
        <w:rPr>
          <w:rFonts w:cs="Arial"/>
        </w:rPr>
        <w:t>indicates where</w:t>
      </w:r>
      <w:r w:rsidR="00DB60B3" w:rsidRPr="000A53C0">
        <w:rPr>
          <w:rFonts w:cs="Arial"/>
        </w:rPr>
        <w:t xml:space="preserve"> and </w:t>
      </w:r>
      <w:r w:rsidR="009C59B5" w:rsidRPr="000A53C0">
        <w:rPr>
          <w:rFonts w:cs="Arial"/>
        </w:rPr>
        <w:t xml:space="preserve">how each </w:t>
      </w:r>
      <w:r w:rsidR="00E34394" w:rsidRPr="000A53C0">
        <w:rPr>
          <w:rFonts w:cs="Arial"/>
        </w:rPr>
        <w:t xml:space="preserve">of the </w:t>
      </w:r>
      <w:r w:rsidR="00E43591" w:rsidRPr="000A53C0">
        <w:rPr>
          <w:rFonts w:cs="Arial"/>
        </w:rPr>
        <w:t>required q</w:t>
      </w:r>
      <w:r w:rsidR="009C59B5" w:rsidRPr="000A53C0">
        <w:rPr>
          <w:rFonts w:cs="Arial"/>
        </w:rPr>
        <w:t>uestion</w:t>
      </w:r>
      <w:r w:rsidR="00E34394" w:rsidRPr="000A53C0">
        <w:rPr>
          <w:rFonts w:cs="Arial"/>
        </w:rPr>
        <w:t>s</w:t>
      </w:r>
      <w:r w:rsidR="009C59B5" w:rsidRPr="000A53C0">
        <w:rPr>
          <w:rFonts w:cs="Arial"/>
        </w:rPr>
        <w:t xml:space="preserve"> ha</w:t>
      </w:r>
      <w:r w:rsidR="00E43591" w:rsidRPr="000A53C0">
        <w:rPr>
          <w:rFonts w:cs="Arial"/>
        </w:rPr>
        <w:t xml:space="preserve">ve </w:t>
      </w:r>
      <w:r w:rsidR="009C59B5" w:rsidRPr="000A53C0">
        <w:rPr>
          <w:rFonts w:cs="Arial"/>
        </w:rPr>
        <w:t xml:space="preserve">been addressed in this Decision RIS. </w:t>
      </w:r>
    </w:p>
    <w:p w14:paraId="546D4754" w14:textId="4D0E5AF0" w:rsidR="009C59B5" w:rsidRPr="000A53C0" w:rsidRDefault="009C59B5" w:rsidP="009C59B5">
      <w:pPr>
        <w:pStyle w:val="Caption"/>
        <w:rPr>
          <w:rFonts w:cs="Arial"/>
        </w:rPr>
      </w:pPr>
      <w:bookmarkStart w:id="25" w:name="_Ref139553082"/>
      <w:bookmarkStart w:id="26" w:name="_Ref139553080"/>
      <w:r w:rsidRPr="003604B0">
        <w:rPr>
          <w:rFonts w:cs="Arial"/>
          <w:b/>
          <w:bCs/>
        </w:rPr>
        <w:t xml:space="preserve">Table </w:t>
      </w:r>
      <w:r w:rsidRPr="003604B0">
        <w:rPr>
          <w:rFonts w:cs="Arial"/>
          <w:b/>
          <w:bCs/>
        </w:rPr>
        <w:fldChar w:fldCharType="begin"/>
      </w:r>
      <w:r w:rsidRPr="003604B0">
        <w:rPr>
          <w:rFonts w:cs="Arial"/>
          <w:b/>
          <w:bCs/>
        </w:rPr>
        <w:instrText>SEQ Table \* ARABIC</w:instrText>
      </w:r>
      <w:r w:rsidRPr="003604B0">
        <w:rPr>
          <w:rFonts w:cs="Arial"/>
          <w:b/>
          <w:bCs/>
        </w:rPr>
        <w:fldChar w:fldCharType="separate"/>
      </w:r>
      <w:r w:rsidR="00D16271">
        <w:rPr>
          <w:rFonts w:cs="Arial"/>
          <w:b/>
          <w:bCs/>
          <w:noProof/>
        </w:rPr>
        <w:t>3</w:t>
      </w:r>
      <w:r w:rsidRPr="003604B0">
        <w:rPr>
          <w:rFonts w:cs="Arial"/>
          <w:b/>
          <w:bCs/>
        </w:rPr>
        <w:fldChar w:fldCharType="end"/>
      </w:r>
      <w:bookmarkEnd w:id="25"/>
      <w:r w:rsidR="003604B0">
        <w:rPr>
          <w:rFonts w:cs="Arial"/>
        </w:rPr>
        <w:t xml:space="preserve"> </w:t>
      </w:r>
      <w:r w:rsidR="007D2D03" w:rsidRPr="000A53C0">
        <w:rPr>
          <w:rFonts w:cs="Arial"/>
        </w:rPr>
        <w:t xml:space="preserve">The </w:t>
      </w:r>
      <w:r w:rsidR="00331300">
        <w:rPr>
          <w:rFonts w:cs="Arial"/>
        </w:rPr>
        <w:t>7</w:t>
      </w:r>
      <w:r w:rsidR="007D2D03" w:rsidRPr="000A53C0">
        <w:rPr>
          <w:rFonts w:cs="Arial"/>
        </w:rPr>
        <w:t xml:space="preserve"> RIS </w:t>
      </w:r>
      <w:r w:rsidR="00EC64FA">
        <w:rPr>
          <w:rFonts w:cs="Arial"/>
        </w:rPr>
        <w:t>q</w:t>
      </w:r>
      <w:r w:rsidR="007D2D03" w:rsidRPr="000A53C0">
        <w:rPr>
          <w:rFonts w:cs="Arial"/>
        </w:rPr>
        <w:t>uestions</w:t>
      </w:r>
      <w:bookmarkEnd w:id="26"/>
    </w:p>
    <w:tbl>
      <w:tblPr>
        <w:tblStyle w:val="PMCDefaultTableStyle"/>
        <w:tblW w:w="0" w:type="auto"/>
        <w:tblLook w:val="04A0" w:firstRow="1" w:lastRow="0" w:firstColumn="1" w:lastColumn="0" w:noHBand="0" w:noVBand="1"/>
      </w:tblPr>
      <w:tblGrid>
        <w:gridCol w:w="5097"/>
        <w:gridCol w:w="5097"/>
      </w:tblGrid>
      <w:tr w:rsidR="007D2D03" w:rsidRPr="000A53C0" w14:paraId="3BF2A1A6" w14:textId="77777777" w:rsidTr="003604B0">
        <w:trPr>
          <w:cnfStyle w:val="100000000000" w:firstRow="1" w:lastRow="0" w:firstColumn="0" w:lastColumn="0" w:oddVBand="0" w:evenVBand="0" w:oddHBand="0" w:evenHBand="0" w:firstRowFirstColumn="0" w:firstRowLastColumn="0" w:lastRowFirstColumn="0" w:lastRowLastColumn="0"/>
          <w:trHeight w:val="446"/>
        </w:trPr>
        <w:tc>
          <w:tcPr>
            <w:tcW w:w="5097" w:type="dxa"/>
            <w:shd w:val="clear" w:color="auto" w:fill="E81D32"/>
            <w:vAlign w:val="center"/>
          </w:tcPr>
          <w:p w14:paraId="5408D3DD" w14:textId="3428ABE9" w:rsidR="007D2D03" w:rsidRPr="003604B0" w:rsidRDefault="007D2D03" w:rsidP="003604B0">
            <w:pPr>
              <w:pStyle w:val="TableHeading"/>
              <w:spacing w:before="0" w:after="0"/>
              <w:rPr>
                <w:rFonts w:ascii="Arial" w:hAnsi="Arial" w:cs="Arial"/>
                <w:b/>
                <w:bCs/>
                <w:color w:val="FFFFFF" w:themeColor="background1"/>
              </w:rPr>
            </w:pPr>
            <w:r w:rsidRPr="003604B0">
              <w:rPr>
                <w:rFonts w:ascii="Arial" w:hAnsi="Arial" w:cs="Arial"/>
                <w:b/>
                <w:bCs/>
                <w:color w:val="FFFFFF" w:themeColor="background1"/>
              </w:rPr>
              <w:t>Question</w:t>
            </w:r>
          </w:p>
        </w:tc>
        <w:tc>
          <w:tcPr>
            <w:tcW w:w="5097" w:type="dxa"/>
            <w:shd w:val="clear" w:color="auto" w:fill="E81D32"/>
            <w:vAlign w:val="center"/>
          </w:tcPr>
          <w:p w14:paraId="71B4B0E1" w14:textId="07643277" w:rsidR="007D2D03" w:rsidRPr="003604B0" w:rsidRDefault="007D2D03" w:rsidP="003604B0">
            <w:pPr>
              <w:pStyle w:val="TableHeading"/>
              <w:spacing w:before="0" w:after="0"/>
              <w:rPr>
                <w:rFonts w:ascii="Arial" w:hAnsi="Arial" w:cs="Arial"/>
                <w:b/>
                <w:bCs/>
                <w:color w:val="FFFFFF" w:themeColor="background1"/>
              </w:rPr>
            </w:pPr>
            <w:r w:rsidRPr="003604B0">
              <w:rPr>
                <w:rFonts w:ascii="Arial" w:hAnsi="Arial" w:cs="Arial"/>
                <w:b/>
                <w:bCs/>
                <w:color w:val="FFFFFF" w:themeColor="background1"/>
              </w:rPr>
              <w:t>Location</w:t>
            </w:r>
          </w:p>
        </w:tc>
      </w:tr>
      <w:tr w:rsidR="00EF7E7E" w:rsidRPr="000A53C0" w14:paraId="7350DDEA" w14:textId="77777777">
        <w:trPr>
          <w:cnfStyle w:val="000000100000" w:firstRow="0" w:lastRow="0" w:firstColumn="0" w:lastColumn="0" w:oddVBand="0" w:evenVBand="0" w:oddHBand="1" w:evenHBand="0" w:firstRowFirstColumn="0" w:firstRowLastColumn="0" w:lastRowFirstColumn="0" w:lastRowLastColumn="0"/>
        </w:trPr>
        <w:tc>
          <w:tcPr>
            <w:tcW w:w="5097" w:type="dxa"/>
          </w:tcPr>
          <w:p w14:paraId="42E8CA16" w14:textId="77777777" w:rsidR="00EF7E7E" w:rsidRPr="000A53C0" w:rsidRDefault="00EF7E7E">
            <w:pPr>
              <w:pStyle w:val="TableBody"/>
              <w:rPr>
                <w:rFonts w:cs="Arial"/>
              </w:rPr>
            </w:pPr>
            <w:r w:rsidRPr="000A53C0">
              <w:rPr>
                <w:rFonts w:cs="Arial"/>
              </w:rPr>
              <w:t>Why is government action needed?</w:t>
            </w:r>
          </w:p>
        </w:tc>
        <w:tc>
          <w:tcPr>
            <w:tcW w:w="5097" w:type="dxa"/>
          </w:tcPr>
          <w:p w14:paraId="779D9458" w14:textId="4BA76A67" w:rsidR="00EF7E7E" w:rsidRPr="000A53C0" w:rsidRDefault="00EF7E7E">
            <w:pPr>
              <w:pStyle w:val="TableBody"/>
              <w:rPr>
                <w:rFonts w:cs="Arial"/>
              </w:rPr>
            </w:pPr>
            <w:r w:rsidRPr="000A53C0">
              <w:rPr>
                <w:rFonts w:cs="Arial"/>
              </w:rPr>
              <w:t xml:space="preserve">Chapter </w:t>
            </w:r>
            <w:r w:rsidR="006771DE">
              <w:rPr>
                <w:rFonts w:cs="Arial"/>
              </w:rPr>
              <w:t>1</w:t>
            </w:r>
            <w:r w:rsidRPr="000A53C0">
              <w:rPr>
                <w:rFonts w:cs="Arial"/>
              </w:rPr>
              <w:t xml:space="preserve"> </w:t>
            </w:r>
            <w:r w:rsidR="00F71349">
              <w:rPr>
                <w:rFonts w:cs="Arial"/>
              </w:rPr>
              <w:t>–</w:t>
            </w:r>
            <w:r w:rsidRPr="000A53C0">
              <w:rPr>
                <w:rFonts w:cs="Arial"/>
              </w:rPr>
              <w:t xml:space="preserve"> Introduction</w:t>
            </w:r>
          </w:p>
        </w:tc>
      </w:tr>
      <w:tr w:rsidR="007D2D03" w:rsidRPr="000A53C0" w14:paraId="25FDE42B" w14:textId="77777777" w:rsidTr="001F513C">
        <w:trPr>
          <w:cnfStyle w:val="000000010000" w:firstRow="0" w:lastRow="0" w:firstColumn="0" w:lastColumn="0" w:oddVBand="0" w:evenVBand="0" w:oddHBand="0" w:evenHBand="1" w:firstRowFirstColumn="0" w:firstRowLastColumn="0" w:lastRowFirstColumn="0" w:lastRowLastColumn="0"/>
        </w:trPr>
        <w:tc>
          <w:tcPr>
            <w:tcW w:w="5097" w:type="dxa"/>
          </w:tcPr>
          <w:p w14:paraId="66302529" w14:textId="7DA94660" w:rsidR="007D2D03" w:rsidRPr="000A53C0" w:rsidRDefault="007D2D03" w:rsidP="001F513C">
            <w:pPr>
              <w:pStyle w:val="TableBody"/>
              <w:rPr>
                <w:rFonts w:cs="Arial"/>
              </w:rPr>
            </w:pPr>
            <w:r w:rsidRPr="000A53C0">
              <w:rPr>
                <w:rFonts w:cs="Arial"/>
              </w:rPr>
              <w:t>What is the problem</w:t>
            </w:r>
            <w:r w:rsidR="00EF7E7E" w:rsidRPr="000A53C0">
              <w:rPr>
                <w:rFonts w:cs="Arial"/>
              </w:rPr>
              <w:t>?</w:t>
            </w:r>
          </w:p>
        </w:tc>
        <w:tc>
          <w:tcPr>
            <w:tcW w:w="5097" w:type="dxa"/>
          </w:tcPr>
          <w:p w14:paraId="600E7726" w14:textId="2CE1E921" w:rsidR="007D2D03" w:rsidRPr="000A53C0" w:rsidRDefault="0054547A" w:rsidP="001F513C">
            <w:pPr>
              <w:pStyle w:val="TableBody"/>
              <w:rPr>
                <w:rFonts w:cs="Arial"/>
              </w:rPr>
            </w:pPr>
            <w:r w:rsidRPr="000A53C0">
              <w:rPr>
                <w:rFonts w:cs="Arial"/>
              </w:rPr>
              <w:t xml:space="preserve">Chapter </w:t>
            </w:r>
            <w:r w:rsidR="00C02C22" w:rsidRPr="000A53C0">
              <w:rPr>
                <w:rFonts w:cs="Arial"/>
              </w:rPr>
              <w:fldChar w:fldCharType="begin" w:fldLock="1"/>
            </w:r>
            <w:r w:rsidR="00C02C22" w:rsidRPr="000A53C0">
              <w:rPr>
                <w:rFonts w:cs="Arial"/>
              </w:rPr>
              <w:instrText xml:space="preserve"> REF _Ref139639328 \r \h </w:instrText>
            </w:r>
            <w:r w:rsidR="000A53C0">
              <w:rPr>
                <w:rFonts w:cs="Arial"/>
              </w:rPr>
              <w:instrText xml:space="preserve"> \* MERGEFORMAT </w:instrText>
            </w:r>
            <w:r w:rsidR="00C02C22" w:rsidRPr="000A53C0">
              <w:rPr>
                <w:rFonts w:cs="Arial"/>
              </w:rPr>
            </w:r>
            <w:r w:rsidR="00C02C22" w:rsidRPr="000A53C0">
              <w:rPr>
                <w:rFonts w:cs="Arial"/>
              </w:rPr>
              <w:fldChar w:fldCharType="separate"/>
            </w:r>
            <w:r w:rsidR="00D16271">
              <w:rPr>
                <w:rFonts w:cs="Arial"/>
              </w:rPr>
              <w:t>2</w:t>
            </w:r>
            <w:r w:rsidR="00C02C22" w:rsidRPr="000A53C0">
              <w:rPr>
                <w:rFonts w:cs="Arial"/>
              </w:rPr>
              <w:fldChar w:fldCharType="end"/>
            </w:r>
            <w:r w:rsidRPr="000A53C0">
              <w:rPr>
                <w:rFonts w:cs="Arial"/>
              </w:rPr>
              <w:t xml:space="preserve"> –</w:t>
            </w:r>
            <w:r w:rsidR="004717E9" w:rsidRPr="000A53C0">
              <w:rPr>
                <w:rFonts w:cs="Arial"/>
              </w:rPr>
              <w:t xml:space="preserve"> </w:t>
            </w:r>
            <w:r w:rsidRPr="000A53C0">
              <w:rPr>
                <w:rFonts w:cs="Arial"/>
              </w:rPr>
              <w:t xml:space="preserve">Statement of the </w:t>
            </w:r>
            <w:r w:rsidR="007053D9">
              <w:rPr>
                <w:rFonts w:cs="Arial"/>
              </w:rPr>
              <w:t>p</w:t>
            </w:r>
            <w:r w:rsidRPr="000A53C0">
              <w:rPr>
                <w:rFonts w:cs="Arial"/>
              </w:rPr>
              <w:t xml:space="preserve">roblem </w:t>
            </w:r>
          </w:p>
        </w:tc>
      </w:tr>
      <w:tr w:rsidR="007D2D03" w:rsidRPr="000A53C0" w14:paraId="30AA3B37" w14:textId="77777777" w:rsidTr="001F513C">
        <w:trPr>
          <w:cnfStyle w:val="000000100000" w:firstRow="0" w:lastRow="0" w:firstColumn="0" w:lastColumn="0" w:oddVBand="0" w:evenVBand="0" w:oddHBand="1" w:evenHBand="0" w:firstRowFirstColumn="0" w:firstRowLastColumn="0" w:lastRowFirstColumn="0" w:lastRowLastColumn="0"/>
        </w:trPr>
        <w:tc>
          <w:tcPr>
            <w:tcW w:w="5097" w:type="dxa"/>
          </w:tcPr>
          <w:p w14:paraId="121B55CB" w14:textId="576E96B6" w:rsidR="007D2D03" w:rsidRPr="000A53C0" w:rsidRDefault="0054547A" w:rsidP="001F513C">
            <w:pPr>
              <w:pStyle w:val="TableBody"/>
              <w:rPr>
                <w:rFonts w:cs="Arial"/>
              </w:rPr>
            </w:pPr>
            <w:r w:rsidRPr="000A53C0">
              <w:rPr>
                <w:rFonts w:cs="Arial"/>
              </w:rPr>
              <w:t xml:space="preserve">What </w:t>
            </w:r>
            <w:r w:rsidR="00EF7E7E" w:rsidRPr="000A53C0">
              <w:rPr>
                <w:rFonts w:cs="Arial"/>
              </w:rPr>
              <w:t>p</w:t>
            </w:r>
            <w:r w:rsidRPr="000A53C0">
              <w:rPr>
                <w:rFonts w:cs="Arial"/>
              </w:rPr>
              <w:t xml:space="preserve">olicy </w:t>
            </w:r>
            <w:r w:rsidR="00EF7E7E" w:rsidRPr="000A53C0">
              <w:rPr>
                <w:rFonts w:cs="Arial"/>
              </w:rPr>
              <w:t>o</w:t>
            </w:r>
            <w:r w:rsidRPr="000A53C0">
              <w:rPr>
                <w:rFonts w:cs="Arial"/>
              </w:rPr>
              <w:t>ptions are to be considered</w:t>
            </w:r>
            <w:r w:rsidR="00EF7E7E" w:rsidRPr="000A53C0">
              <w:rPr>
                <w:rFonts w:cs="Arial"/>
              </w:rPr>
              <w:t>?</w:t>
            </w:r>
          </w:p>
        </w:tc>
        <w:tc>
          <w:tcPr>
            <w:tcW w:w="5097" w:type="dxa"/>
          </w:tcPr>
          <w:p w14:paraId="3DB700E6" w14:textId="6D8FBBB5" w:rsidR="007D2D03" w:rsidRPr="000A53C0" w:rsidRDefault="000B5848"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_Ref140226928 \r \h </w:instrText>
            </w:r>
            <w:r w:rsidR="000A53C0">
              <w:rPr>
                <w:rFonts w:cs="Arial"/>
              </w:rPr>
              <w:instrText xml:space="preserve"> \* MERGEFORMAT </w:instrText>
            </w:r>
            <w:r w:rsidRPr="000A53C0">
              <w:rPr>
                <w:rFonts w:cs="Arial"/>
              </w:rPr>
            </w:r>
            <w:r w:rsidRPr="000A53C0">
              <w:rPr>
                <w:rFonts w:cs="Arial"/>
              </w:rPr>
              <w:fldChar w:fldCharType="separate"/>
            </w:r>
            <w:r w:rsidR="00D16271">
              <w:rPr>
                <w:rFonts w:cs="Arial"/>
              </w:rPr>
              <w:t>3</w:t>
            </w:r>
            <w:r w:rsidRPr="000A53C0">
              <w:rPr>
                <w:rFonts w:cs="Arial"/>
              </w:rPr>
              <w:fldChar w:fldCharType="end"/>
            </w:r>
            <w:r w:rsidRPr="000A53C0">
              <w:rPr>
                <w:rFonts w:cs="Arial"/>
              </w:rPr>
              <w:t xml:space="preserve"> – What </w:t>
            </w:r>
            <w:r w:rsidR="001833BF" w:rsidRPr="000A53C0">
              <w:rPr>
                <w:rFonts w:cs="Arial"/>
              </w:rPr>
              <w:t>policy options are being considered</w:t>
            </w:r>
          </w:p>
        </w:tc>
      </w:tr>
      <w:tr w:rsidR="007D2D03" w:rsidRPr="000A53C0" w14:paraId="5B19FE8D" w14:textId="77777777" w:rsidTr="001F513C">
        <w:trPr>
          <w:cnfStyle w:val="000000010000" w:firstRow="0" w:lastRow="0" w:firstColumn="0" w:lastColumn="0" w:oddVBand="0" w:evenVBand="0" w:oddHBand="0" w:evenHBand="1" w:firstRowFirstColumn="0" w:firstRowLastColumn="0" w:lastRowFirstColumn="0" w:lastRowLastColumn="0"/>
        </w:trPr>
        <w:tc>
          <w:tcPr>
            <w:tcW w:w="5097" w:type="dxa"/>
          </w:tcPr>
          <w:p w14:paraId="0DAE87A6" w14:textId="3667FA44" w:rsidR="00A13318" w:rsidRPr="000A53C0" w:rsidRDefault="00943393" w:rsidP="001F513C">
            <w:pPr>
              <w:pStyle w:val="TableBody"/>
              <w:rPr>
                <w:rFonts w:cs="Arial"/>
              </w:rPr>
            </w:pPr>
            <w:r w:rsidRPr="000A53C0">
              <w:rPr>
                <w:rFonts w:cs="Arial"/>
              </w:rPr>
              <w:t>What is the likely net benefit of each option?</w:t>
            </w:r>
          </w:p>
        </w:tc>
        <w:tc>
          <w:tcPr>
            <w:tcW w:w="5097" w:type="dxa"/>
          </w:tcPr>
          <w:p w14:paraId="7B969689" w14:textId="157DBFB2" w:rsidR="007D2D03" w:rsidRPr="000A53C0" w:rsidRDefault="00943393"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_Ref124686999 \r \h  \* MERGEFORMAT </w:instrText>
            </w:r>
            <w:r w:rsidRPr="000A53C0">
              <w:rPr>
                <w:rFonts w:cs="Arial"/>
              </w:rPr>
            </w:r>
            <w:r w:rsidRPr="000A53C0">
              <w:rPr>
                <w:rFonts w:cs="Arial"/>
              </w:rPr>
              <w:fldChar w:fldCharType="separate"/>
            </w:r>
            <w:r w:rsidR="00D16271">
              <w:rPr>
                <w:rFonts w:cs="Arial"/>
              </w:rPr>
              <w:t>4</w:t>
            </w:r>
            <w:r w:rsidRPr="000A53C0">
              <w:rPr>
                <w:rFonts w:cs="Arial"/>
              </w:rPr>
              <w:fldChar w:fldCharType="end"/>
            </w:r>
            <w:r w:rsidRPr="000A53C0">
              <w:rPr>
                <w:rFonts w:cs="Arial"/>
              </w:rPr>
              <w:t xml:space="preserve"> </w:t>
            </w:r>
            <w:r w:rsidR="00C65E60">
              <w:rPr>
                <w:rFonts w:cs="Arial"/>
              </w:rPr>
              <w:t>–</w:t>
            </w:r>
            <w:r w:rsidRPr="000A53C0">
              <w:rPr>
                <w:rFonts w:cs="Arial"/>
              </w:rPr>
              <w:t xml:space="preserve"> </w:t>
            </w:r>
            <w:r w:rsidRPr="000A53C0">
              <w:rPr>
                <w:rFonts w:cs="Arial"/>
              </w:rPr>
              <w:fldChar w:fldCharType="begin" w:fldLock="1"/>
            </w:r>
            <w:r w:rsidRPr="000A53C0">
              <w:rPr>
                <w:rFonts w:cs="Arial"/>
              </w:rPr>
              <w:instrText xml:space="preserve"> REF _Ref124686999 \h  \* MERGEFORMAT </w:instrText>
            </w:r>
            <w:r w:rsidRPr="000A53C0">
              <w:rPr>
                <w:rFonts w:cs="Arial"/>
              </w:rPr>
            </w:r>
            <w:r w:rsidRPr="000A53C0">
              <w:rPr>
                <w:rFonts w:cs="Arial"/>
              </w:rPr>
              <w:fldChar w:fldCharType="separate"/>
            </w:r>
            <w:r w:rsidR="00D16271" w:rsidRPr="00D16271">
              <w:rPr>
                <w:rFonts w:cs="Arial"/>
              </w:rPr>
              <w:t>What is the likely impact of the options?</w:t>
            </w:r>
            <w:r w:rsidRPr="000A53C0">
              <w:rPr>
                <w:rFonts w:cs="Arial"/>
              </w:rPr>
              <w:fldChar w:fldCharType="end"/>
            </w:r>
          </w:p>
        </w:tc>
      </w:tr>
      <w:tr w:rsidR="007D2D03" w:rsidRPr="000A53C0" w14:paraId="4411DD64" w14:textId="77777777" w:rsidTr="001F513C">
        <w:trPr>
          <w:cnfStyle w:val="000000100000" w:firstRow="0" w:lastRow="0" w:firstColumn="0" w:lastColumn="0" w:oddVBand="0" w:evenVBand="0" w:oddHBand="1" w:evenHBand="0" w:firstRowFirstColumn="0" w:firstRowLastColumn="0" w:lastRowFirstColumn="0" w:lastRowLastColumn="0"/>
        </w:trPr>
        <w:tc>
          <w:tcPr>
            <w:tcW w:w="5097" w:type="dxa"/>
          </w:tcPr>
          <w:p w14:paraId="0F475FEF" w14:textId="2CAD1B04" w:rsidR="007D2D03" w:rsidRPr="000A53C0" w:rsidRDefault="00E10576" w:rsidP="001F513C">
            <w:pPr>
              <w:pStyle w:val="TableBody"/>
              <w:rPr>
                <w:rFonts w:cs="Arial"/>
              </w:rPr>
            </w:pPr>
            <w:r w:rsidRPr="000A53C0">
              <w:rPr>
                <w:rFonts w:cs="Arial"/>
              </w:rPr>
              <w:t>Who was consulted and how was their feedback incorporated?</w:t>
            </w:r>
          </w:p>
        </w:tc>
        <w:tc>
          <w:tcPr>
            <w:tcW w:w="5097" w:type="dxa"/>
          </w:tcPr>
          <w:p w14:paraId="40381F34" w14:textId="56D549D8" w:rsidR="007D2D03" w:rsidRPr="000A53C0" w:rsidRDefault="00E10576"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_Ref139550631 \r \h </w:instrText>
            </w:r>
            <w:r w:rsidR="001F513C" w:rsidRPr="000A53C0">
              <w:rPr>
                <w:rFonts w:cs="Arial"/>
              </w:rPr>
              <w:instrText xml:space="preserve"> \* MERGEFORMAT </w:instrText>
            </w:r>
            <w:r w:rsidRPr="000A53C0">
              <w:rPr>
                <w:rFonts w:cs="Arial"/>
              </w:rPr>
            </w:r>
            <w:r w:rsidRPr="000A53C0">
              <w:rPr>
                <w:rFonts w:cs="Arial"/>
              </w:rPr>
              <w:fldChar w:fldCharType="separate"/>
            </w:r>
            <w:r w:rsidR="00D16271">
              <w:rPr>
                <w:rFonts w:cs="Arial"/>
              </w:rPr>
              <w:t>5</w:t>
            </w:r>
            <w:r w:rsidRPr="000A53C0">
              <w:rPr>
                <w:rFonts w:cs="Arial"/>
              </w:rPr>
              <w:fldChar w:fldCharType="end"/>
            </w:r>
            <w:r w:rsidRPr="000A53C0">
              <w:rPr>
                <w:rFonts w:cs="Arial"/>
              </w:rPr>
              <w:t xml:space="preserve"> </w:t>
            </w:r>
            <w:r w:rsidR="00F71349">
              <w:rPr>
                <w:rFonts w:cs="Arial"/>
              </w:rPr>
              <w:t>–</w:t>
            </w:r>
            <w:r w:rsidRPr="000A53C0">
              <w:rPr>
                <w:rFonts w:cs="Arial"/>
              </w:rPr>
              <w:t xml:space="preserve"> </w:t>
            </w:r>
            <w:r w:rsidRPr="000A53C0">
              <w:rPr>
                <w:rFonts w:cs="Arial"/>
              </w:rPr>
              <w:fldChar w:fldCharType="begin" w:fldLock="1"/>
            </w:r>
            <w:r w:rsidRPr="000A53C0">
              <w:rPr>
                <w:rFonts w:cs="Arial"/>
              </w:rPr>
              <w:instrText xml:space="preserve"> REF _Ref139550626 \h </w:instrText>
            </w:r>
            <w:r w:rsidR="001F513C" w:rsidRP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Who was consulted and how was their feedback incorporated?</w:t>
            </w:r>
            <w:r w:rsidRPr="000A53C0">
              <w:rPr>
                <w:rFonts w:cs="Arial"/>
              </w:rPr>
              <w:fldChar w:fldCharType="end"/>
            </w:r>
          </w:p>
        </w:tc>
      </w:tr>
      <w:tr w:rsidR="00943393" w:rsidRPr="000A53C0" w14:paraId="1E35BB7D" w14:textId="77777777" w:rsidTr="001F513C">
        <w:trPr>
          <w:cnfStyle w:val="000000010000" w:firstRow="0" w:lastRow="0" w:firstColumn="0" w:lastColumn="0" w:oddVBand="0" w:evenVBand="0" w:oddHBand="0" w:evenHBand="1" w:firstRowFirstColumn="0" w:firstRowLastColumn="0" w:lastRowFirstColumn="0" w:lastRowLastColumn="0"/>
        </w:trPr>
        <w:tc>
          <w:tcPr>
            <w:tcW w:w="5097" w:type="dxa"/>
          </w:tcPr>
          <w:p w14:paraId="3859CB0D" w14:textId="1140196D" w:rsidR="00943393" w:rsidRPr="000A53C0" w:rsidRDefault="00B91D42" w:rsidP="001F513C">
            <w:pPr>
              <w:pStyle w:val="TableBody"/>
              <w:rPr>
                <w:rFonts w:cs="Arial"/>
              </w:rPr>
            </w:pPr>
            <w:r w:rsidRPr="000A53C0">
              <w:rPr>
                <w:rFonts w:cs="Arial"/>
              </w:rPr>
              <w:t>What is the best option from those considered and how will it be implemented?</w:t>
            </w:r>
          </w:p>
        </w:tc>
        <w:tc>
          <w:tcPr>
            <w:tcW w:w="5097" w:type="dxa"/>
          </w:tcPr>
          <w:p w14:paraId="407596EB" w14:textId="7241A3E7" w:rsidR="00943393" w:rsidRPr="000A53C0" w:rsidRDefault="00B91D42"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_Ref139550670 \r \h </w:instrText>
            </w:r>
            <w:r w:rsidR="001F513C" w:rsidRPr="000A53C0">
              <w:rPr>
                <w:rFonts w:cs="Arial"/>
              </w:rPr>
              <w:instrText xml:space="preserve"> \* MERGEFORMAT </w:instrText>
            </w:r>
            <w:r w:rsidRPr="000A53C0">
              <w:rPr>
                <w:rFonts w:cs="Arial"/>
              </w:rPr>
            </w:r>
            <w:r w:rsidRPr="000A53C0">
              <w:rPr>
                <w:rFonts w:cs="Arial"/>
              </w:rPr>
              <w:fldChar w:fldCharType="separate"/>
            </w:r>
            <w:r w:rsidR="00D16271">
              <w:rPr>
                <w:rFonts w:cs="Arial"/>
              </w:rPr>
              <w:t>6</w:t>
            </w:r>
            <w:r w:rsidRPr="000A53C0">
              <w:rPr>
                <w:rFonts w:cs="Arial"/>
              </w:rPr>
              <w:fldChar w:fldCharType="end"/>
            </w:r>
            <w:r w:rsidRPr="000A53C0">
              <w:rPr>
                <w:rFonts w:cs="Arial"/>
              </w:rPr>
              <w:t xml:space="preserve"> </w:t>
            </w:r>
            <w:r w:rsidR="00F71349">
              <w:rPr>
                <w:rFonts w:cs="Arial"/>
              </w:rPr>
              <w:t>–</w:t>
            </w:r>
            <w:r w:rsidRPr="000A53C0">
              <w:rPr>
                <w:rFonts w:cs="Arial"/>
              </w:rPr>
              <w:t xml:space="preserve"> </w:t>
            </w:r>
            <w:r w:rsidRPr="000A53C0">
              <w:rPr>
                <w:rFonts w:cs="Arial"/>
              </w:rPr>
              <w:fldChar w:fldCharType="begin" w:fldLock="1"/>
            </w:r>
            <w:r w:rsidRPr="000A53C0">
              <w:rPr>
                <w:rFonts w:cs="Arial"/>
              </w:rPr>
              <w:instrText xml:space="preserve"> REF _Ref139550676 \h </w:instrText>
            </w:r>
            <w:r w:rsidR="001F513C" w:rsidRP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What is the best option?</w:t>
            </w:r>
            <w:r w:rsidRPr="000A53C0">
              <w:rPr>
                <w:rFonts w:cs="Arial"/>
              </w:rPr>
              <w:fldChar w:fldCharType="end"/>
            </w:r>
          </w:p>
          <w:p w14:paraId="67CF7E86" w14:textId="0B1BDE14" w:rsidR="00D86A43" w:rsidRPr="000A53C0" w:rsidRDefault="00D86A43" w:rsidP="001F513C">
            <w:pPr>
              <w:pStyle w:val="TableBody"/>
              <w:rPr>
                <w:rFonts w:cs="Arial"/>
              </w:rPr>
            </w:pPr>
            <w:r w:rsidRPr="000A53C0">
              <w:rPr>
                <w:rFonts w:cs="Arial"/>
              </w:rPr>
              <w:t xml:space="preserve">Chapter </w:t>
            </w:r>
            <w:r w:rsidRPr="000A53C0">
              <w:rPr>
                <w:rFonts w:cs="Arial"/>
              </w:rPr>
              <w:fldChar w:fldCharType="begin" w:fldLock="1"/>
            </w:r>
            <w:r w:rsidRPr="000A53C0">
              <w:rPr>
                <w:rFonts w:cs="Arial"/>
              </w:rPr>
              <w:instrText xml:space="preserve"> REF _Ref139550771 \r \h  \* MERGEFORMAT </w:instrText>
            </w:r>
            <w:r w:rsidRPr="000A53C0">
              <w:rPr>
                <w:rFonts w:cs="Arial"/>
              </w:rPr>
            </w:r>
            <w:r w:rsidRPr="000A53C0">
              <w:rPr>
                <w:rFonts w:cs="Arial"/>
              </w:rPr>
              <w:fldChar w:fldCharType="separate"/>
            </w:r>
            <w:r w:rsidR="00D16271">
              <w:rPr>
                <w:rFonts w:cs="Arial"/>
              </w:rPr>
              <w:t>7</w:t>
            </w:r>
            <w:r w:rsidRPr="000A53C0">
              <w:rPr>
                <w:rFonts w:cs="Arial"/>
              </w:rPr>
              <w:fldChar w:fldCharType="end"/>
            </w:r>
            <w:r w:rsidRPr="000A53C0">
              <w:rPr>
                <w:rFonts w:cs="Arial"/>
              </w:rPr>
              <w:t xml:space="preserve"> </w:t>
            </w:r>
            <w:r w:rsidR="00F71349">
              <w:rPr>
                <w:rFonts w:cs="Arial"/>
              </w:rPr>
              <w:t>–</w:t>
            </w:r>
            <w:r w:rsidRPr="000A53C0">
              <w:rPr>
                <w:rFonts w:cs="Arial"/>
              </w:rPr>
              <w:t xml:space="preserve"> </w:t>
            </w:r>
            <w:r w:rsidRPr="000A53C0">
              <w:rPr>
                <w:rFonts w:cs="Arial"/>
              </w:rPr>
              <w:fldChar w:fldCharType="begin" w:fldLock="1"/>
            </w:r>
            <w:r w:rsidRPr="000A53C0">
              <w:rPr>
                <w:rFonts w:cs="Arial"/>
              </w:rPr>
              <w:instrText xml:space="preserve"> REF _Ref139550761 \h  \* MERGEFORMAT </w:instrText>
            </w:r>
            <w:r w:rsidRPr="000A53C0">
              <w:rPr>
                <w:rFonts w:cs="Arial"/>
              </w:rPr>
            </w:r>
            <w:r w:rsidRPr="000A53C0">
              <w:rPr>
                <w:rFonts w:cs="Arial"/>
              </w:rPr>
              <w:fldChar w:fldCharType="separate"/>
            </w:r>
            <w:r w:rsidR="00D16271" w:rsidRPr="00D16271">
              <w:rPr>
                <w:rFonts w:cs="Arial"/>
              </w:rPr>
              <w:t>Implementation and evaluation</w:t>
            </w:r>
            <w:r w:rsidRPr="000A53C0">
              <w:rPr>
                <w:rFonts w:cs="Arial"/>
              </w:rPr>
              <w:fldChar w:fldCharType="end"/>
            </w:r>
          </w:p>
        </w:tc>
      </w:tr>
      <w:tr w:rsidR="00943393" w:rsidRPr="000A53C0" w14:paraId="0A320E70" w14:textId="77777777" w:rsidTr="001F513C">
        <w:trPr>
          <w:cnfStyle w:val="000000100000" w:firstRow="0" w:lastRow="0" w:firstColumn="0" w:lastColumn="0" w:oddVBand="0" w:evenVBand="0" w:oddHBand="1" w:evenHBand="0" w:firstRowFirstColumn="0" w:firstRowLastColumn="0" w:lastRowFirstColumn="0" w:lastRowLastColumn="0"/>
        </w:trPr>
        <w:tc>
          <w:tcPr>
            <w:tcW w:w="5097" w:type="dxa"/>
          </w:tcPr>
          <w:p w14:paraId="1A99CD0F" w14:textId="301DDAAB" w:rsidR="00943393" w:rsidRPr="000A53C0" w:rsidRDefault="00ED40AE" w:rsidP="001F513C">
            <w:pPr>
              <w:pStyle w:val="TableBody"/>
              <w:rPr>
                <w:rFonts w:cs="Arial"/>
              </w:rPr>
            </w:pPr>
            <w:r w:rsidRPr="000A53C0">
              <w:rPr>
                <w:rFonts w:cs="Arial"/>
              </w:rPr>
              <w:t>How will the chosen option be evaluated?</w:t>
            </w:r>
          </w:p>
        </w:tc>
        <w:tc>
          <w:tcPr>
            <w:tcW w:w="5097" w:type="dxa"/>
          </w:tcPr>
          <w:p w14:paraId="195C6F99" w14:textId="557D99BE" w:rsidR="00943393" w:rsidRPr="000A53C0" w:rsidRDefault="001F513C" w:rsidP="001F513C">
            <w:pPr>
              <w:pStyle w:val="TableBody"/>
              <w:rPr>
                <w:rFonts w:cs="Arial"/>
              </w:rPr>
            </w:pPr>
            <w:r w:rsidRPr="000A53C0">
              <w:rPr>
                <w:rFonts w:cs="Arial"/>
              </w:rPr>
              <w:t xml:space="preserve">Chapter </w:t>
            </w:r>
            <w:r w:rsidR="00060A88" w:rsidRPr="000A53C0">
              <w:rPr>
                <w:rFonts w:cs="Arial"/>
              </w:rPr>
              <w:fldChar w:fldCharType="begin" w:fldLock="1"/>
            </w:r>
            <w:r w:rsidR="00060A88" w:rsidRPr="000A53C0">
              <w:rPr>
                <w:rFonts w:cs="Arial"/>
              </w:rPr>
              <w:instrText xml:space="preserve"> REF _Ref139550771 \r \h </w:instrText>
            </w:r>
            <w:r w:rsidRPr="000A53C0">
              <w:rPr>
                <w:rFonts w:cs="Arial"/>
              </w:rPr>
              <w:instrText xml:space="preserve"> \* MERGEFORMAT </w:instrText>
            </w:r>
            <w:r w:rsidR="00060A88" w:rsidRPr="000A53C0">
              <w:rPr>
                <w:rFonts w:cs="Arial"/>
              </w:rPr>
            </w:r>
            <w:r w:rsidR="00060A88" w:rsidRPr="000A53C0">
              <w:rPr>
                <w:rFonts w:cs="Arial"/>
              </w:rPr>
              <w:fldChar w:fldCharType="separate"/>
            </w:r>
            <w:r w:rsidR="00D16271">
              <w:rPr>
                <w:rFonts w:cs="Arial"/>
              </w:rPr>
              <w:t>7</w:t>
            </w:r>
            <w:r w:rsidR="00060A88" w:rsidRPr="000A53C0">
              <w:rPr>
                <w:rFonts w:cs="Arial"/>
              </w:rPr>
              <w:fldChar w:fldCharType="end"/>
            </w:r>
            <w:r w:rsidR="00060A88" w:rsidRPr="000A53C0">
              <w:rPr>
                <w:rFonts w:cs="Arial"/>
              </w:rPr>
              <w:t xml:space="preserve"> </w:t>
            </w:r>
            <w:r w:rsidR="00F71349">
              <w:rPr>
                <w:rFonts w:cs="Arial"/>
              </w:rPr>
              <w:t>–</w:t>
            </w:r>
            <w:r w:rsidR="00060A88" w:rsidRPr="000A53C0">
              <w:rPr>
                <w:rFonts w:cs="Arial"/>
              </w:rPr>
              <w:t xml:space="preserve"> </w:t>
            </w:r>
            <w:r w:rsidR="00060A88" w:rsidRPr="000A53C0">
              <w:rPr>
                <w:rFonts w:cs="Arial"/>
              </w:rPr>
              <w:fldChar w:fldCharType="begin" w:fldLock="1"/>
            </w:r>
            <w:r w:rsidR="00060A88" w:rsidRPr="000A53C0">
              <w:rPr>
                <w:rFonts w:cs="Arial"/>
              </w:rPr>
              <w:instrText xml:space="preserve"> REF _Ref139550761 \h </w:instrText>
            </w:r>
            <w:r w:rsidRPr="000A53C0">
              <w:rPr>
                <w:rFonts w:cs="Arial"/>
              </w:rPr>
              <w:instrText xml:space="preserve"> \* MERGEFORMAT </w:instrText>
            </w:r>
            <w:r w:rsidR="00060A88" w:rsidRPr="000A53C0">
              <w:rPr>
                <w:rFonts w:cs="Arial"/>
              </w:rPr>
            </w:r>
            <w:r w:rsidR="00060A88" w:rsidRPr="000A53C0">
              <w:rPr>
                <w:rFonts w:cs="Arial"/>
              </w:rPr>
              <w:fldChar w:fldCharType="separate"/>
            </w:r>
            <w:r w:rsidR="00D16271" w:rsidRPr="00D16271">
              <w:rPr>
                <w:rFonts w:cs="Arial"/>
              </w:rPr>
              <w:t>Implementation and evaluation</w:t>
            </w:r>
            <w:r w:rsidR="00060A88" w:rsidRPr="000A53C0">
              <w:rPr>
                <w:rFonts w:cs="Arial"/>
              </w:rPr>
              <w:fldChar w:fldCharType="end"/>
            </w:r>
          </w:p>
        </w:tc>
      </w:tr>
    </w:tbl>
    <w:p w14:paraId="4206CC51" w14:textId="77777777" w:rsidR="009C59B5" w:rsidRPr="000A53C0" w:rsidRDefault="009C59B5" w:rsidP="00785475">
      <w:pPr>
        <w:pStyle w:val="BodyText"/>
        <w:rPr>
          <w:rFonts w:cs="Arial"/>
        </w:rPr>
      </w:pPr>
    </w:p>
    <w:bookmarkEnd w:id="4"/>
    <w:bookmarkEnd w:id="5"/>
    <w:p w14:paraId="3291653F" w14:textId="4EC0541E" w:rsidR="00C75317" w:rsidRPr="000A53C0" w:rsidRDefault="00C75317" w:rsidP="00234FEF">
      <w:pPr>
        <w:pStyle w:val="BodyText"/>
        <w:rPr>
          <w:rFonts w:cs="Arial"/>
        </w:rPr>
      </w:pPr>
      <w:r w:rsidRPr="000A53C0">
        <w:rPr>
          <w:rFonts w:cs="Arial"/>
        </w:rPr>
        <w:br w:type="page"/>
      </w:r>
    </w:p>
    <w:p w14:paraId="348B5108" w14:textId="0670ECF1" w:rsidR="00716A5F" w:rsidRPr="000A53C0" w:rsidRDefault="0020370A" w:rsidP="0020094E">
      <w:pPr>
        <w:pStyle w:val="Heading1numbered"/>
      </w:pPr>
      <w:bookmarkStart w:id="27" w:name="_Ref139550418"/>
      <w:bookmarkStart w:id="28" w:name="_Ref139639328"/>
      <w:bookmarkStart w:id="29" w:name="_Toc142991320"/>
      <w:r w:rsidRPr="000A53C0">
        <w:lastRenderedPageBreak/>
        <w:t>Statement of the problem</w:t>
      </w:r>
      <w:bookmarkEnd w:id="27"/>
      <w:bookmarkEnd w:id="28"/>
      <w:bookmarkEnd w:id="29"/>
    </w:p>
    <w:p w14:paraId="65557BDE" w14:textId="6493126F" w:rsidR="008B3653" w:rsidRPr="000A53C0" w:rsidRDefault="00DA1B23" w:rsidP="00514CCB">
      <w:pPr>
        <w:pStyle w:val="Heading2numbered"/>
      </w:pPr>
      <w:bookmarkStart w:id="30" w:name="_Toc100240616"/>
      <w:bookmarkStart w:id="31" w:name="_Toc100240685"/>
      <w:bookmarkStart w:id="32" w:name="_Toc100240617"/>
      <w:bookmarkStart w:id="33" w:name="_Toc100240686"/>
      <w:bookmarkStart w:id="34" w:name="_Toc142991321"/>
      <w:bookmarkEnd w:id="30"/>
      <w:bookmarkEnd w:id="31"/>
      <w:bookmarkEnd w:id="32"/>
      <w:bookmarkEnd w:id="33"/>
      <w:r w:rsidRPr="000A53C0">
        <w:t>Defining the problem</w:t>
      </w:r>
      <w:bookmarkEnd w:id="34"/>
    </w:p>
    <w:p w14:paraId="14A8DF96" w14:textId="1B7DD7AE" w:rsidR="005C2CA8" w:rsidRPr="000A53C0" w:rsidRDefault="008B3653" w:rsidP="00362BA6">
      <w:pPr>
        <w:pStyle w:val="EmphasisPanelBody"/>
        <w:shd w:val="clear" w:color="auto" w:fill="F2F2F2" w:themeFill="background1" w:themeFillShade="F2"/>
        <w:rPr>
          <w:rFonts w:cs="Arial"/>
        </w:rPr>
      </w:pPr>
      <w:r w:rsidRPr="000A53C0">
        <w:rPr>
          <w:rFonts w:cs="Arial"/>
          <w:b/>
          <w:bCs/>
        </w:rPr>
        <w:t>Australian</w:t>
      </w:r>
      <w:r w:rsidRPr="000A53C0">
        <w:rPr>
          <w:rFonts w:cs="Arial"/>
        </w:rPr>
        <w:t xml:space="preserve"> </w:t>
      </w:r>
      <w:r w:rsidRPr="000A53C0">
        <w:rPr>
          <w:rFonts w:cs="Arial"/>
          <w:b/>
          <w:bCs/>
        </w:rPr>
        <w:t>workers are developing silicosis as a result of working with engineered stone</w:t>
      </w:r>
    </w:p>
    <w:p w14:paraId="09539FA0" w14:textId="6068198B" w:rsidR="0028774A" w:rsidRPr="000A53C0" w:rsidRDefault="00FA2E74" w:rsidP="00362BA6">
      <w:pPr>
        <w:pStyle w:val="EmphasisPanelBody"/>
        <w:shd w:val="clear" w:color="auto" w:fill="F2F2F2" w:themeFill="background1" w:themeFillShade="F2"/>
        <w:rPr>
          <w:rFonts w:cs="Arial"/>
        </w:rPr>
      </w:pPr>
      <w:r w:rsidRPr="000A53C0">
        <w:rPr>
          <w:rFonts w:cs="Arial"/>
        </w:rPr>
        <w:t xml:space="preserve">There has been a dramatic increase in </w:t>
      </w:r>
      <w:r w:rsidR="00D54079" w:rsidRPr="000A53C0">
        <w:rPr>
          <w:rFonts w:cs="Arial"/>
        </w:rPr>
        <w:t xml:space="preserve">cases </w:t>
      </w:r>
      <w:r w:rsidRPr="000A53C0">
        <w:rPr>
          <w:rFonts w:cs="Arial"/>
        </w:rPr>
        <w:t>of silicosis and silica-related disease in Australia in recent years</w:t>
      </w:r>
      <w:r w:rsidR="00FC3180" w:rsidRPr="000A53C0">
        <w:rPr>
          <w:rFonts w:cs="Arial"/>
        </w:rPr>
        <w:t xml:space="preserve">, particularly in workers who have </w:t>
      </w:r>
      <w:r w:rsidR="00711A21" w:rsidRPr="000A53C0">
        <w:rPr>
          <w:rFonts w:cs="Arial"/>
        </w:rPr>
        <w:t>been exposed to</w:t>
      </w:r>
      <w:r w:rsidR="005C7BED" w:rsidRPr="000A53C0">
        <w:rPr>
          <w:rFonts w:cs="Arial"/>
        </w:rPr>
        <w:t xml:space="preserve"> silica dust from processing</w:t>
      </w:r>
      <w:r w:rsidR="00FC3180" w:rsidRPr="000A53C0">
        <w:rPr>
          <w:rFonts w:cs="Arial"/>
        </w:rPr>
        <w:t xml:space="preserve"> engineered stone.</w:t>
      </w:r>
      <w:r w:rsidR="00CA0D69" w:rsidRPr="000A53C0">
        <w:rPr>
          <w:rFonts w:cs="Arial"/>
        </w:rPr>
        <w:t xml:space="preserve"> </w:t>
      </w:r>
      <w:r w:rsidR="003866C2" w:rsidRPr="000A53C0">
        <w:rPr>
          <w:rFonts w:cs="Arial"/>
        </w:rPr>
        <w:t xml:space="preserve"> </w:t>
      </w:r>
    </w:p>
    <w:p w14:paraId="28941B8F" w14:textId="106EB3E8" w:rsidR="00052D01" w:rsidRPr="000A53C0" w:rsidRDefault="00C81AE9" w:rsidP="00362BA6">
      <w:pPr>
        <w:pStyle w:val="EmphasisPanelBody"/>
        <w:shd w:val="clear" w:color="auto" w:fill="F2F2F2" w:themeFill="background1" w:themeFillShade="F2"/>
        <w:rPr>
          <w:rFonts w:cs="Arial"/>
        </w:rPr>
      </w:pPr>
      <w:r w:rsidRPr="000A53C0">
        <w:rPr>
          <w:rFonts w:cs="Arial"/>
        </w:rPr>
        <w:t>E</w:t>
      </w:r>
      <w:r w:rsidR="001D6007" w:rsidRPr="000A53C0">
        <w:rPr>
          <w:rFonts w:cs="Arial"/>
        </w:rPr>
        <w:t xml:space="preserve">ngineered stone workers are over-represented amongst people diagnosed with </w:t>
      </w:r>
      <w:r w:rsidR="003866C2" w:rsidRPr="000A53C0">
        <w:rPr>
          <w:rFonts w:cs="Arial"/>
        </w:rPr>
        <w:t>silicosis</w:t>
      </w:r>
      <w:r w:rsidR="00C66D1E" w:rsidRPr="000A53C0">
        <w:rPr>
          <w:rFonts w:cs="Arial"/>
        </w:rPr>
        <w:t xml:space="preserve"> for a number of reasons.</w:t>
      </w:r>
      <w:r w:rsidRPr="000A53C0">
        <w:rPr>
          <w:rFonts w:cs="Arial"/>
        </w:rPr>
        <w:t xml:space="preserve"> </w:t>
      </w:r>
      <w:r w:rsidR="00F5492E" w:rsidRPr="000A53C0">
        <w:rPr>
          <w:rFonts w:cs="Arial"/>
        </w:rPr>
        <w:t>This is compounded by</w:t>
      </w:r>
      <w:r w:rsidR="00791BFF" w:rsidRPr="000A53C0">
        <w:rPr>
          <w:rFonts w:cs="Arial"/>
        </w:rPr>
        <w:t xml:space="preserve"> </w:t>
      </w:r>
      <w:r w:rsidR="002E09C7" w:rsidRPr="000A53C0">
        <w:rPr>
          <w:rFonts w:cs="Arial"/>
        </w:rPr>
        <w:t>the unique hazards posed by engineered stone dust</w:t>
      </w:r>
      <w:r w:rsidR="003507B6" w:rsidRPr="000A53C0">
        <w:rPr>
          <w:rFonts w:cs="Arial"/>
        </w:rPr>
        <w:t xml:space="preserve">. </w:t>
      </w:r>
    </w:p>
    <w:p w14:paraId="31374877" w14:textId="01F881FC" w:rsidR="00B64CE8" w:rsidRPr="000A53C0" w:rsidRDefault="00B64CE8" w:rsidP="00362BA6">
      <w:pPr>
        <w:pStyle w:val="EmphasisPanelBody"/>
        <w:shd w:val="clear" w:color="auto" w:fill="F2F2F2" w:themeFill="background1" w:themeFillShade="F2"/>
        <w:rPr>
          <w:rFonts w:cs="Arial"/>
        </w:rPr>
      </w:pPr>
      <w:r w:rsidRPr="000A53C0">
        <w:rPr>
          <w:rFonts w:cs="Arial"/>
          <w:b/>
          <w:bCs/>
        </w:rPr>
        <w:t xml:space="preserve">One of the key reasons for this is the nature of engineered stone and the RCS it </w:t>
      </w:r>
      <w:r w:rsidR="008D0250" w:rsidRPr="000A53C0">
        <w:rPr>
          <w:rFonts w:cs="Arial"/>
          <w:b/>
          <w:bCs/>
        </w:rPr>
        <w:t xml:space="preserve">can </w:t>
      </w:r>
      <w:r w:rsidRPr="000A53C0">
        <w:rPr>
          <w:rFonts w:cs="Arial"/>
          <w:b/>
          <w:bCs/>
        </w:rPr>
        <w:t>produce</w:t>
      </w:r>
    </w:p>
    <w:p w14:paraId="30E3D99E" w14:textId="77777777" w:rsidR="00B64CE8" w:rsidRPr="000A53C0" w:rsidRDefault="00B64CE8" w:rsidP="00362BA6">
      <w:pPr>
        <w:pStyle w:val="EmphasisPanelBody"/>
        <w:shd w:val="clear" w:color="auto" w:fill="F2F2F2" w:themeFill="background1" w:themeFillShade="F2"/>
        <w:rPr>
          <w:rFonts w:cs="Arial"/>
        </w:rPr>
      </w:pPr>
      <w:r w:rsidRPr="000A53C0">
        <w:rPr>
          <w:rFonts w:cs="Arial"/>
        </w:rPr>
        <w:t xml:space="preserve">Engineered stone differs from natural stone in several ways. It is often softer and more malleable, which means more stone slabs can be processed in one day, leading to higher exposure levels over time. Further, evidence suggests that RCS from engineered stone has different physical and chemical properties compared to RCS from natural stone, and other components in engineered stone dust may pose additional health risks or exacerbate the adverse effects of exposure to RCS.  </w:t>
      </w:r>
    </w:p>
    <w:p w14:paraId="14CE7868" w14:textId="4E24A2B5" w:rsidR="000F0173" w:rsidRPr="000A53C0" w:rsidRDefault="008D6316" w:rsidP="00362BA6">
      <w:pPr>
        <w:pStyle w:val="EmphasisPanelBody"/>
        <w:shd w:val="clear" w:color="auto" w:fill="F2F2F2" w:themeFill="background1" w:themeFillShade="F2"/>
        <w:rPr>
          <w:rFonts w:cs="Arial"/>
          <w:b/>
          <w:bCs/>
        </w:rPr>
      </w:pPr>
      <w:r w:rsidRPr="000A53C0">
        <w:rPr>
          <w:rFonts w:cs="Arial"/>
          <w:b/>
          <w:bCs/>
        </w:rPr>
        <w:t xml:space="preserve">There has been insufficient compliance </w:t>
      </w:r>
      <w:r w:rsidR="696E89E0" w:rsidRPr="000A53C0">
        <w:rPr>
          <w:rFonts w:cs="Arial"/>
          <w:b/>
          <w:bCs/>
        </w:rPr>
        <w:t xml:space="preserve">with the </w:t>
      </w:r>
      <w:r w:rsidR="00FF24BA">
        <w:rPr>
          <w:rFonts w:cs="Arial"/>
          <w:b/>
          <w:bCs/>
        </w:rPr>
        <w:t xml:space="preserve">model </w:t>
      </w:r>
      <w:r w:rsidR="696E89E0" w:rsidRPr="000A53C0">
        <w:rPr>
          <w:rFonts w:cs="Arial"/>
          <w:b/>
          <w:bCs/>
        </w:rPr>
        <w:t xml:space="preserve">WHS laws </w:t>
      </w:r>
      <w:r w:rsidR="00E159FA" w:rsidRPr="000A53C0">
        <w:rPr>
          <w:rFonts w:cs="Arial"/>
          <w:b/>
          <w:bCs/>
        </w:rPr>
        <w:t>for the level of risk</w:t>
      </w:r>
    </w:p>
    <w:p w14:paraId="1AA238DD" w14:textId="15F53211" w:rsidR="009B094B" w:rsidRPr="000A53C0" w:rsidRDefault="1DE81EF9" w:rsidP="00362BA6">
      <w:pPr>
        <w:pStyle w:val="EmphasisPanelBody"/>
        <w:shd w:val="clear" w:color="auto" w:fill="F2F2F2" w:themeFill="background1" w:themeFillShade="F2"/>
        <w:rPr>
          <w:rFonts w:cs="Arial"/>
        </w:rPr>
      </w:pPr>
      <w:r w:rsidRPr="000A53C0">
        <w:rPr>
          <w:rFonts w:cs="Arial"/>
        </w:rPr>
        <w:t xml:space="preserve">The exposure of workers and others to RCS is regulated by the </w:t>
      </w:r>
      <w:r w:rsidR="00FF24BA">
        <w:rPr>
          <w:rFonts w:cs="Arial"/>
        </w:rPr>
        <w:t xml:space="preserve">model </w:t>
      </w:r>
      <w:r w:rsidRPr="000A53C0">
        <w:rPr>
          <w:rFonts w:cs="Arial"/>
        </w:rPr>
        <w:t>WHS laws as a risk to health and safety arising from work. Since 2011, there have been robust and consistent laws in place requiring PCBU</w:t>
      </w:r>
      <w:r w:rsidR="63F6DFBA" w:rsidRPr="000A53C0">
        <w:rPr>
          <w:rFonts w:cs="Arial"/>
        </w:rPr>
        <w:t>s</w:t>
      </w:r>
      <w:r w:rsidRPr="000A53C0">
        <w:rPr>
          <w:rFonts w:cs="Arial"/>
        </w:rPr>
        <w:t>, including designers, importers and manufacturers</w:t>
      </w:r>
      <w:r w:rsidR="0001299E" w:rsidRPr="000A53C0">
        <w:rPr>
          <w:rFonts w:cs="Arial"/>
        </w:rPr>
        <w:t xml:space="preserve"> of engineered stone products</w:t>
      </w:r>
      <w:r w:rsidRPr="000A53C0">
        <w:rPr>
          <w:rFonts w:cs="Arial"/>
        </w:rPr>
        <w:t>, to eliminate or minimise the risks to workers and others from RCS so far as is reasonably practicable, including that generated from engineered stone. Under those laws, workers are also required to take reasonable care for their own health and safety and</w:t>
      </w:r>
      <w:r w:rsidR="3880E4BA" w:rsidRPr="000A53C0">
        <w:rPr>
          <w:rFonts w:cs="Arial"/>
        </w:rPr>
        <w:t xml:space="preserve"> ensure</w:t>
      </w:r>
      <w:r w:rsidRPr="000A53C0">
        <w:rPr>
          <w:rFonts w:cs="Arial"/>
        </w:rPr>
        <w:t xml:space="preserve"> that their acts or omissions </w:t>
      </w:r>
      <w:r w:rsidR="3431B173" w:rsidRPr="000A53C0">
        <w:rPr>
          <w:rFonts w:cs="Arial"/>
        </w:rPr>
        <w:t xml:space="preserve">do </w:t>
      </w:r>
      <w:r w:rsidRPr="000A53C0">
        <w:rPr>
          <w:rFonts w:cs="Arial"/>
        </w:rPr>
        <w:t>not adversely affect the health and safety of others</w:t>
      </w:r>
      <w:r w:rsidR="19BBD537" w:rsidRPr="000A53C0">
        <w:rPr>
          <w:rFonts w:cs="Arial"/>
        </w:rPr>
        <w:t xml:space="preserve">. </w:t>
      </w:r>
      <w:r w:rsidR="5349CD26" w:rsidRPr="000A53C0">
        <w:rPr>
          <w:rFonts w:cs="Arial"/>
        </w:rPr>
        <w:t>T</w:t>
      </w:r>
      <w:r w:rsidR="19BBD537" w:rsidRPr="000A53C0">
        <w:rPr>
          <w:rFonts w:cs="Arial"/>
        </w:rPr>
        <w:t xml:space="preserve">here has been, and continues to be, </w:t>
      </w:r>
      <w:r w:rsidR="19BBD537" w:rsidRPr="000A53C0">
        <w:rPr>
          <w:rFonts w:cs="Arial"/>
          <w:b/>
          <w:bCs/>
        </w:rPr>
        <w:t>non-compliance with the obligations imposed by the model WHS laws, by both PCBUs and workers</w:t>
      </w:r>
      <w:r w:rsidR="19BBD537" w:rsidRPr="000A53C0">
        <w:rPr>
          <w:rFonts w:cs="Arial"/>
        </w:rPr>
        <w:t>.</w:t>
      </w:r>
      <w:r w:rsidR="5A48A4CE" w:rsidRPr="000A53C0">
        <w:rPr>
          <w:rFonts w:cs="Arial"/>
        </w:rPr>
        <w:t xml:space="preserve"> Additionally, </w:t>
      </w:r>
      <w:r w:rsidR="7CD294A0" w:rsidRPr="000A53C0">
        <w:rPr>
          <w:rFonts w:cs="Arial"/>
          <w:b/>
          <w:bCs/>
        </w:rPr>
        <w:t>h</w:t>
      </w:r>
      <w:r w:rsidR="5A48A4CE" w:rsidRPr="000A53C0">
        <w:rPr>
          <w:rFonts w:cs="Arial"/>
          <w:b/>
          <w:bCs/>
        </w:rPr>
        <w:t>istorically there has been insufficient compliance activities in respect of the engineered stone industry for the level of risk</w:t>
      </w:r>
      <w:r w:rsidR="5A48A4CE" w:rsidRPr="000A53C0">
        <w:rPr>
          <w:rFonts w:cs="Arial"/>
        </w:rPr>
        <w:t>.</w:t>
      </w:r>
    </w:p>
    <w:p w14:paraId="2E7CBE81" w14:textId="1611C21E" w:rsidR="008E2D87" w:rsidRPr="000A53C0" w:rsidRDefault="008E2D87" w:rsidP="00362BA6">
      <w:pPr>
        <w:pStyle w:val="EmphasisPanelBody"/>
        <w:shd w:val="clear" w:color="auto" w:fill="F2F2F2" w:themeFill="background1" w:themeFillShade="F2"/>
        <w:rPr>
          <w:rFonts w:cs="Arial"/>
        </w:rPr>
      </w:pPr>
      <w:r w:rsidRPr="000A53C0">
        <w:rPr>
          <w:rFonts w:cs="Arial"/>
        </w:rPr>
        <w:t xml:space="preserve">The </w:t>
      </w:r>
      <w:r w:rsidRPr="000A53C0">
        <w:rPr>
          <w:rFonts w:cs="Arial"/>
          <w:b/>
          <w:bCs/>
        </w:rPr>
        <w:t>nature of the engineered stone industry</w:t>
      </w:r>
      <w:r w:rsidRPr="000A53C0">
        <w:rPr>
          <w:rFonts w:cs="Arial"/>
        </w:rPr>
        <w:t xml:space="preserve"> has also arguably contributed to non-compliance and hence the extent of cases of silicosis in the industry. It is comprised of mostly small businesses with few barriers to entry and a significant </w:t>
      </w:r>
      <w:r w:rsidR="002D243D" w:rsidRPr="000A53C0">
        <w:rPr>
          <w:rFonts w:cs="Arial"/>
        </w:rPr>
        <w:t>culturally and linguistically diverse (</w:t>
      </w:r>
      <w:r w:rsidRPr="000A53C0">
        <w:rPr>
          <w:rFonts w:cs="Arial"/>
        </w:rPr>
        <w:t>CALD</w:t>
      </w:r>
      <w:r w:rsidR="002D243D" w:rsidRPr="000A53C0">
        <w:rPr>
          <w:rFonts w:cs="Arial"/>
        </w:rPr>
        <w:t>)</w:t>
      </w:r>
      <w:r w:rsidRPr="000A53C0">
        <w:rPr>
          <w:rFonts w:cs="Arial"/>
        </w:rPr>
        <w:t xml:space="preserve"> workforce. Relevantly, these PCBUs had limited awareness of the risks of engineered stone, and their duties to manage those risks, including to assess the risks and implement the necessary control measures to keep their workers safe. Workers too were often unaware of those risks and duties, and their rights and responsibilities.</w:t>
      </w:r>
    </w:p>
    <w:p w14:paraId="02A51A7B" w14:textId="3EA86050" w:rsidR="008E2D87" w:rsidRPr="000A53C0" w:rsidRDefault="008E2D87" w:rsidP="00362BA6">
      <w:pPr>
        <w:pStyle w:val="EmphasisPanelBody"/>
        <w:shd w:val="clear" w:color="auto" w:fill="F2F2F2" w:themeFill="background1" w:themeFillShade="F2"/>
        <w:rPr>
          <w:rFonts w:cs="Arial"/>
        </w:rPr>
      </w:pPr>
      <w:r w:rsidRPr="000A53C0">
        <w:rPr>
          <w:rFonts w:cs="Arial"/>
        </w:rPr>
        <w:t xml:space="preserve">Some of the mechanisms in the model WHS laws that assist to better manage health and safety risks in workplaces were less likely to be present because of the nature of the engineered stone industry and the workforce. For example, there is </w:t>
      </w:r>
      <w:r w:rsidRPr="000A53C0">
        <w:rPr>
          <w:rFonts w:cs="Arial"/>
          <w:b/>
          <w:bCs/>
        </w:rPr>
        <w:t>unlikely to be a health and safety representative (HSR) or a health and safety committee</w:t>
      </w:r>
      <w:r w:rsidRPr="000A53C0">
        <w:rPr>
          <w:rFonts w:cs="Arial"/>
        </w:rPr>
        <w:t xml:space="preserve"> at these workplaces. Where present, an HSR or a health and safety committee can monitor compliance with the WHS laws and raise concerns about risks to health and safety in the business. </w:t>
      </w:r>
    </w:p>
    <w:p w14:paraId="02314492" w14:textId="1B4D8AA1" w:rsidR="008E2D87" w:rsidRPr="000A53C0" w:rsidRDefault="008E2D87" w:rsidP="00362BA6">
      <w:pPr>
        <w:pStyle w:val="EmphasisPanelBody"/>
        <w:shd w:val="clear" w:color="auto" w:fill="F2F2F2" w:themeFill="background1" w:themeFillShade="F2"/>
        <w:rPr>
          <w:rFonts w:cs="Arial"/>
        </w:rPr>
      </w:pPr>
      <w:r w:rsidRPr="000A53C0">
        <w:rPr>
          <w:rFonts w:cs="Arial"/>
        </w:rPr>
        <w:lastRenderedPageBreak/>
        <w:t xml:space="preserve">The </w:t>
      </w:r>
      <w:r w:rsidRPr="000A53C0">
        <w:rPr>
          <w:rFonts w:cs="Arial"/>
          <w:b/>
          <w:bCs/>
        </w:rPr>
        <w:t>lack of available and accessible information about the risks</w:t>
      </w:r>
      <w:r w:rsidRPr="000A53C0">
        <w:rPr>
          <w:rFonts w:cs="Arial"/>
        </w:rPr>
        <w:t xml:space="preserve"> of working with engineered stone is also problematic. Importers, manufacturers and suppliers have failed to provide end users with comprehensive up to date </w:t>
      </w:r>
      <w:r w:rsidR="003949FE" w:rsidRPr="000A53C0">
        <w:rPr>
          <w:rFonts w:cs="Arial"/>
        </w:rPr>
        <w:t>health-based</w:t>
      </w:r>
      <w:r w:rsidRPr="000A53C0">
        <w:rPr>
          <w:rFonts w:cs="Arial"/>
        </w:rPr>
        <w:t xml:space="preserve"> data and evidence on the risks of RCS in relation to engineered stone.</w:t>
      </w:r>
    </w:p>
    <w:p w14:paraId="2B8263FF" w14:textId="77777777" w:rsidR="004D4A69" w:rsidRPr="000A53C0" w:rsidRDefault="004339C5" w:rsidP="00362BA6">
      <w:pPr>
        <w:pStyle w:val="EmphasisPanelBody"/>
        <w:shd w:val="clear" w:color="auto" w:fill="F2F2F2" w:themeFill="background1" w:themeFillShade="F2"/>
        <w:rPr>
          <w:rFonts w:cs="Arial"/>
        </w:rPr>
      </w:pPr>
      <w:r w:rsidRPr="000A53C0" w:rsidDel="000B2E3D">
        <w:rPr>
          <w:rFonts w:cs="Arial"/>
        </w:rPr>
        <w:t xml:space="preserve">The National Dust Disease Taskforce noted that “… every case of silicosis affecting a stone benchtop worker is evidence that businesses, industry and governments need to do more to recognise and control the risks of working with engineered stone" </w:t>
      </w:r>
      <w:r w:rsidRPr="000A53C0" w:rsidDel="000B2E3D">
        <w:rPr>
          <w:rFonts w:cs="Arial"/>
        </w:rPr>
        <w:fldChar w:fldCharType="begin"/>
      </w:r>
      <w:r w:rsidRPr="000A53C0" w:rsidDel="000B2E3D">
        <w:rPr>
          <w:rFonts w:cs="Arial"/>
        </w:rPr>
        <w:instrText xml:space="preserve"> ADDIN ZOTERO_ITEM CSL_CITATION {"citationID":"d4mw7mNC","properties":{"formattedCitation":"(Department of Health 2021)","plainCitation":"(Department of Health 2021)","noteIndex":0},"citationItems":[{"id":806,"uris":["http://zotero.org/users/6230888/items/NWNXT6NL"],"itemData":{"id":806,"type":"article-journal","language":"en","page":"80","source":"Zotero","title":"National Dust Disease Taskforce Final Report to Minister for Health and Aged Care","author":[{"literal":"Department of Health"}],"issued":{"date-parts":[["2021"]]}}}],"schema":"https://github.com/citation-style-language/schema/raw/master/csl-citation.json"} </w:instrText>
      </w:r>
      <w:r w:rsidRPr="000A53C0" w:rsidDel="000B2E3D">
        <w:rPr>
          <w:rFonts w:cs="Arial"/>
        </w:rPr>
        <w:fldChar w:fldCharType="separate"/>
      </w:r>
      <w:r w:rsidRPr="000A53C0" w:rsidDel="000B2E3D">
        <w:rPr>
          <w:rFonts w:cs="Arial"/>
        </w:rPr>
        <w:t>(Department of Health 2021)</w:t>
      </w:r>
      <w:r w:rsidRPr="000A53C0" w:rsidDel="000B2E3D">
        <w:rPr>
          <w:rFonts w:cs="Arial"/>
        </w:rPr>
        <w:fldChar w:fldCharType="end"/>
      </w:r>
      <w:r w:rsidRPr="000A53C0" w:rsidDel="000B2E3D">
        <w:rPr>
          <w:rFonts w:cs="Arial"/>
        </w:rPr>
        <w:t xml:space="preserve">. </w:t>
      </w:r>
    </w:p>
    <w:p w14:paraId="371F05C9" w14:textId="03C07526" w:rsidR="002D243D" w:rsidRPr="000A53C0" w:rsidRDefault="002D243D" w:rsidP="00514CCB">
      <w:pPr>
        <w:pStyle w:val="Heading2numbered"/>
      </w:pPr>
      <w:bookmarkStart w:id="35" w:name="_Toc102142627"/>
      <w:bookmarkStart w:id="36" w:name="_Toc106109856"/>
      <w:bookmarkStart w:id="37" w:name="_Toc106112171"/>
      <w:bookmarkStart w:id="38" w:name="_Toc102142628"/>
      <w:bookmarkStart w:id="39" w:name="_Toc106109857"/>
      <w:bookmarkStart w:id="40" w:name="_Toc106112172"/>
      <w:bookmarkStart w:id="41" w:name="_Toc102142629"/>
      <w:bookmarkStart w:id="42" w:name="_Toc106109858"/>
      <w:bookmarkStart w:id="43" w:name="_Toc106112173"/>
      <w:bookmarkStart w:id="44" w:name="_Toc102142630"/>
      <w:bookmarkStart w:id="45" w:name="_Toc106109859"/>
      <w:bookmarkStart w:id="46" w:name="_Toc106112174"/>
      <w:bookmarkStart w:id="47" w:name="_Toc102142631"/>
      <w:bookmarkStart w:id="48" w:name="_Toc106109860"/>
      <w:bookmarkStart w:id="49" w:name="_Toc106112175"/>
      <w:bookmarkStart w:id="50" w:name="_Toc102142632"/>
      <w:bookmarkStart w:id="51" w:name="_Toc106109861"/>
      <w:bookmarkStart w:id="52" w:name="_Toc106112176"/>
      <w:bookmarkStart w:id="53" w:name="_Toc102142633"/>
      <w:bookmarkStart w:id="54" w:name="_Toc106109862"/>
      <w:bookmarkStart w:id="55" w:name="_Toc106112177"/>
      <w:bookmarkStart w:id="56" w:name="_Toc102142634"/>
      <w:bookmarkStart w:id="57" w:name="_Toc106109863"/>
      <w:bookmarkStart w:id="58" w:name="_Toc106112178"/>
      <w:bookmarkStart w:id="59" w:name="_Toc102142635"/>
      <w:bookmarkStart w:id="60" w:name="_Toc106109864"/>
      <w:bookmarkStart w:id="61" w:name="_Toc106112179"/>
      <w:bookmarkStart w:id="62" w:name="_Toc142991322"/>
      <w:bookmarkStart w:id="63" w:name="_Ref124686819"/>
      <w:bookmarkStart w:id="64" w:name="_Toc9287304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0A53C0">
        <w:t>Engineered stone –</w:t>
      </w:r>
      <w:r w:rsidR="00C45CE9">
        <w:t xml:space="preserve"> </w:t>
      </w:r>
      <w:r w:rsidRPr="000A53C0">
        <w:t>unique hazards</w:t>
      </w:r>
      <w:bookmarkEnd w:id="62"/>
    </w:p>
    <w:p w14:paraId="3C2DB0E8" w14:textId="670955DE" w:rsidR="002D243D" w:rsidRPr="000A53C0" w:rsidRDefault="002D243D" w:rsidP="002D243D">
      <w:pPr>
        <w:pStyle w:val="BodyText"/>
        <w:rPr>
          <w:rFonts w:cs="Arial"/>
        </w:rPr>
      </w:pPr>
      <w:r w:rsidRPr="000A53C0">
        <w:rPr>
          <w:rFonts w:cs="Arial"/>
        </w:rPr>
        <w:t>Engineered stone has been available in Australia since the late 1990s. It is an artificial product that contains high levels of crystalline silica (up to 90</w:t>
      </w:r>
      <w:r w:rsidR="002236CF">
        <w:rPr>
          <w:rFonts w:cs="Arial"/>
        </w:rPr>
        <w:t>%</w:t>
      </w:r>
      <w:r w:rsidRPr="000A53C0">
        <w:rPr>
          <w:rFonts w:cs="Arial"/>
        </w:rPr>
        <w:t xml:space="preserve"> by weight) along with other minerals, resins and pigments. </w:t>
      </w:r>
    </w:p>
    <w:p w14:paraId="3FE899A9" w14:textId="77777777" w:rsidR="002D243D" w:rsidRPr="000A53C0" w:rsidRDefault="002D243D" w:rsidP="002D243D">
      <w:pPr>
        <w:pStyle w:val="BodyText"/>
        <w:rPr>
          <w:rFonts w:cs="Arial"/>
        </w:rPr>
      </w:pPr>
      <w:r w:rsidRPr="000A53C0">
        <w:rPr>
          <w:rFonts w:cs="Arial"/>
        </w:rPr>
        <w:t xml:space="preserve">The composite nature of engineered stone materials makes the emissions produced during processing of these products different from those produced when processing natural stone (e.g. granite and marble). </w:t>
      </w:r>
    </w:p>
    <w:p w14:paraId="595BB904" w14:textId="77777777" w:rsidR="002D243D" w:rsidRPr="000A53C0" w:rsidRDefault="002D243D" w:rsidP="002D243D">
      <w:pPr>
        <w:pStyle w:val="BodyText"/>
        <w:rPr>
          <w:rFonts w:cs="Arial"/>
        </w:rPr>
      </w:pPr>
      <w:r w:rsidRPr="000A53C0">
        <w:rPr>
          <w:rFonts w:cs="Arial"/>
        </w:rPr>
        <w:t xml:space="preserve">To inform this Decision RIS, the Agency commissioned the University of Adelaide to undertake a review and critical analysis of available evidence of the specific hazards associated with engineered stone. </w:t>
      </w:r>
    </w:p>
    <w:p w14:paraId="2ED5B961" w14:textId="77777777" w:rsidR="002D243D" w:rsidRPr="000A53C0" w:rsidRDefault="002D243D" w:rsidP="002D243D">
      <w:pPr>
        <w:pStyle w:val="BodyText"/>
        <w:rPr>
          <w:rFonts w:cs="Arial"/>
          <w:szCs w:val="20"/>
        </w:rPr>
      </w:pPr>
      <w:r w:rsidRPr="000A53C0">
        <w:rPr>
          <w:rFonts w:cs="Arial"/>
        </w:rPr>
        <w:t xml:space="preserve">The </w:t>
      </w:r>
      <w:r w:rsidRPr="000A53C0">
        <w:rPr>
          <w:rFonts w:cs="Arial"/>
          <w:szCs w:val="20"/>
        </w:rPr>
        <w:t>review highlights the unique hazards associated with engineered stone that have likely contributed to the high rates of silicosis in engineered stone workers.</w:t>
      </w:r>
    </w:p>
    <w:p w14:paraId="5835796E" w14:textId="77777777" w:rsidR="002D243D" w:rsidRPr="000A53C0" w:rsidRDefault="002D243D" w:rsidP="00514CCB">
      <w:pPr>
        <w:pStyle w:val="Heading3numbered"/>
      </w:pPr>
      <w:r w:rsidRPr="000A53C0">
        <w:t>Material science of engineered stone</w:t>
      </w:r>
    </w:p>
    <w:p w14:paraId="16805DD6" w14:textId="6DD051BD" w:rsidR="002D243D" w:rsidRPr="000A53C0" w:rsidRDefault="002D243D" w:rsidP="002D243D">
      <w:pPr>
        <w:pStyle w:val="BodyText"/>
        <w:rPr>
          <w:rFonts w:cs="Arial"/>
        </w:rPr>
      </w:pPr>
      <w:r w:rsidRPr="000A53C0">
        <w:rPr>
          <w:rFonts w:cs="Arial"/>
        </w:rPr>
        <w:t>The available scientific literature shows that processing engineered stone products with a high crystalline silica content generates much higher RCS compared to natural stone</w:t>
      </w:r>
      <w:sdt>
        <w:sdtPr>
          <w:rPr>
            <w:rFonts w:cs="Arial"/>
          </w:rPr>
          <w:id w:val="263111312"/>
          <w:citation/>
        </w:sdtPr>
        <w:sdtEndPr/>
        <w:sdtContent>
          <w:r w:rsidRPr="000A53C0">
            <w:rPr>
              <w:rFonts w:cs="Arial"/>
            </w:rPr>
            <w:fldChar w:fldCharType="begin"/>
          </w:r>
          <w:r w:rsidR="00A74AA4" w:rsidRPr="000A53C0">
            <w:rPr>
              <w:rFonts w:cs="Arial"/>
            </w:rPr>
            <w:instrText xml:space="preserve">CITATION Cha22 \l 3081 </w:instrText>
          </w:r>
          <w:r w:rsidRPr="000A53C0">
            <w:rPr>
              <w:rFonts w:cs="Arial"/>
            </w:rPr>
            <w:fldChar w:fldCharType="separate"/>
          </w:r>
          <w:r w:rsidR="001F7BAA" w:rsidRPr="000A53C0">
            <w:rPr>
              <w:rFonts w:cs="Arial"/>
              <w:noProof/>
            </w:rPr>
            <w:t xml:space="preserve"> (Ramkissoon, C, et al. 2022)</w:t>
          </w:r>
          <w:r w:rsidRPr="000A53C0">
            <w:rPr>
              <w:rFonts w:cs="Arial"/>
            </w:rPr>
            <w:fldChar w:fldCharType="end"/>
          </w:r>
        </w:sdtContent>
      </w:sdt>
      <w:sdt>
        <w:sdtPr>
          <w:rPr>
            <w:rFonts w:cs="Arial"/>
          </w:rPr>
          <w:id w:val="1859235080"/>
          <w:citation/>
        </w:sdtPr>
        <w:sdtEndPr/>
        <w:sdtContent>
          <w:r w:rsidRPr="000A53C0">
            <w:rPr>
              <w:rFonts w:cs="Arial"/>
            </w:rPr>
            <w:fldChar w:fldCharType="begin"/>
          </w:r>
          <w:r w:rsidR="00A74AA4" w:rsidRPr="000A53C0">
            <w:rPr>
              <w:rFonts w:cs="Arial"/>
            </w:rPr>
            <w:instrText xml:space="preserve">CITATION Car20 \l 3081 </w:instrText>
          </w:r>
          <w:r w:rsidRPr="000A53C0">
            <w:rPr>
              <w:rFonts w:cs="Arial"/>
            </w:rPr>
            <w:fldChar w:fldCharType="separate"/>
          </w:r>
          <w:r w:rsidR="001F7BAA" w:rsidRPr="000A53C0">
            <w:rPr>
              <w:rFonts w:cs="Arial"/>
              <w:noProof/>
            </w:rPr>
            <w:t xml:space="preserve"> (Carrieri, et al. 2020)</w:t>
          </w:r>
          <w:r w:rsidRPr="000A53C0">
            <w:rPr>
              <w:rFonts w:cs="Arial"/>
            </w:rPr>
            <w:fldChar w:fldCharType="end"/>
          </w:r>
        </w:sdtContent>
      </w:sdt>
      <w:sdt>
        <w:sdtPr>
          <w:rPr>
            <w:rFonts w:cs="Arial"/>
          </w:rPr>
          <w:id w:val="1867947423"/>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 xml:space="preserve"> (Hall, et al. 2022)</w:t>
          </w:r>
          <w:r w:rsidRPr="000A53C0">
            <w:rPr>
              <w:rFonts w:cs="Arial"/>
            </w:rPr>
            <w:fldChar w:fldCharType="end"/>
          </w:r>
        </w:sdtContent>
      </w:sdt>
      <w:sdt>
        <w:sdtPr>
          <w:rPr>
            <w:rFonts w:cs="Arial"/>
          </w:rPr>
          <w:id w:val="837121731"/>
          <w:citation/>
        </w:sdtPr>
        <w:sdtEndPr/>
        <w:sdtContent>
          <w:r w:rsidRPr="000A53C0">
            <w:rPr>
              <w:rFonts w:cs="Arial"/>
            </w:rPr>
            <w:fldChar w:fldCharType="begin"/>
          </w:r>
          <w:r w:rsidR="00A74AA4" w:rsidRPr="000A53C0">
            <w:rPr>
              <w:rFonts w:cs="Arial"/>
            </w:rPr>
            <w:instrText xml:space="preserve">CITATION Tho23 \l 3081 </w:instrText>
          </w:r>
          <w:r w:rsidRPr="000A53C0">
            <w:rPr>
              <w:rFonts w:cs="Arial"/>
            </w:rPr>
            <w:fldChar w:fldCharType="separate"/>
          </w:r>
          <w:r w:rsidR="001F7BAA" w:rsidRPr="000A53C0">
            <w:rPr>
              <w:rFonts w:cs="Arial"/>
              <w:noProof/>
            </w:rPr>
            <w:t xml:space="preserve"> (Thompson and Qi 2023)</w:t>
          </w:r>
          <w:r w:rsidRPr="000A53C0">
            <w:rPr>
              <w:rFonts w:cs="Arial"/>
            </w:rPr>
            <w:fldChar w:fldCharType="end"/>
          </w:r>
        </w:sdtContent>
      </w:sdt>
      <w:r w:rsidRPr="000A53C0">
        <w:rPr>
          <w:rFonts w:cs="Arial"/>
        </w:rPr>
        <w:t>. Cutting engineered stone generates high concentrations of RCS, and personal air monitoring has shown common tasks involved in engineered stone fabrication can expose workers to RCS at levels well above the current WES (0.05 mg/m</w:t>
      </w:r>
      <w:r w:rsidRPr="000A53C0">
        <w:rPr>
          <w:rFonts w:cs="Arial"/>
          <w:vertAlign w:val="superscript"/>
        </w:rPr>
        <w:t>3</w:t>
      </w:r>
      <w:r w:rsidRPr="000A53C0">
        <w:rPr>
          <w:rFonts w:cs="Arial"/>
        </w:rPr>
        <w:t xml:space="preserve"> 8-hour TWA) if effective controls are not in place</w:t>
      </w:r>
      <w:r w:rsidRPr="000A53C0">
        <w:rPr>
          <w:rFonts w:cs="Arial"/>
        </w:rPr>
        <w:fldChar w:fldCharType="begin"/>
      </w:r>
      <w:r w:rsidRPr="000A53C0">
        <w:rPr>
          <w:rFonts w:cs="Arial"/>
        </w:rPr>
        <w:instrText xml:space="preserve"> ADDIN ZOTERO_ITEM CSL_CITATION {"citationID":"XV47qVQV","properties":{"formattedCitation":"(Gaskin et al. 2018)","plainCitation":"(Gaskin et al. 2018)","noteIndex":0},"citationItems":[{"id":851,"uris":["http://zotero.org/users/6230888/items/5B3ZVCZC"],"itemData":{"id":851,"type":"article-journal","language":"en","page":"24","source":"Zotero","title":"Respirable Crystalline Silica Exposures in Engineered Stone Benchtop Fabrication","author":[{"family":"Gaskin","given":"Sharyn"},{"family":"Gun","given":"Richard"},{"family":"Jersmann","given":"Hubertus"},{"family":"Pisaniello","given":"Dino"}],"issued":{"date-parts":[["2018"]]}}}],"schema":"https://github.com/citation-style-language/schema/raw/master/csl-citation.json"} </w:instrText>
      </w:r>
      <w:r w:rsidRPr="000A53C0">
        <w:rPr>
          <w:rFonts w:cs="Arial"/>
        </w:rPr>
        <w:fldChar w:fldCharType="end"/>
      </w:r>
      <w:r w:rsidRPr="000A53C0">
        <w:rPr>
          <w:rFonts w:cs="Arial"/>
        </w:rPr>
        <w:t xml:space="preserve">. High levels of airborne RCS have been detected in all areas of an engineered stone fabrication workshop, including areas that were not used for processing of engineered stone </w:t>
      </w:r>
      <w:r w:rsidRPr="000A53C0">
        <w:rPr>
          <w:rFonts w:cs="Arial"/>
        </w:rPr>
        <w:fldChar w:fldCharType="begin"/>
      </w:r>
      <w:r w:rsidRPr="000A53C0">
        <w:rPr>
          <w:rFonts w:cs="Arial"/>
        </w:rPr>
        <w:instrText xml:space="preserve"> ADDIN ZOTERO_ITEM CSL_CITATION {"citationID":"HnK4VY7s","properties":{"formattedCitation":"(Jennings 2021)","plainCitation":"(Jennings 2021)","noteIndex":0},"citationItems":[{"id":860,"uris":["http://zotero.org/users/6230888/items/HRRG8Q4D"],"itemData":{"id":860,"type":"report","page":"22","title":"Submission Number 8 Inquiry into 2021 Review of the Dust Diseases Scheme","URL":"https://www.parliament.nsw.gov.au/lcdocs/submissions/76639/0008%20Mr%20Martin%20Jennings.pdf","author":[{"family":"Jennings","given":"M"}],"accessed":{"date-parts":[["2022",6,30]]},"issued":{"date-parts":[["2021"]]}}}],"schema":"https://github.com/citation-style-language/schema/raw/master/csl-citation.json"} </w:instrText>
      </w:r>
      <w:r w:rsidRPr="000A53C0">
        <w:rPr>
          <w:rFonts w:cs="Arial"/>
        </w:rPr>
        <w:fldChar w:fldCharType="separate"/>
      </w:r>
      <w:r w:rsidRPr="000A53C0">
        <w:rPr>
          <w:rFonts w:cs="Arial"/>
        </w:rPr>
        <w:t>(Jennings 2021)</w:t>
      </w:r>
      <w:r w:rsidRPr="000A53C0">
        <w:rPr>
          <w:rFonts w:cs="Arial"/>
        </w:rPr>
        <w:fldChar w:fldCharType="end"/>
      </w:r>
      <w:r w:rsidRPr="000A53C0">
        <w:rPr>
          <w:rFonts w:cs="Arial"/>
        </w:rPr>
        <w:t>.</w:t>
      </w:r>
    </w:p>
    <w:p w14:paraId="559C8B4B" w14:textId="7E83A371" w:rsidR="002D243D" w:rsidRPr="000A53C0" w:rsidRDefault="002D243D" w:rsidP="002D243D">
      <w:pPr>
        <w:pStyle w:val="BodyText"/>
        <w:rPr>
          <w:rFonts w:cs="Arial"/>
        </w:rPr>
      </w:pPr>
      <w:r w:rsidRPr="000A53C0">
        <w:rPr>
          <w:rFonts w:cs="Arial"/>
        </w:rPr>
        <w:t>Processing engineered stone materials can produce higher levels of ultrafine particles (&lt;0.1 µm) compared to natural stone materials</w:t>
      </w:r>
      <w:sdt>
        <w:sdtPr>
          <w:rPr>
            <w:rFonts w:cs="Arial"/>
          </w:rPr>
          <w:id w:val="2010407124"/>
          <w:citation/>
        </w:sdtPr>
        <w:sdtEndPr/>
        <w:sdtContent>
          <w:r w:rsidRPr="000A53C0">
            <w:rPr>
              <w:rFonts w:cs="Arial"/>
            </w:rPr>
            <w:fldChar w:fldCharType="begin"/>
          </w:r>
          <w:r w:rsidR="00A74AA4" w:rsidRPr="000A53C0">
            <w:rPr>
              <w:rFonts w:cs="Arial"/>
            </w:rPr>
            <w:instrText xml:space="preserve">CITATION Car20 \l 3081 </w:instrText>
          </w:r>
          <w:r w:rsidRPr="000A53C0">
            <w:rPr>
              <w:rFonts w:cs="Arial"/>
            </w:rPr>
            <w:fldChar w:fldCharType="separate"/>
          </w:r>
          <w:r w:rsidR="001F7BAA" w:rsidRPr="000A53C0">
            <w:rPr>
              <w:rFonts w:cs="Arial"/>
              <w:noProof/>
            </w:rPr>
            <w:t xml:space="preserve"> (Carrieri, et al. 2020)</w:t>
          </w:r>
          <w:r w:rsidRPr="000A53C0">
            <w:rPr>
              <w:rFonts w:cs="Arial"/>
            </w:rPr>
            <w:fldChar w:fldCharType="end"/>
          </w:r>
        </w:sdtContent>
      </w:sdt>
      <w:sdt>
        <w:sdtPr>
          <w:rPr>
            <w:rFonts w:cs="Arial"/>
          </w:rPr>
          <w:id w:val="-70818221"/>
          <w:citation/>
        </w:sdtPr>
        <w:sdtEndPr/>
        <w:sdtContent>
          <w:r w:rsidRPr="000A53C0">
            <w:rPr>
              <w:rFonts w:cs="Arial"/>
            </w:rPr>
            <w:fldChar w:fldCharType="begin"/>
          </w:r>
          <w:r w:rsidRPr="000A53C0">
            <w:rPr>
              <w:rFonts w:cs="Arial"/>
            </w:rPr>
            <w:instrText xml:space="preserve"> CITATION Oph19 \l 3081 </w:instrText>
          </w:r>
          <w:r w:rsidRPr="000A53C0">
            <w:rPr>
              <w:rFonts w:cs="Arial"/>
            </w:rPr>
            <w:fldChar w:fldCharType="separate"/>
          </w:r>
          <w:r w:rsidR="001F7BAA" w:rsidRPr="000A53C0">
            <w:rPr>
              <w:rFonts w:cs="Arial"/>
              <w:noProof/>
            </w:rPr>
            <w:t xml:space="preserve"> (Ophir, et al. 2019)</w:t>
          </w:r>
          <w:r w:rsidRPr="000A53C0">
            <w:rPr>
              <w:rFonts w:cs="Arial"/>
            </w:rPr>
            <w:fldChar w:fldCharType="end"/>
          </w:r>
        </w:sdtContent>
      </w:sdt>
      <w:r w:rsidRPr="000A53C0">
        <w:rPr>
          <w:rFonts w:cs="Arial"/>
        </w:rPr>
        <w:t xml:space="preserve">. Particles in this size range are more easily able to penetrate deep into the lungs leading to inflammatory responses and are associated with effects beyond the respiratory system such as autoimmune disease. The Australian Institute of Occupational Hygienists (AIOH) highlighted in their consultation submission that the emission of ultrafine particles is of high significance for a range of reasons, include an increased ability to stay airborne, the larger number of overall particles, the larger available reactive surface area and potential for increased toxicity. </w:t>
      </w:r>
    </w:p>
    <w:p w14:paraId="7198B10E" w14:textId="3C6F75A2" w:rsidR="002D243D" w:rsidRPr="000A53C0" w:rsidRDefault="002D243D" w:rsidP="002D243D">
      <w:pPr>
        <w:pStyle w:val="BodyText"/>
        <w:rPr>
          <w:rFonts w:cs="Arial"/>
          <w:strike/>
        </w:rPr>
      </w:pPr>
      <w:r w:rsidRPr="000A53C0">
        <w:rPr>
          <w:rFonts w:cs="Arial"/>
        </w:rPr>
        <w:t>There is also evidence the dust generated from engineered stone differs in terms of the forms of crystalline silica present, surface characteristics, resin and elemental composition and particle size distribution, all of which may influence its reactivity</w:t>
      </w:r>
      <w:sdt>
        <w:sdtPr>
          <w:rPr>
            <w:rFonts w:cs="Arial"/>
          </w:rPr>
          <w:id w:val="-744793875"/>
          <w:citation/>
        </w:sdtPr>
        <w:sdtEndPr/>
        <w:sdtContent>
          <w:r w:rsidRPr="000A53C0">
            <w:rPr>
              <w:rFonts w:cs="Arial"/>
            </w:rPr>
            <w:fldChar w:fldCharType="begin"/>
          </w:r>
          <w:r w:rsidR="00A74AA4" w:rsidRPr="000A53C0">
            <w:rPr>
              <w:rFonts w:cs="Arial"/>
            </w:rPr>
            <w:instrText xml:space="preserve">CITATION Pav16 \t  \l 3081 </w:instrText>
          </w:r>
          <w:r w:rsidRPr="000A53C0">
            <w:rPr>
              <w:rFonts w:cs="Arial"/>
            </w:rPr>
            <w:fldChar w:fldCharType="separate"/>
          </w:r>
          <w:r w:rsidR="001F7BAA" w:rsidRPr="000A53C0">
            <w:rPr>
              <w:rFonts w:cs="Arial"/>
              <w:noProof/>
            </w:rPr>
            <w:t xml:space="preserve"> (Pavan, Polimeni, et al. 2016)</w:t>
          </w:r>
          <w:r w:rsidRPr="000A53C0">
            <w:rPr>
              <w:rFonts w:cs="Arial"/>
            </w:rPr>
            <w:fldChar w:fldCharType="end"/>
          </w:r>
        </w:sdtContent>
      </w:sdt>
      <w:sdt>
        <w:sdtPr>
          <w:rPr>
            <w:rFonts w:cs="Arial"/>
          </w:rPr>
          <w:id w:val="-1022319186"/>
          <w:citation/>
        </w:sdtPr>
        <w:sdtEndPr/>
        <w:sdtContent>
          <w:r w:rsidRPr="000A53C0">
            <w:rPr>
              <w:rFonts w:cs="Arial"/>
            </w:rPr>
            <w:fldChar w:fldCharType="begin"/>
          </w:r>
          <w:r w:rsidR="00A74AA4" w:rsidRPr="000A53C0">
            <w:rPr>
              <w:rFonts w:cs="Arial"/>
            </w:rPr>
            <w:instrText xml:space="preserve">CITATION Cha22 \l 3081 </w:instrText>
          </w:r>
          <w:r w:rsidRPr="000A53C0">
            <w:rPr>
              <w:rFonts w:cs="Arial"/>
            </w:rPr>
            <w:fldChar w:fldCharType="separate"/>
          </w:r>
          <w:r w:rsidR="001F7BAA" w:rsidRPr="000A53C0">
            <w:rPr>
              <w:rFonts w:cs="Arial"/>
              <w:noProof/>
            </w:rPr>
            <w:t xml:space="preserve"> (Ramkissoon, C, et al. 2022)</w:t>
          </w:r>
          <w:r w:rsidRPr="000A53C0">
            <w:rPr>
              <w:rFonts w:cs="Arial"/>
            </w:rPr>
            <w:fldChar w:fldCharType="end"/>
          </w:r>
        </w:sdtContent>
      </w:sdt>
      <w:sdt>
        <w:sdtPr>
          <w:rPr>
            <w:rFonts w:cs="Arial"/>
          </w:rPr>
          <w:id w:val="1827776786"/>
          <w:citation/>
        </w:sdtPr>
        <w:sdtEndPr/>
        <w:sdtContent>
          <w:r w:rsidRPr="000A53C0">
            <w:rPr>
              <w:rFonts w:cs="Arial"/>
            </w:rPr>
            <w:fldChar w:fldCharType="begin"/>
          </w:r>
          <w:r w:rsidR="00A74AA4" w:rsidRPr="000A53C0">
            <w:rPr>
              <w:rFonts w:cs="Arial"/>
            </w:rPr>
            <w:instrText xml:space="preserve">CITATION Leó21 \l 3081 </w:instrText>
          </w:r>
          <w:r w:rsidRPr="000A53C0">
            <w:rPr>
              <w:rFonts w:cs="Arial"/>
            </w:rPr>
            <w:fldChar w:fldCharType="separate"/>
          </w:r>
          <w:r w:rsidR="001F7BAA" w:rsidRPr="000A53C0">
            <w:rPr>
              <w:rFonts w:cs="Arial"/>
              <w:noProof/>
            </w:rPr>
            <w:t xml:space="preserve"> (León-Jiménez, et al. 2021)</w:t>
          </w:r>
          <w:r w:rsidRPr="000A53C0">
            <w:rPr>
              <w:rFonts w:cs="Arial"/>
            </w:rPr>
            <w:fldChar w:fldCharType="end"/>
          </w:r>
        </w:sdtContent>
      </w:sdt>
      <w:sdt>
        <w:sdtPr>
          <w:rPr>
            <w:rFonts w:cs="Arial"/>
          </w:rPr>
          <w:id w:val="-2054842284"/>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 xml:space="preserve"> (Hall, et al. 2022)</w:t>
          </w:r>
          <w:r w:rsidRPr="000A53C0">
            <w:rPr>
              <w:rFonts w:cs="Arial"/>
            </w:rPr>
            <w:fldChar w:fldCharType="end"/>
          </w:r>
        </w:sdtContent>
      </w:sdt>
      <w:sdt>
        <w:sdtPr>
          <w:rPr>
            <w:rFonts w:cs="Arial"/>
          </w:rPr>
          <w:id w:val="587267073"/>
          <w:citation/>
        </w:sdtPr>
        <w:sdtEndPr/>
        <w:sdtContent>
          <w:r w:rsidRPr="000A53C0">
            <w:rPr>
              <w:rFonts w:cs="Arial"/>
            </w:rPr>
            <w:fldChar w:fldCharType="begin"/>
          </w:r>
          <w:r w:rsidR="00A74AA4" w:rsidRPr="000A53C0">
            <w:rPr>
              <w:rFonts w:cs="Arial"/>
            </w:rPr>
            <w:instrText xml:space="preserve">CITATION Ram23 \l 3081 </w:instrText>
          </w:r>
          <w:r w:rsidRPr="000A53C0">
            <w:rPr>
              <w:rFonts w:cs="Arial"/>
            </w:rPr>
            <w:fldChar w:fldCharType="separate"/>
          </w:r>
          <w:r w:rsidR="001F7BAA" w:rsidRPr="000A53C0">
            <w:rPr>
              <w:rFonts w:cs="Arial"/>
              <w:noProof/>
            </w:rPr>
            <w:t xml:space="preserve"> (Ramkissoon, et al. 2023)</w:t>
          </w:r>
          <w:r w:rsidRPr="000A53C0">
            <w:rPr>
              <w:rFonts w:cs="Arial"/>
            </w:rPr>
            <w:fldChar w:fldCharType="end"/>
          </w:r>
        </w:sdtContent>
      </w:sdt>
      <w:r w:rsidRPr="000A53C0">
        <w:rPr>
          <w:rFonts w:cs="Arial"/>
        </w:rPr>
        <w:t xml:space="preserve">. The different polymorphs identified in engineered stone dust, primarily quartz and cristobalite, may influence their reactivity, compared to natural stone which contains mostly quartz. </w:t>
      </w:r>
    </w:p>
    <w:p w14:paraId="09CD6D1C" w14:textId="2A63D621" w:rsidR="002D243D" w:rsidRPr="000A53C0" w:rsidRDefault="002D243D" w:rsidP="002D243D">
      <w:pPr>
        <w:pStyle w:val="BodyText"/>
        <w:rPr>
          <w:rFonts w:cs="Arial"/>
        </w:rPr>
      </w:pPr>
      <w:r w:rsidRPr="000A53C0">
        <w:rPr>
          <w:rFonts w:cs="Arial"/>
        </w:rPr>
        <w:lastRenderedPageBreak/>
        <w:t xml:space="preserve">In addition to contributing to the creation of volatile organic compounds when processed; the presence of resin in engineered stone may influence the risk associated with RCS exposure by coating the reactive surface groups of RCS particles, affecting how the body responds to the inhaled RCS </w:t>
      </w:r>
      <w:sdt>
        <w:sdtPr>
          <w:rPr>
            <w:rFonts w:cs="Arial"/>
          </w:rPr>
          <w:id w:val="740141001"/>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(Hall, et al. 2022)</w:t>
          </w:r>
          <w:r w:rsidRPr="000A53C0">
            <w:rPr>
              <w:rFonts w:cs="Arial"/>
            </w:rPr>
            <w:fldChar w:fldCharType="end"/>
          </w:r>
        </w:sdtContent>
      </w:sdt>
      <w:sdt>
        <w:sdtPr>
          <w:rPr>
            <w:rFonts w:cs="Arial"/>
          </w:rPr>
          <w:id w:val="1049725813"/>
          <w:citation/>
        </w:sdtPr>
        <w:sdtEndPr/>
        <w:sdtContent>
          <w:r w:rsidRPr="000A53C0">
            <w:rPr>
              <w:rFonts w:cs="Arial"/>
            </w:rPr>
            <w:fldChar w:fldCharType="begin"/>
          </w:r>
          <w:r w:rsidR="00A74AA4" w:rsidRPr="000A53C0">
            <w:rPr>
              <w:rFonts w:cs="Arial"/>
            </w:rPr>
            <w:instrText xml:space="preserve">CITATION Ram23 \l 3081 </w:instrText>
          </w:r>
          <w:r w:rsidRPr="000A53C0">
            <w:rPr>
              <w:rFonts w:cs="Arial"/>
            </w:rPr>
            <w:fldChar w:fldCharType="separate"/>
          </w:r>
          <w:r w:rsidR="001F7BAA" w:rsidRPr="000A53C0">
            <w:rPr>
              <w:rFonts w:cs="Arial"/>
              <w:noProof/>
            </w:rPr>
            <w:t xml:space="preserve"> (Ramkissoon, et al. 2023)</w:t>
          </w:r>
          <w:r w:rsidRPr="000A53C0">
            <w:rPr>
              <w:rFonts w:cs="Arial"/>
            </w:rPr>
            <w:fldChar w:fldCharType="end"/>
          </w:r>
        </w:sdtContent>
      </w:sdt>
      <w:r w:rsidRPr="000A53C0">
        <w:rPr>
          <w:rFonts w:cs="Arial"/>
        </w:rPr>
        <w:t xml:space="preserve">. </w:t>
      </w:r>
    </w:p>
    <w:p w14:paraId="28DF8AF0" w14:textId="47D8DE4B" w:rsidR="002D243D" w:rsidRPr="000A53C0" w:rsidRDefault="002D243D" w:rsidP="002D243D">
      <w:pPr>
        <w:pStyle w:val="BodyText"/>
        <w:rPr>
          <w:rFonts w:cs="Arial"/>
        </w:rPr>
      </w:pPr>
      <w:r w:rsidRPr="000A53C0">
        <w:rPr>
          <w:rFonts w:cs="Arial"/>
        </w:rPr>
        <w:t xml:space="preserve">The presence of other, potentially reactive elements in engineered stone dust emissions as well as lung biopsies of silicotic patients, suggests the potential contribution of metal ions in engineered stone to disease risk </w:t>
      </w:r>
      <w:sdt>
        <w:sdtPr>
          <w:rPr>
            <w:rFonts w:cs="Arial"/>
          </w:rPr>
          <w:id w:val="1860002056"/>
          <w:citation/>
        </w:sdtPr>
        <w:sdtEndPr/>
        <w:sdtContent>
          <w:r w:rsidRPr="000A53C0">
            <w:rPr>
              <w:rFonts w:cs="Arial"/>
            </w:rPr>
            <w:fldChar w:fldCharType="begin"/>
          </w:r>
          <w:r w:rsidR="00A74AA4" w:rsidRPr="000A53C0">
            <w:rPr>
              <w:rFonts w:cs="Arial"/>
            </w:rPr>
            <w:instrText xml:space="preserve">CITATION Leó21 \l 3081 </w:instrText>
          </w:r>
          <w:r w:rsidRPr="000A53C0">
            <w:rPr>
              <w:rFonts w:cs="Arial"/>
            </w:rPr>
            <w:fldChar w:fldCharType="separate"/>
          </w:r>
          <w:r w:rsidR="001F7BAA" w:rsidRPr="000A53C0">
            <w:rPr>
              <w:rFonts w:cs="Arial"/>
              <w:noProof/>
            </w:rPr>
            <w:t>(León-Jiménez, et al. 2021)</w:t>
          </w:r>
          <w:r w:rsidRPr="000A53C0">
            <w:rPr>
              <w:rFonts w:cs="Arial"/>
            </w:rPr>
            <w:fldChar w:fldCharType="end"/>
          </w:r>
        </w:sdtContent>
      </w:sdt>
      <w:r w:rsidRPr="000A53C0">
        <w:rPr>
          <w:rFonts w:cs="Arial"/>
        </w:rPr>
        <w:t>.</w:t>
      </w:r>
    </w:p>
    <w:p w14:paraId="22E1E2C5" w14:textId="6C8C09FD" w:rsidR="002D243D" w:rsidRPr="000A53C0" w:rsidRDefault="002D243D" w:rsidP="002D243D">
      <w:pPr>
        <w:pStyle w:val="BodyText"/>
        <w:rPr>
          <w:rFonts w:cs="Arial"/>
        </w:rPr>
      </w:pPr>
      <w:r w:rsidRPr="000A53C0">
        <w:rPr>
          <w:rFonts w:cs="Arial"/>
        </w:rPr>
        <w:t xml:space="preserve">Lower crystalline engineered stone products are being manufactured with products such as amorphous silica (including glass and recycled glass) and feldspar. While little is known about the risk profile of emissions (including dust) produced when these products are processed, there is some evidence of increased toxicity of freshly ground amorphous silica from these materials </w:t>
      </w:r>
      <w:sdt>
        <w:sdtPr>
          <w:rPr>
            <w:rFonts w:cs="Arial"/>
          </w:rPr>
          <w:id w:val="-1087688439"/>
          <w:citation/>
        </w:sdtPr>
        <w:sdtEndPr/>
        <w:sdtContent>
          <w:r w:rsidRPr="000A53C0">
            <w:rPr>
              <w:rFonts w:cs="Arial"/>
            </w:rPr>
            <w:fldChar w:fldCharType="begin"/>
          </w:r>
          <w:r w:rsidR="00A74AA4" w:rsidRPr="000A53C0">
            <w:rPr>
              <w:rFonts w:cs="Arial"/>
            </w:rPr>
            <w:instrText xml:space="preserve">CITATION Ghi10 \l 3081 </w:instrText>
          </w:r>
          <w:r w:rsidRPr="000A53C0">
            <w:rPr>
              <w:rFonts w:cs="Arial"/>
            </w:rPr>
            <w:fldChar w:fldCharType="separate"/>
          </w:r>
          <w:r w:rsidR="001F7BAA" w:rsidRPr="000A53C0">
            <w:rPr>
              <w:rFonts w:cs="Arial"/>
              <w:noProof/>
            </w:rPr>
            <w:t>(Ghiazza, et al. 2010)</w:t>
          </w:r>
          <w:r w:rsidRPr="000A53C0">
            <w:rPr>
              <w:rFonts w:cs="Arial"/>
            </w:rPr>
            <w:fldChar w:fldCharType="end"/>
          </w:r>
        </w:sdtContent>
      </w:sdt>
      <w:sdt>
        <w:sdtPr>
          <w:rPr>
            <w:rFonts w:cs="Arial"/>
          </w:rPr>
          <w:id w:val="-2026936202"/>
          <w:citation/>
        </w:sdtPr>
        <w:sdtEndPr/>
        <w:sdtContent>
          <w:r w:rsidRPr="000A53C0">
            <w:rPr>
              <w:rFonts w:cs="Arial"/>
            </w:rPr>
            <w:fldChar w:fldCharType="begin"/>
          </w:r>
          <w:r w:rsidR="00A74AA4" w:rsidRPr="000A53C0">
            <w:rPr>
              <w:rFonts w:cs="Arial"/>
            </w:rPr>
            <w:instrText xml:space="preserve">CITATION Por02 \l 3081 </w:instrText>
          </w:r>
          <w:r w:rsidRPr="000A53C0">
            <w:rPr>
              <w:rFonts w:cs="Arial"/>
            </w:rPr>
            <w:fldChar w:fldCharType="separate"/>
          </w:r>
          <w:r w:rsidR="001F7BAA" w:rsidRPr="000A53C0">
            <w:rPr>
              <w:rFonts w:cs="Arial"/>
              <w:noProof/>
            </w:rPr>
            <w:t xml:space="preserve"> (Porter, et al. 2002)</w:t>
          </w:r>
          <w:r w:rsidRPr="000A53C0">
            <w:rPr>
              <w:rFonts w:cs="Arial"/>
            </w:rPr>
            <w:fldChar w:fldCharType="end"/>
          </w:r>
        </w:sdtContent>
      </w:sdt>
      <w:r w:rsidRPr="000A53C0">
        <w:rPr>
          <w:rFonts w:cs="Arial"/>
          <w:noProof/>
        </w:rPr>
        <w:t xml:space="preserve"> (Pavan, 2020)</w:t>
      </w:r>
      <w:sdt>
        <w:sdtPr>
          <w:rPr>
            <w:rFonts w:cs="Arial"/>
            <w:noProof/>
          </w:rPr>
          <w:id w:val="-560020139"/>
          <w:citation/>
        </w:sdtPr>
        <w:sdtEndPr/>
        <w:sdtContent>
          <w:r w:rsidRPr="000A53C0">
            <w:rPr>
              <w:rFonts w:cs="Arial"/>
              <w:noProof/>
            </w:rPr>
            <w:fldChar w:fldCharType="begin"/>
          </w:r>
          <w:r w:rsidR="00A74AA4" w:rsidRPr="000A53C0">
            <w:rPr>
              <w:rFonts w:cs="Arial"/>
              <w:noProof/>
            </w:rPr>
            <w:instrText xml:space="preserve">CITATION Mar22 \l 3081 </w:instrText>
          </w:r>
          <w:r w:rsidRPr="000A53C0">
            <w:rPr>
              <w:rFonts w:cs="Arial"/>
              <w:noProof/>
            </w:rPr>
            <w:fldChar w:fldCharType="separate"/>
          </w:r>
          <w:r w:rsidR="001F7BAA" w:rsidRPr="000A53C0">
            <w:rPr>
              <w:rFonts w:cs="Arial"/>
              <w:noProof/>
            </w:rPr>
            <w:t xml:space="preserve"> (Marques Da Silva, et al. 2022)</w:t>
          </w:r>
          <w:r w:rsidRPr="000A53C0">
            <w:rPr>
              <w:rFonts w:cs="Arial"/>
              <w:noProof/>
            </w:rPr>
            <w:fldChar w:fldCharType="end"/>
          </w:r>
        </w:sdtContent>
      </w:sdt>
      <w:r w:rsidRPr="000A53C0">
        <w:rPr>
          <w:rFonts w:cs="Arial"/>
          <w:noProof/>
        </w:rPr>
        <w:t xml:space="preserve">, </w:t>
      </w:r>
      <w:r w:rsidRPr="000A53C0">
        <w:rPr>
          <w:rFonts w:cs="Arial"/>
        </w:rPr>
        <w:t>as well as differing toxicity profiles of dust from different varieties of feldspar</w:t>
      </w:r>
      <w:sdt>
        <w:sdtPr>
          <w:rPr>
            <w:rFonts w:cs="Arial"/>
          </w:rPr>
          <w:id w:val="-1512284771"/>
          <w:citation/>
        </w:sdtPr>
        <w:sdtEndPr/>
        <w:sdtContent>
          <w:r w:rsidRPr="000A53C0">
            <w:rPr>
              <w:rFonts w:cs="Arial"/>
            </w:rPr>
            <w:fldChar w:fldCharType="begin"/>
          </w:r>
          <w:r w:rsidR="00A74AA4" w:rsidRPr="000A53C0">
            <w:rPr>
              <w:rFonts w:cs="Arial"/>
            </w:rPr>
            <w:instrText xml:space="preserve">CITATION Gry22 \l 3081 </w:instrText>
          </w:r>
          <w:r w:rsidRPr="000A53C0">
            <w:rPr>
              <w:rFonts w:cs="Arial"/>
            </w:rPr>
            <w:fldChar w:fldCharType="separate"/>
          </w:r>
          <w:r w:rsidR="001F7BAA" w:rsidRPr="000A53C0">
            <w:rPr>
              <w:rFonts w:cs="Arial"/>
              <w:noProof/>
            </w:rPr>
            <w:t xml:space="preserve"> (Grytting, et al. 2022)</w:t>
          </w:r>
          <w:r w:rsidRPr="000A53C0">
            <w:rPr>
              <w:rFonts w:cs="Arial"/>
            </w:rPr>
            <w:fldChar w:fldCharType="end"/>
          </w:r>
        </w:sdtContent>
      </w:sdt>
      <w:r w:rsidRPr="000A53C0">
        <w:rPr>
          <w:rFonts w:cs="Arial"/>
        </w:rPr>
        <w:t>. Further work is required to ensure the</w:t>
      </w:r>
      <w:r w:rsidRPr="000A53C0" w:rsidDel="00C83F33">
        <w:rPr>
          <w:rFonts w:cs="Arial"/>
        </w:rPr>
        <w:t xml:space="preserve"> </w:t>
      </w:r>
      <w:r w:rsidRPr="000A53C0">
        <w:rPr>
          <w:rFonts w:cs="Arial"/>
        </w:rPr>
        <w:t>materials that may be used in place of crystalline silica in next generation engineered stone products do not pose risks to workers.</w:t>
      </w:r>
    </w:p>
    <w:p w14:paraId="4EC56147" w14:textId="77777777" w:rsidR="002D243D" w:rsidRPr="000A53C0" w:rsidRDefault="002D243D" w:rsidP="00514CCB">
      <w:pPr>
        <w:pStyle w:val="Heading3numbered"/>
      </w:pPr>
      <w:r w:rsidRPr="000A53C0">
        <w:t xml:space="preserve">Risk profile of engineered stone based on crystalline silica content </w:t>
      </w:r>
    </w:p>
    <w:p w14:paraId="0531C61A" w14:textId="575D504E" w:rsidR="002D243D" w:rsidRPr="000A53C0" w:rsidRDefault="002D243D" w:rsidP="002D243D">
      <w:pPr>
        <w:pStyle w:val="BodyText"/>
        <w:rPr>
          <w:rFonts w:cs="Arial"/>
        </w:rPr>
      </w:pPr>
      <w:r w:rsidRPr="000A53C0">
        <w:rPr>
          <w:rFonts w:cs="Arial"/>
        </w:rPr>
        <w:t xml:space="preserve">There is insufficient evidence to establish a threshold crystalline silica content of engineered stone, beyond which the risk of adverse health effects is unacceptably increased (for example the 40% threshold proposed in </w:t>
      </w:r>
      <w:r w:rsidR="001F1D32">
        <w:rPr>
          <w:rFonts w:cs="Arial"/>
        </w:rPr>
        <w:t>O</w:t>
      </w:r>
      <w:r w:rsidRPr="000A53C0">
        <w:rPr>
          <w:rFonts w:cs="Arial"/>
        </w:rPr>
        <w:t xml:space="preserve">ptions 2 and 3 of this Decision RIS). </w:t>
      </w:r>
    </w:p>
    <w:p w14:paraId="618976BC" w14:textId="350CA38B" w:rsidR="002D243D" w:rsidRPr="000A53C0" w:rsidRDefault="002D243D" w:rsidP="002D243D">
      <w:pPr>
        <w:pStyle w:val="BodyText"/>
        <w:rPr>
          <w:rFonts w:cs="Arial"/>
        </w:rPr>
      </w:pPr>
      <w:r w:rsidRPr="000A53C0">
        <w:rPr>
          <w:rFonts w:cs="Arial"/>
          <w:szCs w:val="20"/>
        </w:rPr>
        <w:t xml:space="preserve">Adverse health effects are associated with airborne silica dust </w:t>
      </w:r>
      <w:r w:rsidRPr="000A53C0">
        <w:rPr>
          <w:rFonts w:cs="Arial"/>
          <w:szCs w:val="20"/>
          <w:u w:val="single"/>
        </w:rPr>
        <w:t>exposure</w:t>
      </w:r>
      <w:r w:rsidRPr="000A53C0">
        <w:rPr>
          <w:rFonts w:cs="Arial"/>
          <w:szCs w:val="20"/>
        </w:rPr>
        <w:t xml:space="preserve">, not the silica content of the bulk material. </w:t>
      </w:r>
      <w:r w:rsidRPr="000A53C0">
        <w:rPr>
          <w:rFonts w:cs="Arial"/>
        </w:rPr>
        <w:t xml:space="preserve">The limited empirical evidence available supports that a lower silica stone produces less RCS when processed </w:t>
      </w:r>
      <w:sdt>
        <w:sdtPr>
          <w:rPr>
            <w:rFonts w:cs="Arial"/>
          </w:rPr>
          <w:id w:val="-1496023521"/>
          <w:citation/>
        </w:sdtPr>
        <w:sdtEndPr/>
        <w:sdtContent>
          <w:r w:rsidRPr="000A53C0">
            <w:rPr>
              <w:rFonts w:cs="Arial"/>
            </w:rPr>
            <w:fldChar w:fldCharType="begin"/>
          </w:r>
          <w:r w:rsidR="00A74AA4" w:rsidRPr="000A53C0">
            <w:rPr>
              <w:rFonts w:cs="Arial"/>
            </w:rPr>
            <w:instrText xml:space="preserve">CITATION QiC \l 3081 </w:instrText>
          </w:r>
          <w:r w:rsidRPr="000A53C0">
            <w:rPr>
              <w:rFonts w:cs="Arial"/>
            </w:rPr>
            <w:fldChar w:fldCharType="separate"/>
          </w:r>
          <w:r w:rsidR="001F7BAA" w:rsidRPr="000A53C0">
            <w:rPr>
              <w:rFonts w:cs="Arial"/>
              <w:noProof/>
            </w:rPr>
            <w:t>(Qi and Echt 2016)</w:t>
          </w:r>
          <w:r w:rsidRPr="000A53C0">
            <w:rPr>
              <w:rFonts w:cs="Arial"/>
            </w:rPr>
            <w:fldChar w:fldCharType="end"/>
          </w:r>
        </w:sdtContent>
      </w:sdt>
      <w:sdt>
        <w:sdtPr>
          <w:rPr>
            <w:rFonts w:cs="Arial"/>
          </w:rPr>
          <w:id w:val="-631327948"/>
          <w:citation/>
        </w:sdtPr>
        <w:sdtEndPr/>
        <w:sdtContent>
          <w:r w:rsidRPr="000A53C0">
            <w:rPr>
              <w:rFonts w:cs="Arial"/>
            </w:rPr>
            <w:fldChar w:fldCharType="begin"/>
          </w:r>
          <w:r w:rsidR="00A74AA4" w:rsidRPr="000A53C0">
            <w:rPr>
              <w:rFonts w:cs="Arial"/>
            </w:rPr>
            <w:instrText xml:space="preserve">CITATION Cha22 \l 3081 </w:instrText>
          </w:r>
          <w:r w:rsidRPr="000A53C0">
            <w:rPr>
              <w:rFonts w:cs="Arial"/>
            </w:rPr>
            <w:fldChar w:fldCharType="separate"/>
          </w:r>
          <w:r w:rsidR="001F7BAA" w:rsidRPr="000A53C0">
            <w:rPr>
              <w:rFonts w:cs="Arial"/>
              <w:noProof/>
            </w:rPr>
            <w:t xml:space="preserve"> (Ramkissoon, C, et al. 2022)</w:t>
          </w:r>
          <w:r w:rsidRPr="000A53C0">
            <w:rPr>
              <w:rFonts w:cs="Arial"/>
            </w:rPr>
            <w:fldChar w:fldCharType="end"/>
          </w:r>
        </w:sdtContent>
      </w:sdt>
      <w:r w:rsidRPr="000A53C0">
        <w:rPr>
          <w:rFonts w:cs="Arial"/>
        </w:rPr>
        <w:t xml:space="preserve">, and this in turn supports the logical presumption that reducing the crystalline silica content in the engineered stone slab results in reduced exposure to RCS. However, there is no epidemiological or laboratory toxicological evidence describing how the risk of disease would differ for workers exposed to RCS generated from engineered stone over a range of crystalline silica concentrations, or how it compares to that generated from natural stone. This is particularly important as the processing method is a known determinant of RCS production </w:t>
      </w:r>
      <w:sdt>
        <w:sdtPr>
          <w:rPr>
            <w:rFonts w:cs="Arial"/>
          </w:rPr>
          <w:id w:val="1030991171"/>
          <w:citation/>
        </w:sdtPr>
        <w:sdtEndPr/>
        <w:sdtContent>
          <w:r w:rsidRPr="000A53C0">
            <w:rPr>
              <w:rFonts w:cs="Arial"/>
            </w:rPr>
            <w:fldChar w:fldCharType="begin"/>
          </w:r>
          <w:r w:rsidRPr="000A53C0">
            <w:rPr>
              <w:rFonts w:cs="Arial"/>
            </w:rPr>
            <w:instrText xml:space="preserve"> CITATION Hea14 \l 3081 </w:instrText>
          </w:r>
          <w:r w:rsidRPr="000A53C0">
            <w:rPr>
              <w:rFonts w:cs="Arial"/>
            </w:rPr>
            <w:fldChar w:fldCharType="separate"/>
          </w:r>
          <w:r w:rsidR="001F7BAA" w:rsidRPr="000A53C0">
            <w:rPr>
              <w:rFonts w:cs="Arial"/>
              <w:noProof/>
            </w:rPr>
            <w:t>(Healy 2014)</w:t>
          </w:r>
          <w:r w:rsidRPr="000A53C0">
            <w:rPr>
              <w:rFonts w:cs="Arial"/>
            </w:rPr>
            <w:fldChar w:fldCharType="end"/>
          </w:r>
        </w:sdtContent>
      </w:sdt>
      <w:sdt>
        <w:sdtPr>
          <w:rPr>
            <w:rFonts w:cs="Arial"/>
          </w:rPr>
          <w:id w:val="1168677034"/>
          <w:citation/>
        </w:sdtPr>
        <w:sdtEndPr/>
        <w:sdtContent>
          <w:r w:rsidRPr="000A53C0">
            <w:rPr>
              <w:rFonts w:cs="Arial"/>
            </w:rPr>
            <w:fldChar w:fldCharType="begin"/>
          </w:r>
          <w:r w:rsidR="00A74AA4" w:rsidRPr="000A53C0">
            <w:rPr>
              <w:rFonts w:cs="Arial"/>
            </w:rPr>
            <w:instrText xml:space="preserve">CITATION Van14 \l 3081 </w:instrText>
          </w:r>
          <w:r w:rsidRPr="000A53C0">
            <w:rPr>
              <w:rFonts w:cs="Arial"/>
            </w:rPr>
            <w:fldChar w:fldCharType="separate"/>
          </w:r>
          <w:r w:rsidR="001F7BAA" w:rsidRPr="000A53C0">
            <w:rPr>
              <w:rFonts w:cs="Arial"/>
              <w:noProof/>
            </w:rPr>
            <w:t xml:space="preserve"> (van Deurssen , et al. 2014)</w:t>
          </w:r>
          <w:r w:rsidRPr="000A53C0">
            <w:rPr>
              <w:rFonts w:cs="Arial"/>
            </w:rPr>
            <w:fldChar w:fldCharType="end"/>
          </w:r>
        </w:sdtContent>
      </w:sdt>
      <w:r w:rsidRPr="000A53C0">
        <w:rPr>
          <w:rFonts w:cs="Arial"/>
        </w:rPr>
        <w:t xml:space="preserve">, and it can also impact the size of the particles emitted </w:t>
      </w:r>
      <w:sdt>
        <w:sdtPr>
          <w:rPr>
            <w:rFonts w:cs="Arial"/>
          </w:rPr>
          <w:id w:val="586809228"/>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(Hall, et al. 2022)</w:t>
          </w:r>
          <w:r w:rsidRPr="000A53C0">
            <w:rPr>
              <w:rFonts w:cs="Arial"/>
            </w:rPr>
            <w:fldChar w:fldCharType="end"/>
          </w:r>
        </w:sdtContent>
      </w:sdt>
      <w:r w:rsidRPr="000A53C0">
        <w:rPr>
          <w:rFonts w:cs="Arial"/>
        </w:rPr>
        <w:t xml:space="preserve">. </w:t>
      </w:r>
    </w:p>
    <w:p w14:paraId="719CF957" w14:textId="77777777" w:rsidR="002D243D" w:rsidRPr="000A53C0" w:rsidRDefault="002D243D" w:rsidP="00514CCB">
      <w:pPr>
        <w:pStyle w:val="Heading3numbered"/>
      </w:pPr>
      <w:r w:rsidRPr="000A53C0">
        <w:t xml:space="preserve">Impact of manufacturing methods on risk profile </w:t>
      </w:r>
    </w:p>
    <w:p w14:paraId="2E165FCA" w14:textId="2ABD3D0B" w:rsidR="002D243D" w:rsidRPr="000A53C0" w:rsidRDefault="002D243D" w:rsidP="002D243D">
      <w:pPr>
        <w:pStyle w:val="BodyText"/>
        <w:rPr>
          <w:rFonts w:cs="Arial"/>
        </w:rPr>
      </w:pPr>
      <w:r w:rsidRPr="000A53C0">
        <w:rPr>
          <w:rFonts w:cs="Arial"/>
        </w:rPr>
        <w:t xml:space="preserve">Different manufacturing methods may affect the risk profile arising from processing engineered stone. Resin-based engineered stones have been the most utilised product to date. Moderate heat cures the organic resin binder that holds the stone particles together. Processing resin-based engineered stone can generate high heat which leads to emission of hazardous airborne substances, such as volatile organic compounds (VOCs) </w:t>
      </w:r>
      <w:sdt>
        <w:sdtPr>
          <w:rPr>
            <w:rFonts w:cs="Arial"/>
          </w:rPr>
          <w:id w:val="126295083"/>
          <w:citation/>
        </w:sdtPr>
        <w:sdtEndPr/>
        <w:sdtContent>
          <w:r w:rsidRPr="000A53C0">
            <w:rPr>
              <w:rFonts w:cs="Arial"/>
            </w:rPr>
            <w:fldChar w:fldCharType="begin"/>
          </w:r>
          <w:r w:rsidR="00A74AA4" w:rsidRPr="000A53C0">
            <w:rPr>
              <w:rFonts w:cs="Arial"/>
            </w:rPr>
            <w:instrText xml:space="preserve">CITATION Hal22 \l 3081 </w:instrText>
          </w:r>
          <w:r w:rsidRPr="000A53C0">
            <w:rPr>
              <w:rFonts w:cs="Arial"/>
            </w:rPr>
            <w:fldChar w:fldCharType="separate"/>
          </w:r>
          <w:r w:rsidR="001F7BAA" w:rsidRPr="000A53C0">
            <w:rPr>
              <w:rFonts w:cs="Arial"/>
              <w:noProof/>
            </w:rPr>
            <w:t>(Hall, et al. 2022)</w:t>
          </w:r>
          <w:r w:rsidRPr="000A53C0">
            <w:rPr>
              <w:rFonts w:cs="Arial"/>
            </w:rPr>
            <w:fldChar w:fldCharType="end"/>
          </w:r>
        </w:sdtContent>
      </w:sdt>
      <w:sdt>
        <w:sdtPr>
          <w:rPr>
            <w:rFonts w:cs="Arial"/>
          </w:rPr>
          <w:id w:val="-471679835"/>
          <w:citation/>
        </w:sdtPr>
        <w:sdtEndPr/>
        <w:sdtContent>
          <w:r w:rsidRPr="000A53C0">
            <w:rPr>
              <w:rFonts w:cs="Arial"/>
            </w:rPr>
            <w:fldChar w:fldCharType="begin"/>
          </w:r>
          <w:r w:rsidR="00A74AA4" w:rsidRPr="000A53C0">
            <w:rPr>
              <w:rFonts w:cs="Arial"/>
            </w:rPr>
            <w:instrText xml:space="preserve">CITATION Ram23 \l 3081 </w:instrText>
          </w:r>
          <w:r w:rsidRPr="000A53C0">
            <w:rPr>
              <w:rFonts w:cs="Arial"/>
            </w:rPr>
            <w:fldChar w:fldCharType="separate"/>
          </w:r>
          <w:r w:rsidR="001F7BAA" w:rsidRPr="000A53C0">
            <w:rPr>
              <w:rFonts w:cs="Arial"/>
              <w:noProof/>
            </w:rPr>
            <w:t xml:space="preserve"> (Ramkissoon, et al. 2023)</w:t>
          </w:r>
          <w:r w:rsidRPr="000A53C0">
            <w:rPr>
              <w:rFonts w:cs="Arial"/>
            </w:rPr>
            <w:fldChar w:fldCharType="end"/>
          </w:r>
        </w:sdtContent>
      </w:sdt>
      <w:r w:rsidRPr="000A53C0">
        <w:rPr>
          <w:rFonts w:cs="Arial"/>
        </w:rPr>
        <w:t xml:space="preserve">. </w:t>
      </w:r>
    </w:p>
    <w:p w14:paraId="2B65927D" w14:textId="77777777" w:rsidR="002D243D" w:rsidRPr="000A53C0" w:rsidRDefault="002D243D" w:rsidP="002D243D">
      <w:pPr>
        <w:pStyle w:val="BodyText"/>
        <w:rPr>
          <w:rFonts w:cs="Arial"/>
        </w:rPr>
      </w:pPr>
      <w:r w:rsidRPr="000A53C0">
        <w:rPr>
          <w:rFonts w:cs="Arial"/>
        </w:rPr>
        <w:t xml:space="preserve">Sintering is a different manufacturing technique that involves subjecting the stone particles to high temperatures and pressure, causing them to compact together, simulating the formation of natural granite, and eliminating the need for resin as a binding agent. Unlike resin-based engineered stone (comprised of organic and inorganic constituents) sintered stone has only inorganic ingredients. There is however still uncertainty as to whether the additional mechanical energy and different abrasive action required to process sintered engineered stone results in a different toxicity profile for the dust. </w:t>
      </w:r>
    </w:p>
    <w:p w14:paraId="72B19189" w14:textId="77777777" w:rsidR="002D243D" w:rsidRPr="000A53C0" w:rsidRDefault="002D243D" w:rsidP="002D243D">
      <w:pPr>
        <w:pStyle w:val="BodyText"/>
        <w:rPr>
          <w:rFonts w:cs="Arial"/>
        </w:rPr>
      </w:pPr>
      <w:r w:rsidRPr="000A53C0">
        <w:rPr>
          <w:rFonts w:cs="Arial"/>
        </w:rPr>
        <w:lastRenderedPageBreak/>
        <w:t xml:space="preserve">The health risks of emissions produced when processing porcelain-based benchtops (which may contain crystalline silica and feldspar) or benchtop materials free from crystalline silica will require further consideration. </w:t>
      </w:r>
    </w:p>
    <w:p w14:paraId="21292397" w14:textId="77777777" w:rsidR="002D243D" w:rsidRPr="000A53C0" w:rsidRDefault="002D243D" w:rsidP="00514CCB">
      <w:pPr>
        <w:pStyle w:val="Heading3numbered"/>
      </w:pPr>
      <w:r w:rsidRPr="000A53C0">
        <w:t>Detection of silica content</w:t>
      </w:r>
    </w:p>
    <w:p w14:paraId="42472435" w14:textId="77777777" w:rsidR="002D243D" w:rsidRPr="000A53C0" w:rsidRDefault="002D243D" w:rsidP="002D243D">
      <w:pPr>
        <w:pStyle w:val="BodyText"/>
        <w:rPr>
          <w:rFonts w:cs="Arial"/>
        </w:rPr>
      </w:pPr>
      <w:r w:rsidRPr="000A53C0">
        <w:rPr>
          <w:rFonts w:cs="Arial"/>
        </w:rPr>
        <w:t>Understanding crystalline silica content in bulk (slab) engineered stone products currently relies on composition information provided in manufacturer Safety Data Sheets. These documents may provide silica content as a range and are sometimes prepared for a collection of engineered stones that have differing content, rather than a specific stone product or batch. There is currently no specific technique available to directly determine crystalline silica content in bulk stone materials (i.e. real-time, direct, non-destructive detection and quantification). Should a prohibition on use of engineered stone above a specific silica content be introduced, there is a need to investigate novel real-time, direct detection technologies to ensure it is enforceable. Some techniques have been explored for other industries such as mining and defence.</w:t>
      </w:r>
    </w:p>
    <w:p w14:paraId="257E3EF3" w14:textId="4D265112" w:rsidR="0029234A" w:rsidRPr="000A53C0" w:rsidRDefault="00B510F3" w:rsidP="00514CCB">
      <w:pPr>
        <w:pStyle w:val="Heading2numbered"/>
      </w:pPr>
      <w:bookmarkStart w:id="65" w:name="_Toc142991323"/>
      <w:r w:rsidRPr="000A53C0">
        <w:t>Duties under the WHS legal framework</w:t>
      </w:r>
      <w:bookmarkEnd w:id="65"/>
    </w:p>
    <w:p w14:paraId="054DE631" w14:textId="0AF4AD43" w:rsidR="00703AD4" w:rsidRPr="000A53C0" w:rsidRDefault="002F333D" w:rsidP="00FC5DB6">
      <w:pPr>
        <w:pStyle w:val="BodyText"/>
        <w:rPr>
          <w:rFonts w:cs="Arial"/>
        </w:rPr>
      </w:pPr>
      <w:r w:rsidRPr="000A53C0" w:rsidDel="000F53B2">
        <w:rPr>
          <w:rFonts w:cs="Arial"/>
        </w:rPr>
        <w:t xml:space="preserve">Australia has a strong, nationally consistent </w:t>
      </w:r>
      <w:r w:rsidR="00F602FC" w:rsidRPr="000A53C0" w:rsidDel="000F53B2">
        <w:rPr>
          <w:rFonts w:cs="Arial"/>
        </w:rPr>
        <w:t xml:space="preserve">WHS legal </w:t>
      </w:r>
      <w:r w:rsidRPr="000A53C0" w:rsidDel="000F53B2">
        <w:rPr>
          <w:rFonts w:cs="Arial"/>
        </w:rPr>
        <w:t xml:space="preserve">framework </w:t>
      </w:r>
      <w:r w:rsidR="00F602FC" w:rsidRPr="000A53C0" w:rsidDel="000F53B2">
        <w:rPr>
          <w:rFonts w:cs="Arial"/>
        </w:rPr>
        <w:t>to protect</w:t>
      </w:r>
      <w:r w:rsidRPr="000A53C0" w:rsidDel="000F53B2">
        <w:rPr>
          <w:rFonts w:cs="Arial"/>
        </w:rPr>
        <w:t xml:space="preserve"> the health and safety of workers. </w:t>
      </w:r>
      <w:r w:rsidR="00CF2265" w:rsidRPr="000A53C0" w:rsidDel="000F53B2">
        <w:rPr>
          <w:rFonts w:cs="Arial"/>
        </w:rPr>
        <w:t>This includes ensur</w:t>
      </w:r>
      <w:r w:rsidR="00B91B92" w:rsidRPr="000A53C0" w:rsidDel="000F53B2">
        <w:rPr>
          <w:rFonts w:cs="Arial"/>
        </w:rPr>
        <w:t>ing</w:t>
      </w:r>
      <w:r w:rsidR="00CF2265" w:rsidRPr="000A53C0" w:rsidDel="000F53B2">
        <w:rPr>
          <w:rFonts w:cs="Arial"/>
        </w:rPr>
        <w:t xml:space="preserve"> workers are </w:t>
      </w:r>
      <w:r w:rsidR="00063017" w:rsidRPr="000A53C0" w:rsidDel="000F53B2">
        <w:rPr>
          <w:rFonts w:cs="Arial"/>
        </w:rPr>
        <w:t xml:space="preserve">not exposed to </w:t>
      </w:r>
      <w:r w:rsidR="00F2663D" w:rsidRPr="000A53C0" w:rsidDel="000F53B2">
        <w:rPr>
          <w:rFonts w:cs="Arial"/>
        </w:rPr>
        <w:t xml:space="preserve">any hazards from </w:t>
      </w:r>
      <w:r w:rsidR="00063017" w:rsidRPr="000A53C0" w:rsidDel="000F53B2">
        <w:rPr>
          <w:rFonts w:cs="Arial"/>
        </w:rPr>
        <w:t>engineered stone dust</w:t>
      </w:r>
      <w:r w:rsidR="00242FAC" w:rsidRPr="000A53C0" w:rsidDel="000F53B2">
        <w:rPr>
          <w:rFonts w:cs="Arial"/>
        </w:rPr>
        <w:t xml:space="preserve">. </w:t>
      </w:r>
      <w:r w:rsidR="00965B67" w:rsidRPr="000A53C0">
        <w:rPr>
          <w:rFonts w:cs="Arial"/>
        </w:rPr>
        <w:t xml:space="preserve">In response to the diagnoses of silicosis in engineered stone workers, the model WHS laws have been amended to remove any doubt in relation to the applicable control measures </w:t>
      </w:r>
      <w:r w:rsidR="00900463" w:rsidRPr="000A53C0">
        <w:rPr>
          <w:rFonts w:cs="Arial"/>
        </w:rPr>
        <w:t xml:space="preserve">that must be implemented </w:t>
      </w:r>
      <w:r w:rsidR="00965B67" w:rsidRPr="000A53C0">
        <w:rPr>
          <w:rFonts w:cs="Arial"/>
        </w:rPr>
        <w:t>when working with engineered stone, for example, the prevention of dry cutting. The workplace exposure level for RCS has also been reduced from 0.1 mg/m</w:t>
      </w:r>
      <w:r w:rsidR="00965B67" w:rsidRPr="000A53C0">
        <w:rPr>
          <w:rFonts w:cs="Arial"/>
          <w:vertAlign w:val="superscript"/>
        </w:rPr>
        <w:t>3</w:t>
      </w:r>
      <w:r w:rsidR="00965B67" w:rsidRPr="000A53C0">
        <w:rPr>
          <w:rFonts w:cs="Arial"/>
        </w:rPr>
        <w:t xml:space="preserve"> to 0.05 mg/m</w:t>
      </w:r>
      <w:r w:rsidR="00965B67" w:rsidRPr="000A53C0">
        <w:rPr>
          <w:rFonts w:cs="Arial"/>
          <w:vertAlign w:val="superscript"/>
        </w:rPr>
        <w:t>3</w:t>
      </w:r>
      <w:r w:rsidR="00965B67" w:rsidRPr="000A53C0">
        <w:rPr>
          <w:rFonts w:cs="Arial"/>
        </w:rPr>
        <w:t xml:space="preserve"> (8-hour time weighted average), with </w:t>
      </w:r>
      <w:r w:rsidR="001524AB" w:rsidRPr="000A53C0">
        <w:rPr>
          <w:rFonts w:cs="Arial"/>
        </w:rPr>
        <w:t xml:space="preserve">Safe Work Australia </w:t>
      </w:r>
      <w:r w:rsidR="00965B67" w:rsidRPr="000A53C0">
        <w:rPr>
          <w:rFonts w:cs="Arial"/>
        </w:rPr>
        <w:t>Members recently agreeing to recommend a further reduction to WHS ministers (to 0.025 mg/m</w:t>
      </w:r>
      <w:r w:rsidR="00965B67" w:rsidRPr="000A53C0">
        <w:rPr>
          <w:rFonts w:cs="Arial"/>
          <w:vertAlign w:val="superscript"/>
        </w:rPr>
        <w:t>3</w:t>
      </w:r>
      <w:r w:rsidR="00965B67" w:rsidRPr="000A53C0">
        <w:rPr>
          <w:rFonts w:cs="Arial"/>
        </w:rPr>
        <w:t xml:space="preserve">). </w:t>
      </w:r>
      <w:r w:rsidR="00472B88" w:rsidRPr="000A53C0">
        <w:rPr>
          <w:rFonts w:cs="Arial"/>
        </w:rPr>
        <w:t xml:space="preserve">Table 4 </w:t>
      </w:r>
      <w:r w:rsidR="008D6258" w:rsidRPr="000A53C0">
        <w:rPr>
          <w:rFonts w:cs="Arial"/>
        </w:rPr>
        <w:t>summarises the duties applicable to PCBU</w:t>
      </w:r>
      <w:r w:rsidR="00F2663D" w:rsidRPr="000A53C0">
        <w:rPr>
          <w:rFonts w:cs="Arial"/>
        </w:rPr>
        <w:t>s</w:t>
      </w:r>
      <w:r w:rsidR="008D6258" w:rsidRPr="000A53C0">
        <w:rPr>
          <w:rFonts w:cs="Arial"/>
        </w:rPr>
        <w:t>, workers and other duty holders</w:t>
      </w:r>
      <w:r w:rsidR="003A0E5C" w:rsidRPr="000A53C0">
        <w:rPr>
          <w:rFonts w:cs="Arial"/>
        </w:rPr>
        <w:t xml:space="preserve">, expanded on in Appendix A. </w:t>
      </w:r>
      <w:r w:rsidR="00472B88" w:rsidRPr="000A53C0">
        <w:rPr>
          <w:rFonts w:cs="Arial"/>
        </w:rPr>
        <w:t xml:space="preserve"> </w:t>
      </w:r>
    </w:p>
    <w:p w14:paraId="21A696DE" w14:textId="77777777" w:rsidR="00431B10" w:rsidRPr="000A53C0" w:rsidRDefault="00431B10" w:rsidP="00FC5DB6">
      <w:pPr>
        <w:pStyle w:val="BodyText"/>
        <w:rPr>
          <w:rFonts w:cs="Arial"/>
        </w:rPr>
      </w:pPr>
    </w:p>
    <w:p w14:paraId="5E17E58A" w14:textId="65EAB8B4" w:rsidR="005F57D4" w:rsidRPr="000A53C0" w:rsidRDefault="005F57D4" w:rsidP="00FC5DB6">
      <w:pPr>
        <w:pStyle w:val="Caption"/>
        <w:rPr>
          <w:rFonts w:cs="Arial"/>
        </w:rPr>
      </w:pPr>
      <w:r w:rsidRPr="0024670A">
        <w:rPr>
          <w:rFonts w:cs="Arial"/>
          <w:b/>
          <w:bCs/>
        </w:rPr>
        <w:lastRenderedPageBreak/>
        <w:t xml:space="preserve">Table </w:t>
      </w:r>
      <w:r w:rsidR="003B1701" w:rsidRPr="0024670A">
        <w:rPr>
          <w:rFonts w:cs="Arial"/>
          <w:b/>
          <w:bCs/>
        </w:rPr>
        <w:t>4</w:t>
      </w:r>
      <w:r w:rsidRPr="000A53C0">
        <w:rPr>
          <w:rFonts w:cs="Arial"/>
        </w:rPr>
        <w:t xml:space="preserve"> Duty </w:t>
      </w:r>
      <w:r w:rsidR="0007352F">
        <w:rPr>
          <w:rFonts w:cs="Arial"/>
        </w:rPr>
        <w:t>h</w:t>
      </w:r>
      <w:r w:rsidRPr="000A53C0">
        <w:rPr>
          <w:rFonts w:cs="Arial"/>
        </w:rPr>
        <w:t xml:space="preserve">olders under the </w:t>
      </w:r>
      <w:r w:rsidR="00900463" w:rsidRPr="000A53C0">
        <w:rPr>
          <w:rFonts w:cs="Arial"/>
        </w:rPr>
        <w:t xml:space="preserve">model </w:t>
      </w:r>
      <w:r w:rsidRPr="000A53C0">
        <w:rPr>
          <w:rFonts w:cs="Arial"/>
        </w:rPr>
        <w:t>WHS legislation</w:t>
      </w:r>
    </w:p>
    <w:tbl>
      <w:tblPr>
        <w:tblStyle w:val="PMCDefaultTableStyle"/>
        <w:tblW w:w="5000" w:type="pct"/>
        <w:tblLook w:val="04A0" w:firstRow="1" w:lastRow="0" w:firstColumn="1" w:lastColumn="0" w:noHBand="0" w:noVBand="1"/>
      </w:tblPr>
      <w:tblGrid>
        <w:gridCol w:w="4110"/>
        <w:gridCol w:w="6094"/>
      </w:tblGrid>
      <w:tr w:rsidR="005F57D4" w:rsidRPr="000A53C0" w14:paraId="2A6ED251" w14:textId="77777777" w:rsidTr="0024670A">
        <w:trPr>
          <w:cnfStyle w:val="100000000000" w:firstRow="1" w:lastRow="0" w:firstColumn="0" w:lastColumn="0" w:oddVBand="0" w:evenVBand="0" w:oddHBand="0" w:evenHBand="0" w:firstRowFirstColumn="0" w:firstRowLastColumn="0" w:lastRowFirstColumn="0" w:lastRowLastColumn="0"/>
          <w:trHeight w:val="580"/>
        </w:trPr>
        <w:tc>
          <w:tcPr>
            <w:tcW w:w="2014" w:type="pct"/>
            <w:shd w:val="clear" w:color="auto" w:fill="E81D32"/>
            <w:vAlign w:val="center"/>
          </w:tcPr>
          <w:p w14:paraId="5DDA3FB2" w14:textId="1F4CFA9D" w:rsidR="005F57D4" w:rsidRPr="0024670A" w:rsidRDefault="005F57D4" w:rsidP="0024670A">
            <w:pPr>
              <w:pStyle w:val="TableHeading"/>
              <w:keepNext/>
              <w:spacing w:before="0" w:after="0"/>
              <w:rPr>
                <w:rFonts w:ascii="Arial" w:hAnsi="Arial" w:cs="Arial"/>
                <w:b/>
                <w:bCs/>
                <w:color w:val="FFFFFF" w:themeColor="background1"/>
              </w:rPr>
            </w:pPr>
            <w:r w:rsidRPr="0024670A">
              <w:rPr>
                <w:rFonts w:ascii="Arial" w:hAnsi="Arial" w:cs="Arial"/>
                <w:b/>
                <w:bCs/>
                <w:color w:val="FFFFFF" w:themeColor="background1"/>
              </w:rPr>
              <w:t>Duty h</w:t>
            </w:r>
            <w:r w:rsidR="00D54B0B" w:rsidRPr="0024670A">
              <w:rPr>
                <w:rFonts w:ascii="Arial" w:hAnsi="Arial" w:cs="Arial"/>
                <w:b/>
                <w:bCs/>
                <w:color w:val="FFFFFF" w:themeColor="background1"/>
              </w:rPr>
              <w:t>o</w:t>
            </w:r>
            <w:r w:rsidRPr="0024670A">
              <w:rPr>
                <w:rFonts w:ascii="Arial" w:hAnsi="Arial" w:cs="Arial"/>
                <w:b/>
                <w:bCs/>
                <w:color w:val="FFFFFF" w:themeColor="background1"/>
              </w:rPr>
              <w:t>lder</w:t>
            </w:r>
          </w:p>
        </w:tc>
        <w:tc>
          <w:tcPr>
            <w:tcW w:w="2986" w:type="pct"/>
            <w:shd w:val="clear" w:color="auto" w:fill="E81D32"/>
            <w:vAlign w:val="center"/>
          </w:tcPr>
          <w:p w14:paraId="18CA781E" w14:textId="074FFC7B" w:rsidR="005F57D4" w:rsidRPr="0024670A" w:rsidRDefault="0024670A" w:rsidP="0024670A">
            <w:pPr>
              <w:pStyle w:val="TableHeading"/>
              <w:keepNext/>
              <w:spacing w:before="0" w:after="0"/>
              <w:rPr>
                <w:rFonts w:ascii="Arial" w:hAnsi="Arial" w:cs="Arial"/>
                <w:b/>
                <w:bCs/>
                <w:color w:val="FFFFFF" w:themeColor="background1"/>
              </w:rPr>
            </w:pPr>
            <w:r>
              <w:rPr>
                <w:rFonts w:ascii="Arial" w:hAnsi="Arial" w:cs="Arial"/>
                <w:b/>
                <w:bCs/>
                <w:color w:val="FFFFFF" w:themeColor="background1"/>
              </w:rPr>
              <w:t>D</w:t>
            </w:r>
            <w:r w:rsidR="00D54B0B" w:rsidRPr="0024670A">
              <w:rPr>
                <w:rFonts w:ascii="Arial" w:hAnsi="Arial" w:cs="Arial"/>
                <w:b/>
                <w:bCs/>
                <w:color w:val="FFFFFF" w:themeColor="background1"/>
              </w:rPr>
              <w:t>uties</w:t>
            </w:r>
          </w:p>
        </w:tc>
      </w:tr>
      <w:tr w:rsidR="005F57D4" w:rsidRPr="000A53C0" w14:paraId="611D1616" w14:textId="77777777">
        <w:trPr>
          <w:cnfStyle w:val="000000100000" w:firstRow="0" w:lastRow="0" w:firstColumn="0" w:lastColumn="0" w:oddVBand="0" w:evenVBand="0" w:oddHBand="1" w:evenHBand="0" w:firstRowFirstColumn="0" w:firstRowLastColumn="0" w:lastRowFirstColumn="0" w:lastRowLastColumn="0"/>
        </w:trPr>
        <w:tc>
          <w:tcPr>
            <w:tcW w:w="2014" w:type="pct"/>
          </w:tcPr>
          <w:p w14:paraId="632B650B" w14:textId="25941DAE" w:rsidR="005F57D4" w:rsidRPr="000A53C0" w:rsidRDefault="00D54B0B" w:rsidP="00FC5DB6">
            <w:pPr>
              <w:pStyle w:val="TableBody"/>
              <w:keepNext/>
              <w:rPr>
                <w:rFonts w:cs="Arial"/>
              </w:rPr>
            </w:pPr>
            <w:r w:rsidRPr="000A53C0">
              <w:rPr>
                <w:rFonts w:cs="Arial"/>
              </w:rPr>
              <w:t>PCBUs</w:t>
            </w:r>
            <w:r w:rsidR="005F57D4" w:rsidRPr="000A53C0">
              <w:rPr>
                <w:rFonts w:cs="Arial"/>
              </w:rPr>
              <w:t xml:space="preserve"> </w:t>
            </w:r>
          </w:p>
        </w:tc>
        <w:tc>
          <w:tcPr>
            <w:tcW w:w="2986" w:type="pct"/>
          </w:tcPr>
          <w:p w14:paraId="204CED05" w14:textId="28DF668F" w:rsidR="005F57D4" w:rsidRPr="000A53C0" w:rsidRDefault="008851A6" w:rsidP="00FC5DB6">
            <w:pPr>
              <w:pStyle w:val="TableBullet"/>
              <w:keepNext/>
              <w:rPr>
                <w:rFonts w:cs="Arial"/>
              </w:rPr>
            </w:pPr>
            <w:r w:rsidRPr="000A53C0">
              <w:rPr>
                <w:rFonts w:cs="Arial"/>
              </w:rPr>
              <w:t xml:space="preserve">primary </w:t>
            </w:r>
            <w:r w:rsidR="001163D6" w:rsidRPr="000A53C0">
              <w:rPr>
                <w:rFonts w:cs="Arial"/>
              </w:rPr>
              <w:t xml:space="preserve">duty of care to </w:t>
            </w:r>
            <w:r w:rsidR="001163D6" w:rsidRPr="000A53C0">
              <w:rPr>
                <w:rFonts w:cs="Arial"/>
                <w:b/>
                <w:bCs/>
              </w:rPr>
              <w:t>ensure</w:t>
            </w:r>
            <w:r w:rsidR="00714D15" w:rsidRPr="000A53C0">
              <w:rPr>
                <w:rFonts w:cs="Arial"/>
                <w:b/>
                <w:bCs/>
              </w:rPr>
              <w:t xml:space="preserve"> the health and safety of worke</w:t>
            </w:r>
            <w:r w:rsidR="000579CF" w:rsidRPr="000A53C0">
              <w:rPr>
                <w:rFonts w:cs="Arial"/>
                <w:b/>
                <w:bCs/>
              </w:rPr>
              <w:t>rs</w:t>
            </w:r>
          </w:p>
          <w:p w14:paraId="0D608ECF" w14:textId="187495CD" w:rsidR="00900463" w:rsidRPr="000A53C0" w:rsidRDefault="00900463" w:rsidP="00FC5DB6">
            <w:pPr>
              <w:pStyle w:val="TableBullet"/>
              <w:keepNext/>
              <w:rPr>
                <w:rFonts w:cs="Arial"/>
              </w:rPr>
            </w:pPr>
            <w:r w:rsidRPr="000A53C0">
              <w:rPr>
                <w:rFonts w:cs="Arial"/>
              </w:rPr>
              <w:t>ensure others are not put at risk from work carried out by the business</w:t>
            </w:r>
          </w:p>
          <w:p w14:paraId="73C9180B" w14:textId="00DC7959" w:rsidR="001163D6" w:rsidRPr="000A53C0" w:rsidRDefault="008851A6" w:rsidP="00FC5DB6">
            <w:pPr>
              <w:pStyle w:val="TableBullet"/>
              <w:keepNext/>
              <w:rPr>
                <w:rFonts w:cs="Arial"/>
              </w:rPr>
            </w:pPr>
            <w:r w:rsidRPr="000A53C0">
              <w:rPr>
                <w:rFonts w:cs="Arial"/>
                <w:b/>
                <w:bCs/>
              </w:rPr>
              <w:t xml:space="preserve">eliminate </w:t>
            </w:r>
            <w:r w:rsidR="001163D6" w:rsidRPr="000A53C0">
              <w:rPr>
                <w:rFonts w:cs="Arial"/>
                <w:b/>
                <w:bCs/>
              </w:rPr>
              <w:t>risks</w:t>
            </w:r>
            <w:r w:rsidR="001163D6" w:rsidRPr="000A53C0">
              <w:rPr>
                <w:rFonts w:cs="Arial"/>
              </w:rPr>
              <w:t xml:space="preserve"> </w:t>
            </w:r>
            <w:r w:rsidR="00B73B77" w:rsidRPr="000A53C0">
              <w:rPr>
                <w:rFonts w:cs="Arial"/>
              </w:rPr>
              <w:t>arising from exposure to RCS or, where not reasonably practicable, minimise the risks so far as is reasonably practicable to workers and other persons at the workplace</w:t>
            </w:r>
            <w:r w:rsidR="0058149A">
              <w:rPr>
                <w:rFonts w:cs="Arial"/>
              </w:rPr>
              <w:t>:</w:t>
            </w:r>
          </w:p>
          <w:p w14:paraId="40BAAEA1" w14:textId="33F4C35F" w:rsidR="0088040C" w:rsidRPr="000A53C0" w:rsidRDefault="0058149A" w:rsidP="0058149A">
            <w:pPr>
              <w:pStyle w:val="TableBullet"/>
              <w:keepNext/>
              <w:numPr>
                <w:ilvl w:val="2"/>
                <w:numId w:val="1"/>
              </w:numPr>
              <w:rPr>
                <w:rFonts w:cs="Arial"/>
              </w:rPr>
            </w:pPr>
            <w:r>
              <w:rPr>
                <w:rFonts w:cs="Arial"/>
              </w:rPr>
              <w:t>p</w:t>
            </w:r>
            <w:r w:rsidR="007D5A41" w:rsidRPr="000A53C0">
              <w:rPr>
                <w:rFonts w:cs="Arial"/>
              </w:rPr>
              <w:t>rovision and m</w:t>
            </w:r>
            <w:r w:rsidR="0088040C" w:rsidRPr="000A53C0">
              <w:rPr>
                <w:rFonts w:cs="Arial"/>
              </w:rPr>
              <w:t>aintenance of workplace environment</w:t>
            </w:r>
            <w:r w:rsidR="007D5A41" w:rsidRPr="000A53C0">
              <w:rPr>
                <w:rFonts w:cs="Arial"/>
              </w:rPr>
              <w:t xml:space="preserve"> without risks to health and safety</w:t>
            </w:r>
          </w:p>
          <w:p w14:paraId="4DADE868" w14:textId="5D3150C4" w:rsidR="007D5A41" w:rsidRPr="000A53C0" w:rsidRDefault="0058149A" w:rsidP="0058149A">
            <w:pPr>
              <w:pStyle w:val="TableBullet"/>
              <w:keepNext/>
              <w:numPr>
                <w:ilvl w:val="2"/>
                <w:numId w:val="1"/>
              </w:numPr>
              <w:rPr>
                <w:rFonts w:cs="Arial"/>
              </w:rPr>
            </w:pPr>
            <w:r>
              <w:rPr>
                <w:rFonts w:cs="Arial"/>
              </w:rPr>
              <w:t>p</w:t>
            </w:r>
            <w:r w:rsidR="007D5A41" w:rsidRPr="000A53C0">
              <w:rPr>
                <w:rFonts w:cs="Arial"/>
              </w:rPr>
              <w:t>rovision of safe systems of work</w:t>
            </w:r>
          </w:p>
          <w:p w14:paraId="1F8929D4" w14:textId="553C2D65" w:rsidR="0088040C" w:rsidRPr="000A53C0" w:rsidRDefault="0058149A" w:rsidP="0058149A">
            <w:pPr>
              <w:pStyle w:val="TableBullet"/>
              <w:keepNext/>
              <w:numPr>
                <w:ilvl w:val="2"/>
                <w:numId w:val="1"/>
              </w:numPr>
              <w:rPr>
                <w:rFonts w:cs="Arial"/>
              </w:rPr>
            </w:pPr>
            <w:r>
              <w:rPr>
                <w:rFonts w:cs="Arial"/>
              </w:rPr>
              <w:t>p</w:t>
            </w:r>
            <w:r w:rsidR="0088040C" w:rsidRPr="000A53C0">
              <w:rPr>
                <w:rFonts w:cs="Arial"/>
              </w:rPr>
              <w:t xml:space="preserve">rovision of </w:t>
            </w:r>
            <w:r w:rsidR="007D5A41" w:rsidRPr="000A53C0">
              <w:rPr>
                <w:rFonts w:cs="Arial"/>
              </w:rPr>
              <w:t xml:space="preserve">any necessary </w:t>
            </w:r>
            <w:r w:rsidR="0088040C" w:rsidRPr="000A53C0">
              <w:rPr>
                <w:rFonts w:cs="Arial"/>
              </w:rPr>
              <w:t>information/training/instruction/supervision</w:t>
            </w:r>
            <w:r w:rsidR="00491DFF">
              <w:rPr>
                <w:rFonts w:cs="Arial"/>
              </w:rPr>
              <w:t>, and</w:t>
            </w:r>
          </w:p>
          <w:p w14:paraId="52A70D06" w14:textId="1BA44F8D" w:rsidR="00932776" w:rsidRPr="000A53C0" w:rsidRDefault="0058149A" w:rsidP="0058149A">
            <w:pPr>
              <w:pStyle w:val="TableBullet"/>
              <w:keepNext/>
              <w:numPr>
                <w:ilvl w:val="2"/>
                <w:numId w:val="1"/>
              </w:numPr>
              <w:rPr>
                <w:rFonts w:cs="Arial"/>
              </w:rPr>
            </w:pPr>
            <w:r>
              <w:rPr>
                <w:rFonts w:cs="Arial"/>
              </w:rPr>
              <w:t>c</w:t>
            </w:r>
            <w:r w:rsidR="00932776" w:rsidRPr="000A53C0">
              <w:rPr>
                <w:rFonts w:cs="Arial"/>
              </w:rPr>
              <w:t>onsult</w:t>
            </w:r>
            <w:r w:rsidR="00572DD9" w:rsidRPr="000A53C0">
              <w:rPr>
                <w:rFonts w:cs="Arial"/>
              </w:rPr>
              <w:t>ation</w:t>
            </w:r>
            <w:r w:rsidR="00932776" w:rsidRPr="000A53C0">
              <w:rPr>
                <w:rFonts w:cs="Arial"/>
              </w:rPr>
              <w:t xml:space="preserve"> with workers or their representatives</w:t>
            </w:r>
            <w:r w:rsidR="000303D4">
              <w:rPr>
                <w:rFonts w:cs="Arial"/>
              </w:rPr>
              <w:t>.</w:t>
            </w:r>
          </w:p>
          <w:p w14:paraId="79465D93" w14:textId="242A63EF" w:rsidR="00116C96" w:rsidRPr="000A53C0" w:rsidRDefault="008851A6" w:rsidP="00FC5DB6">
            <w:pPr>
              <w:pStyle w:val="TableBullet"/>
              <w:keepNext/>
              <w:rPr>
                <w:rFonts w:cs="Arial"/>
              </w:rPr>
            </w:pPr>
            <w:r w:rsidRPr="000A53C0">
              <w:rPr>
                <w:rFonts w:cs="Arial"/>
              </w:rPr>
              <w:t xml:space="preserve">ensure </w:t>
            </w:r>
            <w:r w:rsidR="00116C96" w:rsidRPr="000A53C0">
              <w:rPr>
                <w:rFonts w:cs="Arial"/>
              </w:rPr>
              <w:t xml:space="preserve">no one at workplace exposed to RCS at a concentration above the </w:t>
            </w:r>
            <w:r w:rsidR="00572DD9" w:rsidRPr="000A53C0">
              <w:rPr>
                <w:rFonts w:cs="Arial"/>
                <w:b/>
                <w:bCs/>
              </w:rPr>
              <w:t>workplace exposure standard</w:t>
            </w:r>
          </w:p>
          <w:p w14:paraId="619373FB" w14:textId="77777777" w:rsidR="00DA4B27" w:rsidRPr="000A53C0" w:rsidRDefault="00BD58D0" w:rsidP="00FC5DB6">
            <w:pPr>
              <w:pStyle w:val="TableBullet"/>
              <w:keepNext/>
              <w:rPr>
                <w:rFonts w:cs="Arial"/>
              </w:rPr>
            </w:pPr>
            <w:r w:rsidRPr="000A53C0">
              <w:rPr>
                <w:rFonts w:cs="Arial"/>
              </w:rPr>
              <w:t>must not process, or direct or allow a worker to process, engineered stone unless the processing of the stone is controlled</w:t>
            </w:r>
          </w:p>
          <w:p w14:paraId="45A23E5C" w14:textId="4FF7E1E3" w:rsidR="00260EFC" w:rsidRPr="000A53C0" w:rsidRDefault="008851A6" w:rsidP="00FC5DB6">
            <w:pPr>
              <w:pStyle w:val="TableBullet"/>
              <w:keepNext/>
              <w:rPr>
                <w:rFonts w:cs="Arial"/>
              </w:rPr>
            </w:pPr>
            <w:r w:rsidRPr="000A53C0">
              <w:rPr>
                <w:rFonts w:cs="Arial"/>
              </w:rPr>
              <w:t xml:space="preserve">undertake </w:t>
            </w:r>
            <w:r w:rsidR="00260EFC" w:rsidRPr="000A53C0">
              <w:rPr>
                <w:rFonts w:cs="Arial"/>
                <w:b/>
                <w:bCs/>
              </w:rPr>
              <w:t>air monitoring</w:t>
            </w:r>
            <w:r w:rsidR="00260EFC" w:rsidRPr="000A53C0">
              <w:rPr>
                <w:rFonts w:cs="Arial"/>
              </w:rPr>
              <w:t xml:space="preserve"> in breathing zon</w:t>
            </w:r>
            <w:r w:rsidR="00911486" w:rsidRPr="000A53C0">
              <w:rPr>
                <w:rFonts w:cs="Arial"/>
              </w:rPr>
              <w:t xml:space="preserve">e of workers </w:t>
            </w:r>
            <w:r w:rsidR="00B16BA5" w:rsidRPr="000A53C0">
              <w:rPr>
                <w:rFonts w:cs="Arial"/>
              </w:rPr>
              <w:t xml:space="preserve">if there is uncertainty </w:t>
            </w:r>
            <w:r w:rsidR="008440ED" w:rsidRPr="000A53C0">
              <w:rPr>
                <w:rFonts w:cs="Arial"/>
              </w:rPr>
              <w:t>that the workplace exposure standard is being</w:t>
            </w:r>
            <w:r w:rsidR="003641F5" w:rsidRPr="000A53C0">
              <w:rPr>
                <w:rFonts w:cs="Arial"/>
              </w:rPr>
              <w:t xml:space="preserve"> exceeded </w:t>
            </w:r>
            <w:r w:rsidR="00EA43EB" w:rsidRPr="000A53C0">
              <w:rPr>
                <w:rFonts w:cs="Arial"/>
              </w:rPr>
              <w:t>or if it is necessary to determine whether there is a risk to a worker’s health</w:t>
            </w:r>
          </w:p>
          <w:p w14:paraId="0FCC55DD" w14:textId="3245091C" w:rsidR="0060745E" w:rsidRPr="000A53C0" w:rsidRDefault="008851A6" w:rsidP="00FC5DB6">
            <w:pPr>
              <w:pStyle w:val="TableBullet"/>
              <w:keepNext/>
              <w:rPr>
                <w:rFonts w:cs="Arial"/>
              </w:rPr>
            </w:pPr>
            <w:r w:rsidRPr="000A53C0">
              <w:rPr>
                <w:rFonts w:cs="Arial"/>
              </w:rPr>
              <w:t xml:space="preserve">provide </w:t>
            </w:r>
            <w:r w:rsidR="007B46D7" w:rsidRPr="000A53C0">
              <w:rPr>
                <w:rFonts w:cs="Arial"/>
              </w:rPr>
              <w:t xml:space="preserve">and pay for </w:t>
            </w:r>
            <w:r w:rsidR="007B46D7" w:rsidRPr="000A53C0">
              <w:rPr>
                <w:rFonts w:cs="Arial"/>
                <w:b/>
                <w:bCs/>
              </w:rPr>
              <w:t>h</w:t>
            </w:r>
            <w:r w:rsidR="0060745E" w:rsidRPr="000A53C0">
              <w:rPr>
                <w:rFonts w:cs="Arial"/>
                <w:b/>
                <w:bCs/>
              </w:rPr>
              <w:t>ealth monitoring</w:t>
            </w:r>
            <w:r w:rsidR="007B46D7" w:rsidRPr="000A53C0">
              <w:rPr>
                <w:rFonts w:cs="Arial"/>
              </w:rPr>
              <w:t xml:space="preserve"> for workers </w:t>
            </w:r>
            <w:r w:rsidR="00D91FA1" w:rsidRPr="000A53C0">
              <w:rPr>
                <w:rFonts w:cs="Arial"/>
              </w:rPr>
              <w:t>i</w:t>
            </w:r>
            <w:r w:rsidR="0069469B" w:rsidRPr="000A53C0">
              <w:rPr>
                <w:rFonts w:cs="Arial"/>
              </w:rPr>
              <w:t xml:space="preserve">f they </w:t>
            </w:r>
            <w:r w:rsidR="00D91FA1" w:rsidRPr="000A53C0">
              <w:rPr>
                <w:rFonts w:cs="Arial"/>
              </w:rPr>
              <w:t xml:space="preserve">carry out </w:t>
            </w:r>
            <w:r w:rsidR="00CA6947" w:rsidRPr="000A53C0">
              <w:rPr>
                <w:rFonts w:cs="Arial"/>
              </w:rPr>
              <w:t>ongoing work g</w:t>
            </w:r>
            <w:r w:rsidR="00EC2A93" w:rsidRPr="000A53C0">
              <w:rPr>
                <w:rFonts w:cs="Arial"/>
              </w:rPr>
              <w:t>enerating RCS, or i</w:t>
            </w:r>
            <w:r w:rsidR="00F27C48" w:rsidRPr="000A53C0">
              <w:rPr>
                <w:rFonts w:cs="Arial"/>
              </w:rPr>
              <w:t xml:space="preserve">f </w:t>
            </w:r>
            <w:r w:rsidR="00EC2A93" w:rsidRPr="000A53C0">
              <w:rPr>
                <w:rFonts w:cs="Arial"/>
              </w:rPr>
              <w:t>there is a significant risk to</w:t>
            </w:r>
            <w:r w:rsidR="00C70434" w:rsidRPr="000A53C0">
              <w:rPr>
                <w:rFonts w:cs="Arial"/>
              </w:rPr>
              <w:t xml:space="preserve"> the worker’s health </w:t>
            </w:r>
            <w:r w:rsidR="00F27C48" w:rsidRPr="000A53C0">
              <w:rPr>
                <w:rFonts w:cs="Arial"/>
              </w:rPr>
              <w:t>because of exposure</w:t>
            </w:r>
            <w:r w:rsidR="00BA1955">
              <w:rPr>
                <w:rFonts w:cs="Arial"/>
              </w:rPr>
              <w:t>, and</w:t>
            </w:r>
          </w:p>
          <w:p w14:paraId="586CCDB9" w14:textId="73A19B27" w:rsidR="002B7204" w:rsidRPr="000A53C0" w:rsidRDefault="008851A6" w:rsidP="00FC5DB6">
            <w:pPr>
              <w:pStyle w:val="TableBullet"/>
              <w:keepNext/>
              <w:rPr>
                <w:rFonts w:cs="Arial"/>
              </w:rPr>
            </w:pPr>
            <w:r w:rsidRPr="000A53C0">
              <w:rPr>
                <w:rFonts w:cs="Arial"/>
              </w:rPr>
              <w:t xml:space="preserve">prepare </w:t>
            </w:r>
            <w:r w:rsidR="002926A7" w:rsidRPr="000A53C0">
              <w:rPr>
                <w:rFonts w:cs="Arial"/>
              </w:rPr>
              <w:t xml:space="preserve">a </w:t>
            </w:r>
            <w:r w:rsidR="002926A7" w:rsidRPr="000A53C0">
              <w:rPr>
                <w:rFonts w:cs="Arial"/>
                <w:b/>
                <w:bCs/>
              </w:rPr>
              <w:t>Safe Work Method Statement</w:t>
            </w:r>
            <w:r w:rsidR="002926A7" w:rsidRPr="000A53C0">
              <w:rPr>
                <w:rFonts w:cs="Arial"/>
              </w:rPr>
              <w:t xml:space="preserve"> for any </w:t>
            </w:r>
            <w:r w:rsidR="006070A1" w:rsidRPr="000A53C0">
              <w:rPr>
                <w:rFonts w:cs="Arial"/>
              </w:rPr>
              <w:t xml:space="preserve">high risk </w:t>
            </w:r>
            <w:r w:rsidR="002926A7" w:rsidRPr="000A53C0">
              <w:rPr>
                <w:rFonts w:cs="Arial"/>
              </w:rPr>
              <w:t>cons</w:t>
            </w:r>
            <w:r w:rsidR="00E73316" w:rsidRPr="000A53C0">
              <w:rPr>
                <w:rFonts w:cs="Arial"/>
              </w:rPr>
              <w:t xml:space="preserve">truction work that </w:t>
            </w:r>
            <w:r w:rsidR="001E0FDC" w:rsidRPr="000A53C0">
              <w:rPr>
                <w:rFonts w:cs="Arial"/>
              </w:rPr>
              <w:t>may generate RCS</w:t>
            </w:r>
            <w:r w:rsidR="00595527" w:rsidRPr="000A53C0">
              <w:rPr>
                <w:rFonts w:cs="Arial"/>
              </w:rPr>
              <w:t>.</w:t>
            </w:r>
          </w:p>
        </w:tc>
      </w:tr>
      <w:tr w:rsidR="005F57D4" w:rsidRPr="000A53C0" w14:paraId="3894B417" w14:textId="77777777">
        <w:trPr>
          <w:cnfStyle w:val="000000010000" w:firstRow="0" w:lastRow="0" w:firstColumn="0" w:lastColumn="0" w:oddVBand="0" w:evenVBand="0" w:oddHBand="0" w:evenHBand="1" w:firstRowFirstColumn="0" w:firstRowLastColumn="0" w:lastRowFirstColumn="0" w:lastRowLastColumn="0"/>
        </w:trPr>
        <w:tc>
          <w:tcPr>
            <w:tcW w:w="2014" w:type="pct"/>
          </w:tcPr>
          <w:p w14:paraId="33E528B4" w14:textId="540B1B8C" w:rsidR="005F57D4" w:rsidRPr="000A53C0" w:rsidRDefault="002C702C" w:rsidP="00FC5DB6">
            <w:pPr>
              <w:pStyle w:val="TableBody"/>
              <w:keepNext/>
              <w:rPr>
                <w:rFonts w:cs="Arial"/>
              </w:rPr>
            </w:pPr>
            <w:r w:rsidRPr="000A53C0">
              <w:rPr>
                <w:rFonts w:cs="Arial"/>
              </w:rPr>
              <w:t>Designers</w:t>
            </w:r>
            <w:r w:rsidR="003A1A29" w:rsidRPr="000A53C0">
              <w:rPr>
                <w:rFonts w:cs="Arial"/>
              </w:rPr>
              <w:t>, manufacturers, importers, suppliers and those who install or commission plant</w:t>
            </w:r>
            <w:r w:rsidR="00B0428E" w:rsidRPr="000A53C0">
              <w:rPr>
                <w:rFonts w:cs="Arial"/>
              </w:rPr>
              <w:t>,</w:t>
            </w:r>
            <w:r w:rsidR="00125C15" w:rsidRPr="000A53C0">
              <w:rPr>
                <w:rFonts w:cs="Arial"/>
              </w:rPr>
              <w:t xml:space="preserve"> </w:t>
            </w:r>
            <w:r w:rsidR="00B0428E" w:rsidRPr="000A53C0">
              <w:rPr>
                <w:rFonts w:cs="Arial"/>
              </w:rPr>
              <w:t>substances</w:t>
            </w:r>
            <w:r w:rsidR="003A1A29" w:rsidRPr="000A53C0">
              <w:rPr>
                <w:rFonts w:cs="Arial"/>
              </w:rPr>
              <w:t xml:space="preserve"> or structures</w:t>
            </w:r>
          </w:p>
        </w:tc>
        <w:tc>
          <w:tcPr>
            <w:tcW w:w="2986" w:type="pct"/>
          </w:tcPr>
          <w:p w14:paraId="24FDD302" w14:textId="54C11241" w:rsidR="005F57D4" w:rsidRPr="000A53C0" w:rsidRDefault="002B1F8E" w:rsidP="00FC5DB6">
            <w:pPr>
              <w:pStyle w:val="TableBullet"/>
              <w:keepNext/>
              <w:rPr>
                <w:rFonts w:cs="Arial"/>
              </w:rPr>
            </w:pPr>
            <w:r w:rsidRPr="000A53C0">
              <w:rPr>
                <w:rFonts w:cs="Arial"/>
              </w:rPr>
              <w:t xml:space="preserve">must ensure, so far as is reasonably practicable, that the silica containing products they design, manufacture, import, supply or install </w:t>
            </w:r>
            <w:r w:rsidR="00395E3F" w:rsidRPr="000A53C0">
              <w:rPr>
                <w:rFonts w:cs="Arial"/>
              </w:rPr>
              <w:t xml:space="preserve">are </w:t>
            </w:r>
            <w:r w:rsidRPr="000A53C0">
              <w:rPr>
                <w:rFonts w:cs="Arial"/>
              </w:rPr>
              <w:t xml:space="preserve">without risk to health and safety. This includes undertaking necessary testing and providing adequate information about the </w:t>
            </w:r>
            <w:r w:rsidR="00395E3F" w:rsidRPr="000A53C0">
              <w:rPr>
                <w:rFonts w:cs="Arial"/>
              </w:rPr>
              <w:t xml:space="preserve">hazards </w:t>
            </w:r>
            <w:r w:rsidR="00EA7FD8" w:rsidRPr="000A53C0">
              <w:rPr>
                <w:rFonts w:cs="Arial"/>
              </w:rPr>
              <w:t xml:space="preserve">of their </w:t>
            </w:r>
            <w:r w:rsidRPr="000A53C0">
              <w:rPr>
                <w:rFonts w:cs="Arial"/>
              </w:rPr>
              <w:t>silica containing products</w:t>
            </w:r>
            <w:r w:rsidR="00595527" w:rsidRPr="000A53C0">
              <w:rPr>
                <w:rFonts w:cs="Arial"/>
              </w:rPr>
              <w:t>.</w:t>
            </w:r>
          </w:p>
        </w:tc>
      </w:tr>
      <w:tr w:rsidR="000C74F6" w:rsidRPr="000A53C0" w14:paraId="09F37319" w14:textId="77777777">
        <w:trPr>
          <w:cnfStyle w:val="000000100000" w:firstRow="0" w:lastRow="0" w:firstColumn="0" w:lastColumn="0" w:oddVBand="0" w:evenVBand="0" w:oddHBand="1" w:evenHBand="0" w:firstRowFirstColumn="0" w:firstRowLastColumn="0" w:lastRowFirstColumn="0" w:lastRowLastColumn="0"/>
        </w:trPr>
        <w:tc>
          <w:tcPr>
            <w:tcW w:w="2014" w:type="pct"/>
          </w:tcPr>
          <w:p w14:paraId="6A6445B2" w14:textId="77777777" w:rsidR="00A20E30" w:rsidRPr="000A53C0" w:rsidRDefault="00A20E30" w:rsidP="00FC5DB6">
            <w:pPr>
              <w:pStyle w:val="TableBody"/>
              <w:keepNext/>
              <w:rPr>
                <w:rFonts w:cs="Arial"/>
              </w:rPr>
            </w:pPr>
            <w:r w:rsidRPr="000A53C0">
              <w:rPr>
                <w:rFonts w:cs="Arial"/>
              </w:rPr>
              <w:t>Duties of workers</w:t>
            </w:r>
          </w:p>
          <w:p w14:paraId="63B1343A" w14:textId="77777777" w:rsidR="000C74F6" w:rsidRPr="000A53C0" w:rsidRDefault="000C74F6" w:rsidP="00FC5DB6">
            <w:pPr>
              <w:pStyle w:val="TableBody"/>
              <w:keepNext/>
              <w:rPr>
                <w:rFonts w:cs="Arial"/>
              </w:rPr>
            </w:pPr>
          </w:p>
        </w:tc>
        <w:tc>
          <w:tcPr>
            <w:tcW w:w="2986" w:type="pct"/>
          </w:tcPr>
          <w:p w14:paraId="22DC49B2" w14:textId="19CA1145" w:rsidR="003A6729" w:rsidRPr="000A53C0" w:rsidRDefault="006B60B9" w:rsidP="00FC5DB6">
            <w:pPr>
              <w:pStyle w:val="TableBullet"/>
              <w:keepNext/>
              <w:rPr>
                <w:rFonts w:cs="Arial"/>
              </w:rPr>
            </w:pPr>
            <w:r w:rsidRPr="000A53C0">
              <w:rPr>
                <w:rFonts w:cs="Arial"/>
              </w:rPr>
              <w:t>take reasonable care for their own health and safety</w:t>
            </w:r>
          </w:p>
          <w:p w14:paraId="50FCF988" w14:textId="50D61AA7" w:rsidR="000C74F6" w:rsidRPr="000A53C0" w:rsidRDefault="006B60B9" w:rsidP="00FC5DB6">
            <w:pPr>
              <w:pStyle w:val="TableBullet"/>
              <w:keepNext/>
              <w:rPr>
                <w:rFonts w:cs="Arial"/>
              </w:rPr>
            </w:pPr>
            <w:r w:rsidRPr="000A53C0">
              <w:rPr>
                <w:rFonts w:cs="Arial"/>
              </w:rPr>
              <w:t>take reasonable care to not adversely affect the health and safety of other persons</w:t>
            </w:r>
          </w:p>
          <w:p w14:paraId="62DF8281" w14:textId="77777777" w:rsidR="003A6729" w:rsidRPr="000A53C0" w:rsidRDefault="003A6729" w:rsidP="00FC5DB6">
            <w:pPr>
              <w:pStyle w:val="TableBullet"/>
              <w:keepNext/>
              <w:rPr>
                <w:rFonts w:cs="Arial"/>
              </w:rPr>
            </w:pPr>
            <w:r w:rsidRPr="000A53C0">
              <w:rPr>
                <w:rFonts w:cs="Arial"/>
              </w:rPr>
              <w:t>comply as far as they are reasonably able with any reasonable WHS instructions given by the PCBU, such as participating in health monitoring and wearing relevant personal protective equipment (PPE), and</w:t>
            </w:r>
          </w:p>
          <w:p w14:paraId="202D6E76" w14:textId="4E5F7204" w:rsidR="003A6729" w:rsidRPr="000A53C0" w:rsidRDefault="003A6729" w:rsidP="00FC5DB6">
            <w:pPr>
              <w:pStyle w:val="TableBullet"/>
              <w:keepNext/>
              <w:rPr>
                <w:rFonts w:cs="Arial"/>
              </w:rPr>
            </w:pPr>
            <w:r w:rsidRPr="000A53C0">
              <w:rPr>
                <w:rFonts w:cs="Arial"/>
              </w:rPr>
              <w:t>co-operate with any reasonable policy or procedure relating to WHS at the workplace that has been notified to them.</w:t>
            </w:r>
          </w:p>
        </w:tc>
      </w:tr>
      <w:tr w:rsidR="000C74F6" w:rsidRPr="000A53C0" w14:paraId="2EE68DB5" w14:textId="77777777">
        <w:trPr>
          <w:cnfStyle w:val="000000010000" w:firstRow="0" w:lastRow="0" w:firstColumn="0" w:lastColumn="0" w:oddVBand="0" w:evenVBand="0" w:oddHBand="0" w:evenHBand="1" w:firstRowFirstColumn="0" w:firstRowLastColumn="0" w:lastRowFirstColumn="0" w:lastRowLastColumn="0"/>
        </w:trPr>
        <w:tc>
          <w:tcPr>
            <w:tcW w:w="2014" w:type="pct"/>
          </w:tcPr>
          <w:p w14:paraId="410706E3" w14:textId="4547C506" w:rsidR="00534D5D" w:rsidRPr="000A53C0" w:rsidRDefault="00534D5D" w:rsidP="00FC5DB6">
            <w:pPr>
              <w:pStyle w:val="TableBody"/>
              <w:keepNext/>
              <w:rPr>
                <w:rFonts w:cs="Arial"/>
              </w:rPr>
            </w:pPr>
            <w:r w:rsidRPr="000A53C0">
              <w:rPr>
                <w:rFonts w:cs="Arial"/>
              </w:rPr>
              <w:t xml:space="preserve">Duties of officers </w:t>
            </w:r>
            <w:r w:rsidR="00B94B3D" w:rsidRPr="000A53C0">
              <w:rPr>
                <w:rFonts w:cs="Arial"/>
              </w:rPr>
              <w:t>(of body corporate PCBUs)</w:t>
            </w:r>
          </w:p>
          <w:p w14:paraId="5B932B78" w14:textId="77777777" w:rsidR="000C74F6" w:rsidRPr="000A53C0" w:rsidRDefault="000C74F6" w:rsidP="00FC5DB6">
            <w:pPr>
              <w:pStyle w:val="TableBody"/>
              <w:keepNext/>
              <w:rPr>
                <w:rFonts w:cs="Arial"/>
              </w:rPr>
            </w:pPr>
          </w:p>
        </w:tc>
        <w:tc>
          <w:tcPr>
            <w:tcW w:w="2986" w:type="pct"/>
          </w:tcPr>
          <w:p w14:paraId="37F78CEF" w14:textId="38F80491" w:rsidR="000C74F6" w:rsidRPr="000A53C0" w:rsidRDefault="008E7F33" w:rsidP="00FC5DB6">
            <w:pPr>
              <w:pStyle w:val="TableBullet"/>
              <w:keepNext/>
              <w:rPr>
                <w:rFonts w:cs="Arial"/>
              </w:rPr>
            </w:pPr>
            <w:r w:rsidRPr="000A53C0">
              <w:rPr>
                <w:rFonts w:cs="Arial"/>
              </w:rPr>
              <w:t>must exercise due diligence to ensure the PCBU complies with</w:t>
            </w:r>
            <w:r w:rsidR="00B94B3D" w:rsidRPr="000A53C0">
              <w:rPr>
                <w:rFonts w:cs="Arial"/>
              </w:rPr>
              <w:t xml:space="preserve"> its duties under</w:t>
            </w:r>
            <w:r w:rsidRPr="000A53C0">
              <w:rPr>
                <w:rFonts w:cs="Arial"/>
              </w:rPr>
              <w:t xml:space="preserve"> the WHS Act and WHS Regulations.</w:t>
            </w:r>
          </w:p>
        </w:tc>
      </w:tr>
      <w:tr w:rsidR="000C74F6" w:rsidRPr="000A53C0" w14:paraId="06F3E44B" w14:textId="77777777">
        <w:trPr>
          <w:cnfStyle w:val="000000100000" w:firstRow="0" w:lastRow="0" w:firstColumn="0" w:lastColumn="0" w:oddVBand="0" w:evenVBand="0" w:oddHBand="1" w:evenHBand="0" w:firstRowFirstColumn="0" w:firstRowLastColumn="0" w:lastRowFirstColumn="0" w:lastRowLastColumn="0"/>
        </w:trPr>
        <w:tc>
          <w:tcPr>
            <w:tcW w:w="2014" w:type="pct"/>
          </w:tcPr>
          <w:p w14:paraId="7529DA42" w14:textId="77777777" w:rsidR="00E0583A" w:rsidRPr="000A53C0" w:rsidRDefault="00E0583A" w:rsidP="00FC5DB6">
            <w:pPr>
              <w:pStyle w:val="TableBody"/>
              <w:keepNext/>
              <w:rPr>
                <w:rFonts w:cs="Arial"/>
              </w:rPr>
            </w:pPr>
            <w:r w:rsidRPr="000A53C0">
              <w:rPr>
                <w:rFonts w:cs="Arial"/>
              </w:rPr>
              <w:t>Duties of other persons at the workplace</w:t>
            </w:r>
          </w:p>
          <w:p w14:paraId="2BAA46B1" w14:textId="77777777" w:rsidR="000C74F6" w:rsidRPr="000A53C0" w:rsidRDefault="000C74F6" w:rsidP="00FC5DB6">
            <w:pPr>
              <w:pStyle w:val="TableBody"/>
              <w:keepNext/>
              <w:rPr>
                <w:rFonts w:cs="Arial"/>
              </w:rPr>
            </w:pPr>
          </w:p>
        </w:tc>
        <w:tc>
          <w:tcPr>
            <w:tcW w:w="2986" w:type="pct"/>
          </w:tcPr>
          <w:p w14:paraId="439C8295" w14:textId="3E350030" w:rsidR="009C7A3A" w:rsidRPr="000A53C0" w:rsidRDefault="009C7A3A" w:rsidP="00FC5DB6">
            <w:pPr>
              <w:pStyle w:val="TableBullet"/>
              <w:keepNext/>
              <w:rPr>
                <w:rFonts w:cs="Arial"/>
              </w:rPr>
            </w:pPr>
            <w:r w:rsidRPr="000A53C0">
              <w:rPr>
                <w:rFonts w:cs="Arial"/>
              </w:rPr>
              <w:t>must take reasonable care for their own health and safety and must take care not to adversely affect other people’s health and safety</w:t>
            </w:r>
            <w:r w:rsidR="00A87CD7">
              <w:rPr>
                <w:rFonts w:cs="Arial"/>
              </w:rPr>
              <w:t>, and</w:t>
            </w:r>
            <w:r w:rsidRPr="000A53C0">
              <w:rPr>
                <w:rFonts w:cs="Arial"/>
              </w:rPr>
              <w:t xml:space="preserve"> </w:t>
            </w:r>
          </w:p>
          <w:p w14:paraId="3E66C081" w14:textId="5869506F" w:rsidR="000C74F6" w:rsidRPr="000A53C0" w:rsidRDefault="009C7A3A" w:rsidP="00FC5DB6">
            <w:pPr>
              <w:pStyle w:val="TableBullet"/>
              <w:keepNext/>
              <w:rPr>
                <w:rFonts w:cs="Arial"/>
              </w:rPr>
            </w:pPr>
            <w:r w:rsidRPr="000A53C0">
              <w:rPr>
                <w:rFonts w:cs="Arial"/>
              </w:rPr>
              <w:t xml:space="preserve">must comply, so far as they are reasonably able, with reasonable instructions given by the PCBU to allow that person to comply with the WHS Act. </w:t>
            </w:r>
          </w:p>
        </w:tc>
      </w:tr>
    </w:tbl>
    <w:p w14:paraId="0B5B5771" w14:textId="77777777" w:rsidR="005F57D4" w:rsidRPr="000A53C0" w:rsidRDefault="005F57D4" w:rsidP="00063017">
      <w:pPr>
        <w:pStyle w:val="BodyText"/>
        <w:rPr>
          <w:rFonts w:cs="Arial"/>
        </w:rPr>
      </w:pPr>
    </w:p>
    <w:p w14:paraId="5ECCCC35" w14:textId="29FC06DD" w:rsidR="0022604D" w:rsidRPr="000A53C0" w:rsidRDefault="0022604D" w:rsidP="00514CCB">
      <w:pPr>
        <w:pStyle w:val="Heading2numbered"/>
      </w:pPr>
      <w:bookmarkStart w:id="66" w:name="_Toc142991324"/>
      <w:r w:rsidRPr="000A53C0">
        <w:lastRenderedPageBreak/>
        <w:t>Inadequate levels of compliance in the engineered stone industry</w:t>
      </w:r>
      <w:bookmarkEnd w:id="66"/>
    </w:p>
    <w:p w14:paraId="6E4ACF37" w14:textId="09B2825A" w:rsidR="002E2F28" w:rsidRPr="000A53C0" w:rsidRDefault="002E2F28" w:rsidP="00514CCB">
      <w:pPr>
        <w:pStyle w:val="Heading3numbered"/>
      </w:pPr>
      <w:r w:rsidRPr="000A53C0">
        <w:t xml:space="preserve">Lack of compliance </w:t>
      </w:r>
      <w:r w:rsidR="0065674D" w:rsidRPr="000A53C0">
        <w:t>with</w:t>
      </w:r>
      <w:r w:rsidR="00752AE0">
        <w:t xml:space="preserve"> the model</w:t>
      </w:r>
      <w:r w:rsidR="0065674D" w:rsidRPr="000A53C0">
        <w:t xml:space="preserve"> WHS laws</w:t>
      </w:r>
    </w:p>
    <w:p w14:paraId="361D6CA7" w14:textId="6495C481" w:rsidR="00B773B8" w:rsidRPr="000A53C0" w:rsidRDefault="00B773B8" w:rsidP="00B773B8">
      <w:pPr>
        <w:pStyle w:val="BodyText"/>
        <w:rPr>
          <w:rFonts w:cs="Arial"/>
        </w:rPr>
      </w:pPr>
      <w:r w:rsidRPr="000A53C0">
        <w:rPr>
          <w:rFonts w:cs="Arial"/>
        </w:rPr>
        <w:t xml:space="preserve">Engineered stone workers have contracted silicosis and other silica-related diseases because they have not been adequately protected from exposure to RCS dust. This is the result of a failure </w:t>
      </w:r>
      <w:r w:rsidR="00A53D0D" w:rsidRPr="000A53C0">
        <w:rPr>
          <w:rFonts w:cs="Arial"/>
        </w:rPr>
        <w:t xml:space="preserve">of PCBUs </w:t>
      </w:r>
      <w:r w:rsidRPr="000A53C0">
        <w:rPr>
          <w:rFonts w:cs="Arial"/>
        </w:rPr>
        <w:t xml:space="preserve">to ensure the health and safety of workers, as required by the model WHS laws. </w:t>
      </w:r>
      <w:r w:rsidR="00A53D0D" w:rsidRPr="000A53C0">
        <w:rPr>
          <w:rFonts w:cs="Arial"/>
        </w:rPr>
        <w:t>Workers</w:t>
      </w:r>
      <w:r w:rsidR="007B115A" w:rsidRPr="000A53C0">
        <w:rPr>
          <w:rFonts w:cs="Arial"/>
        </w:rPr>
        <w:t xml:space="preserve"> have also failed to take reasonable care for their own health and safety and ensure that their acts or omissions do not adversely affect the health and safety of others.</w:t>
      </w:r>
    </w:p>
    <w:p w14:paraId="1D4B7C45" w14:textId="3C41D761" w:rsidR="00D135E6" w:rsidRPr="000A53C0" w:rsidRDefault="00682EF5" w:rsidP="00D135E6">
      <w:pPr>
        <w:pStyle w:val="BodyText"/>
        <w:rPr>
          <w:rFonts w:cs="Arial"/>
        </w:rPr>
      </w:pPr>
      <w:r w:rsidRPr="000A53C0">
        <w:rPr>
          <w:rFonts w:cs="Arial"/>
        </w:rPr>
        <w:t xml:space="preserve">Importers, suppliers and manufacturers of engineered stone products have </w:t>
      </w:r>
      <w:r w:rsidR="004C5FEA" w:rsidRPr="000A53C0">
        <w:rPr>
          <w:rFonts w:cs="Arial"/>
        </w:rPr>
        <w:t xml:space="preserve">failed to comply with their upstream duties to </w:t>
      </w:r>
      <w:r w:rsidR="00BF4FE2" w:rsidRPr="000A53C0">
        <w:rPr>
          <w:rFonts w:cs="Arial"/>
        </w:rPr>
        <w:t>ensure the</w:t>
      </w:r>
      <w:r w:rsidR="00B3609B" w:rsidRPr="000A53C0">
        <w:rPr>
          <w:rFonts w:cs="Arial"/>
        </w:rPr>
        <w:t>se</w:t>
      </w:r>
      <w:r w:rsidR="00BF4FE2" w:rsidRPr="000A53C0">
        <w:rPr>
          <w:rFonts w:cs="Arial"/>
        </w:rPr>
        <w:t xml:space="preserve"> products are </w:t>
      </w:r>
      <w:r w:rsidR="00EF450B" w:rsidRPr="000A53C0">
        <w:rPr>
          <w:rFonts w:cs="Arial"/>
        </w:rPr>
        <w:t xml:space="preserve">without risks to health and safety </w:t>
      </w:r>
      <w:r w:rsidR="003E6B77" w:rsidRPr="000A53C0">
        <w:rPr>
          <w:rFonts w:cs="Arial"/>
        </w:rPr>
        <w:t xml:space="preserve">of </w:t>
      </w:r>
      <w:r w:rsidR="007E6468" w:rsidRPr="000A53C0">
        <w:rPr>
          <w:rFonts w:cs="Arial"/>
        </w:rPr>
        <w:t xml:space="preserve">the </w:t>
      </w:r>
      <w:r w:rsidR="00AC60BA" w:rsidRPr="000A53C0">
        <w:rPr>
          <w:rFonts w:cs="Arial"/>
        </w:rPr>
        <w:t>workers</w:t>
      </w:r>
      <w:r w:rsidR="007E6468" w:rsidRPr="000A53C0">
        <w:rPr>
          <w:rFonts w:cs="Arial"/>
        </w:rPr>
        <w:t xml:space="preserve"> who will use the products</w:t>
      </w:r>
      <w:r w:rsidR="00B3609B" w:rsidRPr="000A53C0">
        <w:rPr>
          <w:rFonts w:cs="Arial"/>
        </w:rPr>
        <w:t xml:space="preserve">. </w:t>
      </w:r>
      <w:r w:rsidR="00D135E6" w:rsidRPr="000A53C0">
        <w:rPr>
          <w:rFonts w:cs="Arial"/>
        </w:rPr>
        <w:t>Most</w:t>
      </w:r>
      <w:r w:rsidR="00B3609B" w:rsidRPr="000A53C0">
        <w:rPr>
          <w:rFonts w:cs="Arial"/>
        </w:rPr>
        <w:t xml:space="preserve"> </w:t>
      </w:r>
      <w:r w:rsidR="00B17958" w:rsidRPr="000A53C0">
        <w:rPr>
          <w:rFonts w:cs="Arial"/>
        </w:rPr>
        <w:t xml:space="preserve">have not provided </w:t>
      </w:r>
      <w:r w:rsidR="00980EF8" w:rsidRPr="000A53C0">
        <w:rPr>
          <w:rFonts w:cs="Arial"/>
        </w:rPr>
        <w:t xml:space="preserve">engineered stone PCBUs with </w:t>
      </w:r>
      <w:r w:rsidR="00F74816" w:rsidRPr="000A53C0">
        <w:rPr>
          <w:rFonts w:cs="Arial"/>
        </w:rPr>
        <w:t>adequate information</w:t>
      </w:r>
      <w:r w:rsidR="00B3609B" w:rsidRPr="000A53C0">
        <w:rPr>
          <w:rFonts w:cs="Arial"/>
        </w:rPr>
        <w:t xml:space="preserve"> about the hazardous properties of the products </w:t>
      </w:r>
      <w:r w:rsidR="00581AE7" w:rsidRPr="000A53C0">
        <w:rPr>
          <w:rFonts w:cs="Arial"/>
        </w:rPr>
        <w:t xml:space="preserve">and the conditions necessary to ensure that the products are without risks to the workers’ health and safety </w:t>
      </w:r>
      <w:r w:rsidR="00C43C74" w:rsidRPr="000A53C0">
        <w:rPr>
          <w:rFonts w:cs="Arial"/>
        </w:rPr>
        <w:t>in the fabrication processes.</w:t>
      </w:r>
      <w:r w:rsidR="00D135E6" w:rsidRPr="000A53C0">
        <w:rPr>
          <w:rFonts w:cs="Arial"/>
        </w:rPr>
        <w:t xml:space="preserve"> Where information is supplied by importers, manufacturers and suppliers there is little consistency about the hazardous properties of their products. This is likely to cause confusion and uncertainty on the part of PCBUs about the nature and extent of the risks to their workers.</w:t>
      </w:r>
    </w:p>
    <w:p w14:paraId="366F88C0" w14:textId="4BF6204C" w:rsidR="00D135E6" w:rsidRPr="000A53C0" w:rsidRDefault="00D135E6" w:rsidP="00D135E6">
      <w:pPr>
        <w:pStyle w:val="BodyText"/>
        <w:rPr>
          <w:rFonts w:cs="Arial"/>
        </w:rPr>
      </w:pPr>
      <w:r w:rsidRPr="000A53C0">
        <w:rPr>
          <w:rFonts w:cs="Arial"/>
        </w:rPr>
        <w:t>For example, while some suppliers provide a safety data sheet (SDS) with their engineered stone product, the SDS may state that the product is ‘not classified as hazardous’ but then disclose that dust created when the product is processed may contain crystalline silica that may be respirable.</w:t>
      </w:r>
    </w:p>
    <w:p w14:paraId="08442416" w14:textId="02B6C636" w:rsidR="00682EF5" w:rsidRPr="000A53C0" w:rsidRDefault="00D135E6" w:rsidP="00D135E6">
      <w:pPr>
        <w:pStyle w:val="BodyText"/>
        <w:rPr>
          <w:rFonts w:cs="Arial"/>
        </w:rPr>
      </w:pPr>
      <w:r w:rsidRPr="000A53C0">
        <w:rPr>
          <w:rFonts w:cs="Arial"/>
        </w:rPr>
        <w:t>Other suppliers provide an SDS that states the product is hazardous because of the dust created when the product is processed and note the control measures required in handling the product including wet cutting and the use of RPE</w:t>
      </w:r>
      <w:r w:rsidR="00D97CE3" w:rsidRPr="000A53C0">
        <w:rPr>
          <w:rFonts w:cs="Arial"/>
        </w:rPr>
        <w:t>.</w:t>
      </w:r>
    </w:p>
    <w:p w14:paraId="71C2FB65" w14:textId="76CEDF3F" w:rsidR="0022604D" w:rsidRPr="000A53C0" w:rsidRDefault="0022604D" w:rsidP="0022604D">
      <w:pPr>
        <w:pStyle w:val="BodyText"/>
        <w:rPr>
          <w:rFonts w:cs="Arial"/>
        </w:rPr>
      </w:pPr>
      <w:r w:rsidRPr="000A53C0">
        <w:rPr>
          <w:rFonts w:cs="Arial"/>
        </w:rPr>
        <w:t xml:space="preserve">Commonwealth, state and territory WHS regulators are responsible for the enforcement of WHS laws in their jurisdictions. Despite WHS regulators indicating that they have observed a general improvement in compliance in the engineered stone </w:t>
      </w:r>
      <w:r w:rsidR="003F44B4" w:rsidRPr="000A53C0">
        <w:rPr>
          <w:rFonts w:cs="Arial"/>
        </w:rPr>
        <w:t xml:space="preserve">industry </w:t>
      </w:r>
      <w:r w:rsidRPr="000A53C0">
        <w:rPr>
          <w:rFonts w:cs="Arial"/>
        </w:rPr>
        <w:t xml:space="preserve">in recent years, data </w:t>
      </w:r>
      <w:r w:rsidR="00881547" w:rsidRPr="000A53C0">
        <w:rPr>
          <w:rFonts w:cs="Arial"/>
        </w:rPr>
        <w:t xml:space="preserve">from WHS regulators </w:t>
      </w:r>
      <w:r w:rsidRPr="000A53C0">
        <w:rPr>
          <w:rFonts w:cs="Arial"/>
        </w:rPr>
        <w:t xml:space="preserve">indicates that </w:t>
      </w:r>
      <w:r w:rsidR="00881547" w:rsidRPr="000A53C0">
        <w:rPr>
          <w:rFonts w:cs="Arial"/>
        </w:rPr>
        <w:t xml:space="preserve">non-compliance with WHS laws, relating to a broad range of regulatory duties, </w:t>
      </w:r>
      <w:r w:rsidRPr="000A53C0">
        <w:rPr>
          <w:rFonts w:cs="Arial"/>
        </w:rPr>
        <w:t>continue</w:t>
      </w:r>
      <w:r w:rsidR="00B72CB5" w:rsidRPr="000A53C0">
        <w:rPr>
          <w:rFonts w:cs="Arial"/>
        </w:rPr>
        <w:t>s</w:t>
      </w:r>
      <w:r w:rsidRPr="000A53C0">
        <w:rPr>
          <w:rFonts w:cs="Arial"/>
        </w:rPr>
        <w:t xml:space="preserve"> to occur</w:t>
      </w:r>
      <w:r w:rsidR="00AC5EB1" w:rsidRPr="000A53C0">
        <w:rPr>
          <w:rFonts w:cs="Arial"/>
        </w:rPr>
        <w:t xml:space="preserve"> in the engineered stone industry</w:t>
      </w:r>
      <w:r w:rsidR="00B72CB5" w:rsidRPr="000A53C0">
        <w:rPr>
          <w:rFonts w:cs="Arial"/>
        </w:rPr>
        <w:t>,</w:t>
      </w:r>
      <w:r w:rsidR="00B57991" w:rsidRPr="000A53C0">
        <w:rPr>
          <w:rFonts w:cs="Arial"/>
        </w:rPr>
        <w:t xml:space="preserve"> evident</w:t>
      </w:r>
      <w:r w:rsidR="00B72CB5" w:rsidRPr="000A53C0">
        <w:rPr>
          <w:rFonts w:cs="Arial"/>
        </w:rPr>
        <w:t xml:space="preserve"> by, for example, </w:t>
      </w:r>
      <w:r w:rsidR="000B0C88" w:rsidRPr="000A53C0">
        <w:rPr>
          <w:rFonts w:cs="Arial"/>
        </w:rPr>
        <w:t>the number and types of notices</w:t>
      </w:r>
      <w:r w:rsidR="00E018EE" w:rsidRPr="000A53C0">
        <w:rPr>
          <w:rFonts w:cs="Arial"/>
        </w:rPr>
        <w:t xml:space="preserve"> </w:t>
      </w:r>
      <w:r w:rsidR="00231848" w:rsidRPr="000A53C0">
        <w:rPr>
          <w:rFonts w:cs="Arial"/>
        </w:rPr>
        <w:t xml:space="preserve">issued </w:t>
      </w:r>
      <w:r w:rsidR="000B0C88" w:rsidRPr="000A53C0">
        <w:rPr>
          <w:rFonts w:cs="Arial"/>
        </w:rPr>
        <w:t>and prosecutions</w:t>
      </w:r>
      <w:r w:rsidR="00E018EE" w:rsidRPr="000A53C0">
        <w:rPr>
          <w:rFonts w:cs="Arial"/>
        </w:rPr>
        <w:t xml:space="preserve"> undertaken by WHS </w:t>
      </w:r>
      <w:r w:rsidR="00231848" w:rsidRPr="000A53C0">
        <w:rPr>
          <w:rFonts w:cs="Arial"/>
        </w:rPr>
        <w:t>regulators or relevant government prosecutors</w:t>
      </w:r>
      <w:r w:rsidR="00E018EE" w:rsidRPr="000A53C0">
        <w:rPr>
          <w:rFonts w:cs="Arial"/>
        </w:rPr>
        <w:t>.</w:t>
      </w:r>
    </w:p>
    <w:p w14:paraId="60335257" w14:textId="77777777" w:rsidR="0022604D" w:rsidRPr="000A53C0" w:rsidRDefault="0022604D" w:rsidP="003B5178">
      <w:pPr>
        <w:pStyle w:val="Heading4numbered"/>
      </w:pPr>
      <w:r w:rsidRPr="000A53C0">
        <w:t>Notices</w:t>
      </w:r>
    </w:p>
    <w:p w14:paraId="2BEACF2A" w14:textId="0C5587DE" w:rsidR="0022604D" w:rsidRPr="000A53C0" w:rsidRDefault="0022604D" w:rsidP="0022604D">
      <w:pPr>
        <w:pStyle w:val="BodyText"/>
        <w:rPr>
          <w:rFonts w:cs="Arial"/>
        </w:rPr>
      </w:pPr>
      <w:r w:rsidRPr="000A53C0">
        <w:rPr>
          <w:rFonts w:cs="Arial"/>
        </w:rPr>
        <w:t xml:space="preserve">PCBUs must comply with the WHS laws in their jurisdictions. If PCBUs contravene </w:t>
      </w:r>
      <w:r w:rsidR="00BB54D7" w:rsidRPr="000A53C0">
        <w:rPr>
          <w:rFonts w:cs="Arial"/>
        </w:rPr>
        <w:t xml:space="preserve">these </w:t>
      </w:r>
      <w:r w:rsidRPr="000A53C0">
        <w:rPr>
          <w:rFonts w:cs="Arial"/>
        </w:rPr>
        <w:t xml:space="preserve">laws, WHS regulators can issue a range of notices, including:  </w:t>
      </w:r>
    </w:p>
    <w:p w14:paraId="6A1A45E3" w14:textId="77777777" w:rsidR="0022604D" w:rsidRPr="000A53C0" w:rsidRDefault="0022604D" w:rsidP="001B44C4">
      <w:pPr>
        <w:pStyle w:val="IAListbullet2"/>
        <w:rPr>
          <w:rFonts w:cs="Arial"/>
        </w:rPr>
      </w:pPr>
      <w:r w:rsidRPr="000A53C0">
        <w:rPr>
          <w:rFonts w:cs="Arial"/>
        </w:rPr>
        <w:t>improvement notices – requires action to be taken to address a safety issue or if workers’ compensation requirements are not being met</w:t>
      </w:r>
    </w:p>
    <w:p w14:paraId="0CF8082F" w14:textId="77777777" w:rsidR="0022604D" w:rsidRPr="000A53C0" w:rsidRDefault="0022604D" w:rsidP="001B44C4">
      <w:pPr>
        <w:pStyle w:val="IAListbullet2"/>
        <w:rPr>
          <w:rFonts w:cs="Arial"/>
        </w:rPr>
      </w:pPr>
      <w:r w:rsidRPr="000A53C0">
        <w:rPr>
          <w:rFonts w:cs="Arial"/>
        </w:rPr>
        <w:t>prohibition notices – can be issued if an activity at work involves a more serious risk to health or safety, a prohibition notice requires the PCBU to stop work immediately until the risk is rectified, and</w:t>
      </w:r>
    </w:p>
    <w:p w14:paraId="225EAA13" w14:textId="473397A7" w:rsidR="0022604D" w:rsidRPr="000A53C0" w:rsidRDefault="0022604D" w:rsidP="001B44C4">
      <w:pPr>
        <w:pStyle w:val="IAListbullet2"/>
        <w:rPr>
          <w:rFonts w:cs="Arial"/>
        </w:rPr>
      </w:pPr>
      <w:r w:rsidRPr="000A53C0">
        <w:rPr>
          <w:rFonts w:cs="Arial"/>
        </w:rPr>
        <w:t xml:space="preserve">penalty/infringement notices </w:t>
      </w:r>
      <w:r w:rsidR="00770A82">
        <w:rPr>
          <w:rFonts w:cs="Arial"/>
        </w:rPr>
        <w:t>–</w:t>
      </w:r>
      <w:r w:rsidRPr="000A53C0">
        <w:rPr>
          <w:rFonts w:cs="Arial"/>
        </w:rPr>
        <w:t xml:space="preserve"> can be issued for certain serious offences, for example failing to comply with a prohibition notice. These notices are accompanied by a monetary fine specified in legislation.</w:t>
      </w:r>
    </w:p>
    <w:p w14:paraId="24AF5AD1" w14:textId="6AE8873F" w:rsidR="0022604D" w:rsidRPr="000A53C0" w:rsidRDefault="0022604D" w:rsidP="0022604D">
      <w:pPr>
        <w:pStyle w:val="BodyText"/>
        <w:rPr>
          <w:rFonts w:cs="Arial"/>
        </w:rPr>
      </w:pPr>
      <w:r w:rsidRPr="000A53C0">
        <w:rPr>
          <w:rFonts w:cs="Arial"/>
        </w:rPr>
        <w:t xml:space="preserve">For the engineered stone industry, data supplied by WHS regulators </w:t>
      </w:r>
      <w:r w:rsidR="00A24DCA" w:rsidRPr="000A53C0">
        <w:rPr>
          <w:rFonts w:cs="Arial"/>
        </w:rPr>
        <w:t>for the period 2018</w:t>
      </w:r>
      <w:r w:rsidR="00D715B0">
        <w:rPr>
          <w:rFonts w:cs="Arial"/>
        </w:rPr>
        <w:t>–</w:t>
      </w:r>
      <w:r w:rsidR="00A24DCA" w:rsidRPr="000A53C0">
        <w:rPr>
          <w:rFonts w:cs="Arial"/>
        </w:rPr>
        <w:t>2022</w:t>
      </w:r>
      <w:r w:rsidR="00C84931" w:rsidRPr="000A53C0">
        <w:rPr>
          <w:rFonts w:cs="Arial"/>
        </w:rPr>
        <w:t xml:space="preserve"> </w:t>
      </w:r>
      <w:r w:rsidRPr="000A53C0">
        <w:rPr>
          <w:rFonts w:cs="Arial"/>
        </w:rPr>
        <w:t xml:space="preserve">shows that notices were commonly issued for </w:t>
      </w:r>
      <w:r w:rsidR="0025313E" w:rsidRPr="000A53C0">
        <w:rPr>
          <w:rFonts w:cs="Arial"/>
        </w:rPr>
        <w:t>non-</w:t>
      </w:r>
      <w:r w:rsidRPr="000A53C0">
        <w:rPr>
          <w:rFonts w:cs="Arial"/>
        </w:rPr>
        <w:t>compliance</w:t>
      </w:r>
      <w:r w:rsidR="0025313E" w:rsidRPr="000A53C0">
        <w:rPr>
          <w:rFonts w:cs="Arial"/>
        </w:rPr>
        <w:t xml:space="preserve">s with the WHS laws </w:t>
      </w:r>
      <w:r w:rsidRPr="000A53C0">
        <w:rPr>
          <w:rFonts w:cs="Arial"/>
        </w:rPr>
        <w:t>related to:</w:t>
      </w:r>
    </w:p>
    <w:p w14:paraId="763BDB70" w14:textId="4B57AA5B" w:rsidR="0022604D" w:rsidRPr="000A53C0" w:rsidRDefault="00806C21" w:rsidP="001B44C4">
      <w:pPr>
        <w:pStyle w:val="IAListbullet2"/>
        <w:rPr>
          <w:rFonts w:cs="Arial"/>
        </w:rPr>
      </w:pPr>
      <w:r w:rsidRPr="000A53C0">
        <w:rPr>
          <w:rFonts w:cs="Arial"/>
        </w:rPr>
        <w:t xml:space="preserve">failure to undertake </w:t>
      </w:r>
      <w:r w:rsidR="0022604D" w:rsidRPr="000A53C0">
        <w:rPr>
          <w:rFonts w:cs="Arial"/>
        </w:rPr>
        <w:t>air and health monitoring</w:t>
      </w:r>
    </w:p>
    <w:p w14:paraId="715E5DE2" w14:textId="326B6185" w:rsidR="0022604D" w:rsidRPr="000A53C0" w:rsidRDefault="00806C21" w:rsidP="001B44C4">
      <w:pPr>
        <w:pStyle w:val="IAListbullet2"/>
        <w:rPr>
          <w:rFonts w:cs="Arial"/>
        </w:rPr>
      </w:pPr>
      <w:r w:rsidRPr="000A53C0">
        <w:rPr>
          <w:rFonts w:cs="Arial"/>
        </w:rPr>
        <w:t xml:space="preserve">failure to provide </w:t>
      </w:r>
      <w:r w:rsidR="0022604D" w:rsidRPr="000A53C0">
        <w:rPr>
          <w:rFonts w:cs="Arial"/>
        </w:rPr>
        <w:t>training and instruction</w:t>
      </w:r>
    </w:p>
    <w:p w14:paraId="4C448D3A" w14:textId="32A57FDF" w:rsidR="0022604D" w:rsidRPr="000A53C0" w:rsidRDefault="00734CE0" w:rsidP="001B44C4">
      <w:pPr>
        <w:pStyle w:val="IAListbullet2"/>
        <w:rPr>
          <w:rFonts w:cs="Arial"/>
        </w:rPr>
      </w:pPr>
      <w:r w:rsidRPr="000A53C0">
        <w:rPr>
          <w:rFonts w:cs="Arial"/>
        </w:rPr>
        <w:lastRenderedPageBreak/>
        <w:t>failure to provide or ensure proper use o</w:t>
      </w:r>
      <w:r w:rsidR="00806C21" w:rsidRPr="000A53C0">
        <w:rPr>
          <w:rFonts w:cs="Arial"/>
        </w:rPr>
        <w:t xml:space="preserve">f </w:t>
      </w:r>
      <w:r w:rsidR="0022604D" w:rsidRPr="000A53C0">
        <w:rPr>
          <w:rFonts w:cs="Arial"/>
        </w:rPr>
        <w:t>personal protective equipment (PPE)</w:t>
      </w:r>
      <w:r w:rsidRPr="000A53C0">
        <w:rPr>
          <w:rFonts w:cs="Arial"/>
        </w:rPr>
        <w:t xml:space="preserve"> including</w:t>
      </w:r>
      <w:r w:rsidR="000A7312" w:rsidRPr="000A53C0">
        <w:rPr>
          <w:rFonts w:cs="Arial"/>
        </w:rPr>
        <w:t xml:space="preserve"> </w:t>
      </w:r>
      <w:r w:rsidR="002A7C09" w:rsidRPr="000A53C0">
        <w:rPr>
          <w:rFonts w:cs="Arial"/>
        </w:rPr>
        <w:t xml:space="preserve">proper fit of </w:t>
      </w:r>
      <w:r w:rsidR="000A7312" w:rsidRPr="000A53C0">
        <w:rPr>
          <w:rFonts w:cs="Arial"/>
        </w:rPr>
        <w:t>respiratory protective equipment (</w:t>
      </w:r>
      <w:r w:rsidRPr="000A53C0">
        <w:rPr>
          <w:rFonts w:cs="Arial"/>
        </w:rPr>
        <w:t>RPE</w:t>
      </w:r>
      <w:r w:rsidR="000A7312" w:rsidRPr="000A53C0">
        <w:rPr>
          <w:rFonts w:cs="Arial"/>
        </w:rPr>
        <w:t>)</w:t>
      </w:r>
    </w:p>
    <w:p w14:paraId="7CEADA16" w14:textId="4DF6F5DE" w:rsidR="0022604D" w:rsidRPr="000A53C0" w:rsidRDefault="00806C21" w:rsidP="001B44C4">
      <w:pPr>
        <w:pStyle w:val="IAListbullet2"/>
        <w:rPr>
          <w:rFonts w:cs="Arial"/>
        </w:rPr>
      </w:pPr>
      <w:r w:rsidRPr="000A53C0">
        <w:rPr>
          <w:rFonts w:cs="Arial"/>
        </w:rPr>
        <w:t xml:space="preserve">failures in </w:t>
      </w:r>
      <w:r w:rsidR="0022604D" w:rsidRPr="000A53C0">
        <w:rPr>
          <w:rFonts w:cs="Arial"/>
        </w:rPr>
        <w:t>housekeeping</w:t>
      </w:r>
      <w:r w:rsidR="000F7A3E" w:rsidRPr="000A53C0">
        <w:rPr>
          <w:rFonts w:cs="Arial"/>
        </w:rPr>
        <w:t xml:space="preserve"> </w:t>
      </w:r>
      <w:r w:rsidRPr="000A53C0">
        <w:rPr>
          <w:rFonts w:cs="Arial"/>
        </w:rPr>
        <w:t>leading to further exposure</w:t>
      </w:r>
      <w:r w:rsidR="00CA1A3C" w:rsidRPr="000A53C0">
        <w:rPr>
          <w:rFonts w:cs="Arial"/>
        </w:rPr>
        <w:t xml:space="preserve"> to silica dust</w:t>
      </w:r>
      <w:r w:rsidRPr="000A53C0">
        <w:rPr>
          <w:rFonts w:cs="Arial"/>
        </w:rPr>
        <w:t xml:space="preserve"> </w:t>
      </w:r>
    </w:p>
    <w:p w14:paraId="58BD6D09" w14:textId="02159C28" w:rsidR="0022604D" w:rsidRPr="000A53C0" w:rsidRDefault="002A791E" w:rsidP="001B44C4">
      <w:pPr>
        <w:pStyle w:val="IAListbullet2"/>
        <w:rPr>
          <w:rFonts w:cs="Arial"/>
        </w:rPr>
      </w:pPr>
      <w:r w:rsidRPr="000A53C0">
        <w:rPr>
          <w:rFonts w:cs="Arial"/>
        </w:rPr>
        <w:t xml:space="preserve">failure to make available </w:t>
      </w:r>
      <w:r w:rsidR="0022604D" w:rsidRPr="000A53C0">
        <w:rPr>
          <w:rFonts w:cs="Arial"/>
        </w:rPr>
        <w:t>safety data sheets</w:t>
      </w:r>
    </w:p>
    <w:p w14:paraId="760CD399" w14:textId="3D145994" w:rsidR="0022604D" w:rsidRPr="000A53C0" w:rsidRDefault="0022604D" w:rsidP="001B44C4">
      <w:pPr>
        <w:pStyle w:val="IAListbullet2"/>
        <w:rPr>
          <w:rFonts w:cs="Arial"/>
        </w:rPr>
      </w:pPr>
      <w:r w:rsidRPr="000A53C0">
        <w:rPr>
          <w:rFonts w:cs="Arial"/>
        </w:rPr>
        <w:t>uncontrolled/dry processing</w:t>
      </w:r>
      <w:r w:rsidR="002A791E" w:rsidRPr="000A53C0">
        <w:rPr>
          <w:rFonts w:cs="Arial"/>
        </w:rPr>
        <w:t xml:space="preserve"> of engineered stone</w:t>
      </w:r>
      <w:r w:rsidRPr="000A53C0">
        <w:rPr>
          <w:rFonts w:cs="Arial"/>
        </w:rPr>
        <w:t>, and</w:t>
      </w:r>
    </w:p>
    <w:p w14:paraId="651E92E9" w14:textId="6E104635" w:rsidR="0022604D" w:rsidRPr="000A53C0" w:rsidRDefault="002A7C09" w:rsidP="001B44C4">
      <w:pPr>
        <w:pStyle w:val="IAListbullet2"/>
        <w:rPr>
          <w:rFonts w:cs="Arial"/>
        </w:rPr>
      </w:pPr>
      <w:r w:rsidRPr="000A53C0">
        <w:rPr>
          <w:rFonts w:cs="Arial"/>
        </w:rPr>
        <w:t xml:space="preserve">evidence of </w:t>
      </w:r>
      <w:r w:rsidR="0022604D" w:rsidRPr="000A53C0">
        <w:rPr>
          <w:rFonts w:cs="Arial"/>
        </w:rPr>
        <w:t>airborne silica dust.</w:t>
      </w:r>
    </w:p>
    <w:p w14:paraId="60F6D813" w14:textId="5F9CBD2F" w:rsidR="0022604D" w:rsidRPr="000A53C0" w:rsidRDefault="0022604D" w:rsidP="0022604D">
      <w:pPr>
        <w:pStyle w:val="BodyText"/>
        <w:rPr>
          <w:rFonts w:cs="Arial"/>
        </w:rPr>
      </w:pPr>
      <w:r w:rsidRPr="000A53C0">
        <w:rPr>
          <w:rFonts w:cs="Arial"/>
        </w:rPr>
        <w:t xml:space="preserve">Non-compliance with </w:t>
      </w:r>
      <w:r w:rsidR="007B0007" w:rsidRPr="000A53C0">
        <w:rPr>
          <w:rFonts w:cs="Arial"/>
        </w:rPr>
        <w:t>the</w:t>
      </w:r>
      <w:r w:rsidR="00C64B68" w:rsidRPr="000A53C0">
        <w:rPr>
          <w:rFonts w:cs="Arial"/>
        </w:rPr>
        <w:t>se duties i</w:t>
      </w:r>
      <w:r w:rsidR="00752AE0">
        <w:rPr>
          <w:rFonts w:cs="Arial"/>
        </w:rPr>
        <w:t>s an</w:t>
      </w:r>
      <w:r w:rsidRPr="000A53C0">
        <w:rPr>
          <w:rFonts w:cs="Arial"/>
        </w:rPr>
        <w:t xml:space="preserve"> issue regardless of the crystalline silica content of engineered stone. There is a need to address the ongoing compliance issues with all WHS laws and not just </w:t>
      </w:r>
      <w:r w:rsidR="00F80666" w:rsidRPr="000A53C0">
        <w:rPr>
          <w:rFonts w:cs="Arial"/>
        </w:rPr>
        <w:t xml:space="preserve">those related to </w:t>
      </w:r>
      <w:r w:rsidRPr="000A53C0">
        <w:rPr>
          <w:rFonts w:cs="Arial"/>
        </w:rPr>
        <w:t xml:space="preserve">exposure to RCS in this industry. </w:t>
      </w:r>
    </w:p>
    <w:p w14:paraId="78CC2C29" w14:textId="13E9F095" w:rsidR="0022604D" w:rsidRPr="000A53C0" w:rsidRDefault="0022604D" w:rsidP="0022604D">
      <w:pPr>
        <w:pStyle w:val="BodyText"/>
        <w:rPr>
          <w:rFonts w:cs="Arial"/>
          <w:color w:val="auto"/>
          <w:szCs w:val="17"/>
        </w:rPr>
      </w:pPr>
      <w:r w:rsidRPr="000A53C0">
        <w:rPr>
          <w:rFonts w:cs="Arial"/>
        </w:rPr>
        <w:t>Several factors identified during consultation may be influencing the levels of compliance, including financial costs of complying with</w:t>
      </w:r>
      <w:r w:rsidR="00C64B68" w:rsidRPr="000A53C0">
        <w:rPr>
          <w:rFonts w:cs="Arial"/>
        </w:rPr>
        <w:t xml:space="preserve"> </w:t>
      </w:r>
      <w:r w:rsidR="00752AE0">
        <w:rPr>
          <w:rFonts w:cs="Arial"/>
        </w:rPr>
        <w:t xml:space="preserve">the model </w:t>
      </w:r>
      <w:r w:rsidR="00C64B68" w:rsidRPr="000A53C0">
        <w:rPr>
          <w:rFonts w:cs="Arial"/>
        </w:rPr>
        <w:t>WHS laws</w:t>
      </w:r>
      <w:r w:rsidRPr="000A53C0">
        <w:rPr>
          <w:rFonts w:cs="Arial"/>
        </w:rPr>
        <w:t xml:space="preserve">, workplace cultures </w:t>
      </w:r>
      <w:r w:rsidR="001E1387" w:rsidRPr="000A53C0">
        <w:rPr>
          <w:rFonts w:cs="Arial"/>
        </w:rPr>
        <w:t xml:space="preserve">with </w:t>
      </w:r>
      <w:r w:rsidRPr="000A53C0">
        <w:rPr>
          <w:rFonts w:cs="Arial"/>
        </w:rPr>
        <w:t>embedded non-compliant practices, and a lack of access to persons with specific competency for conducting health and air monitoring.</w:t>
      </w:r>
      <w:bookmarkStart w:id="67" w:name="_Ref92898364"/>
    </w:p>
    <w:bookmarkEnd w:id="67"/>
    <w:p w14:paraId="4BC72A3D" w14:textId="77777777" w:rsidR="0022604D" w:rsidRPr="000A53C0" w:rsidRDefault="0022604D" w:rsidP="003B5178">
      <w:pPr>
        <w:pStyle w:val="Heading4numbered"/>
      </w:pPr>
      <w:r w:rsidRPr="000A53C0">
        <w:t xml:space="preserve">Prosecutions </w:t>
      </w:r>
    </w:p>
    <w:p w14:paraId="572C0BB7" w14:textId="54CF9C31" w:rsidR="0022604D" w:rsidRPr="000A53C0" w:rsidRDefault="00005835" w:rsidP="00C64B68">
      <w:pPr>
        <w:pStyle w:val="BodyText"/>
        <w:rPr>
          <w:rFonts w:cs="Arial"/>
        </w:rPr>
      </w:pPr>
      <w:r w:rsidRPr="000A53C0">
        <w:rPr>
          <w:rFonts w:cs="Arial"/>
        </w:rPr>
        <w:t xml:space="preserve">In addition to compliance notices, </w:t>
      </w:r>
      <w:r w:rsidR="0022604D" w:rsidRPr="000A53C0">
        <w:rPr>
          <w:rFonts w:cs="Arial"/>
        </w:rPr>
        <w:t xml:space="preserve">WHS regulators </w:t>
      </w:r>
      <w:r w:rsidRPr="000A53C0">
        <w:rPr>
          <w:rFonts w:cs="Arial"/>
        </w:rPr>
        <w:t xml:space="preserve">have the power </w:t>
      </w:r>
      <w:r w:rsidR="00C64B68" w:rsidRPr="000A53C0">
        <w:rPr>
          <w:rFonts w:cs="Arial"/>
        </w:rPr>
        <w:t xml:space="preserve">to </w:t>
      </w:r>
      <w:r w:rsidR="001E1387" w:rsidRPr="000A53C0">
        <w:rPr>
          <w:rFonts w:cs="Arial"/>
        </w:rPr>
        <w:t>take further actions</w:t>
      </w:r>
      <w:r w:rsidR="0022604D" w:rsidRPr="000A53C0">
        <w:rPr>
          <w:rFonts w:cs="Arial"/>
        </w:rPr>
        <w:t xml:space="preserve"> </w:t>
      </w:r>
      <w:r w:rsidR="00173BA2" w:rsidRPr="000A53C0">
        <w:rPr>
          <w:rFonts w:cs="Arial"/>
        </w:rPr>
        <w:t>including</w:t>
      </w:r>
      <w:r w:rsidR="00C64B68" w:rsidRPr="000A53C0">
        <w:rPr>
          <w:rFonts w:cs="Arial"/>
        </w:rPr>
        <w:t xml:space="preserve"> </w:t>
      </w:r>
      <w:r w:rsidR="0022604D" w:rsidRPr="000A53C0">
        <w:rPr>
          <w:rFonts w:cs="Arial"/>
        </w:rPr>
        <w:t xml:space="preserve">enforceable undertakings </w:t>
      </w:r>
      <w:r w:rsidR="00173BA2" w:rsidRPr="000A53C0">
        <w:rPr>
          <w:rFonts w:cs="Arial"/>
        </w:rPr>
        <w:t>and</w:t>
      </w:r>
      <w:r w:rsidR="00C64B68" w:rsidRPr="000A53C0">
        <w:rPr>
          <w:rFonts w:cs="Arial"/>
        </w:rPr>
        <w:t xml:space="preserve"> </w:t>
      </w:r>
      <w:r w:rsidR="0022604D" w:rsidRPr="000A53C0">
        <w:rPr>
          <w:rFonts w:cs="Arial"/>
        </w:rPr>
        <w:t xml:space="preserve">prosecutions. </w:t>
      </w:r>
    </w:p>
    <w:p w14:paraId="4FCA5654" w14:textId="612A331C" w:rsidR="0022604D" w:rsidRPr="000A53C0" w:rsidRDefault="0022604D" w:rsidP="00C64B68">
      <w:pPr>
        <w:pStyle w:val="BodyText"/>
        <w:rPr>
          <w:rFonts w:cs="Arial"/>
        </w:rPr>
      </w:pPr>
      <w:r w:rsidRPr="000A53C0">
        <w:rPr>
          <w:rFonts w:cs="Arial"/>
        </w:rPr>
        <w:t xml:space="preserve">An enforceable undertaking is a legally binding agreement between the </w:t>
      </w:r>
      <w:r w:rsidR="00C64B68" w:rsidRPr="000A53C0">
        <w:rPr>
          <w:rFonts w:cs="Arial"/>
        </w:rPr>
        <w:t xml:space="preserve">WHS </w:t>
      </w:r>
      <w:r w:rsidRPr="000A53C0">
        <w:rPr>
          <w:rFonts w:cs="Arial"/>
        </w:rPr>
        <w:t xml:space="preserve">regulator and a person. It is given in connection to a contravention, or alleged contravention, of the WHS Act and is an alternative to prosecution. </w:t>
      </w:r>
    </w:p>
    <w:p w14:paraId="205EAF1B" w14:textId="6CD9A600" w:rsidR="0022604D" w:rsidRPr="000A53C0" w:rsidRDefault="0022604D" w:rsidP="0022604D">
      <w:pPr>
        <w:pStyle w:val="BodyText"/>
        <w:rPr>
          <w:rFonts w:cs="Arial"/>
        </w:rPr>
      </w:pPr>
      <w:r w:rsidRPr="000A53C0">
        <w:rPr>
          <w:rFonts w:cs="Arial"/>
        </w:rPr>
        <w:t>Alternately, criminal proceedings may be brought for a breach of a WHS offence provision. There are three categories of offences under the model WHS Act for a breach of a health and safety duty, including:</w:t>
      </w:r>
    </w:p>
    <w:p w14:paraId="6B70696F" w14:textId="4554CF6D" w:rsidR="0022604D" w:rsidRPr="000A53C0" w:rsidRDefault="0022604D" w:rsidP="001B44C4">
      <w:pPr>
        <w:pStyle w:val="IAListbullet2"/>
        <w:rPr>
          <w:rFonts w:cs="Arial"/>
        </w:rPr>
      </w:pPr>
      <w:r w:rsidRPr="000A53C0">
        <w:rPr>
          <w:rFonts w:cs="Arial"/>
        </w:rPr>
        <w:t xml:space="preserve">category 1 offence – where a duty holder, without reasonable excuse, engages in conduct that recklessly </w:t>
      </w:r>
      <w:r w:rsidR="001E1387" w:rsidRPr="000A53C0">
        <w:rPr>
          <w:rFonts w:cs="Arial"/>
        </w:rPr>
        <w:t>or with gross negli</w:t>
      </w:r>
      <w:r w:rsidR="000B19BD" w:rsidRPr="000A53C0">
        <w:rPr>
          <w:rFonts w:cs="Arial"/>
        </w:rPr>
        <w:t xml:space="preserve">gence </w:t>
      </w:r>
      <w:r w:rsidRPr="000A53C0">
        <w:rPr>
          <w:rFonts w:cs="Arial"/>
        </w:rPr>
        <w:t>exposes a person to a risk of death or serious injury or illness. This is the most serious category</w:t>
      </w:r>
    </w:p>
    <w:p w14:paraId="5289C43B" w14:textId="77777777" w:rsidR="0022604D" w:rsidRPr="000A53C0" w:rsidRDefault="0022604D" w:rsidP="001B44C4">
      <w:pPr>
        <w:pStyle w:val="IAListbullet2"/>
        <w:rPr>
          <w:rFonts w:cs="Arial"/>
        </w:rPr>
      </w:pPr>
      <w:r w:rsidRPr="000A53C0">
        <w:rPr>
          <w:rFonts w:cs="Arial"/>
        </w:rPr>
        <w:t>category 2 offence – where a duty holder fails to comply with a health and safety duty that exposes a person to risk of death or serious injury or illness, and</w:t>
      </w:r>
    </w:p>
    <w:p w14:paraId="0A39DD7C" w14:textId="77777777" w:rsidR="0022604D" w:rsidRPr="000A53C0" w:rsidRDefault="0022604D" w:rsidP="001B44C4">
      <w:pPr>
        <w:pStyle w:val="IAListbullet2"/>
        <w:rPr>
          <w:rFonts w:cs="Arial"/>
        </w:rPr>
      </w:pPr>
      <w:r w:rsidRPr="000A53C0">
        <w:rPr>
          <w:rFonts w:cs="Arial"/>
        </w:rPr>
        <w:t>category 3 offence – where a duty holder fails to comply with a health and safety duty.</w:t>
      </w:r>
    </w:p>
    <w:p w14:paraId="68F28D8D" w14:textId="65610C97" w:rsidR="0022604D" w:rsidRPr="000A53C0" w:rsidRDefault="0022604D" w:rsidP="0022604D">
      <w:pPr>
        <w:pStyle w:val="BodyText"/>
        <w:rPr>
          <w:rFonts w:cs="Arial"/>
        </w:rPr>
      </w:pPr>
      <w:r w:rsidRPr="000A53C0">
        <w:rPr>
          <w:rFonts w:cs="Arial"/>
        </w:rPr>
        <w:t xml:space="preserve">A court will impose a penalty, such as a fine or in some cases </w:t>
      </w:r>
      <w:r w:rsidR="000B19BD" w:rsidRPr="000A53C0">
        <w:rPr>
          <w:rFonts w:cs="Arial"/>
        </w:rPr>
        <w:t xml:space="preserve">a term of </w:t>
      </w:r>
      <w:r w:rsidRPr="000A53C0">
        <w:rPr>
          <w:rFonts w:cs="Arial"/>
        </w:rPr>
        <w:t xml:space="preserve">imprisonment, on a person found guilty of one of these offences. </w:t>
      </w:r>
    </w:p>
    <w:p w14:paraId="28D45AAE" w14:textId="3286536B" w:rsidR="00267CDC" w:rsidRPr="000A53C0" w:rsidRDefault="00267CDC" w:rsidP="00267CDC">
      <w:pPr>
        <w:pStyle w:val="BodyText"/>
        <w:rPr>
          <w:rFonts w:cs="Arial"/>
        </w:rPr>
      </w:pPr>
      <w:r w:rsidRPr="000A53C0">
        <w:rPr>
          <w:rFonts w:cs="Arial"/>
        </w:rPr>
        <w:t>In addition, there are numerous offences created by the model WHS Regulations for breaches of specific obligations relevant to RCS exposure including a failure to</w:t>
      </w:r>
      <w:r w:rsidR="00CA2198" w:rsidRPr="000A53C0">
        <w:rPr>
          <w:rFonts w:cs="Arial"/>
        </w:rPr>
        <w:t>:</w:t>
      </w:r>
    </w:p>
    <w:p w14:paraId="75A7948F" w14:textId="3BA7D566" w:rsidR="00267CDC" w:rsidRPr="000A53C0" w:rsidRDefault="00267CDC" w:rsidP="001B44C4">
      <w:pPr>
        <w:pStyle w:val="IAListbullet2"/>
        <w:rPr>
          <w:rFonts w:cs="Arial"/>
        </w:rPr>
      </w:pPr>
      <w:r w:rsidRPr="000A53C0">
        <w:rPr>
          <w:rFonts w:cs="Arial"/>
        </w:rPr>
        <w:t>manage risks to health and safety associated with generating a hazardous chemical at a workplace (reg 351)</w:t>
      </w:r>
    </w:p>
    <w:p w14:paraId="38FB1980" w14:textId="77777777" w:rsidR="00267CDC" w:rsidRPr="000A53C0" w:rsidRDefault="00267CDC" w:rsidP="001B44C4">
      <w:pPr>
        <w:pStyle w:val="IAListbullet2"/>
        <w:rPr>
          <w:rFonts w:cs="Arial"/>
        </w:rPr>
      </w:pPr>
      <w:r w:rsidRPr="000A53C0">
        <w:rPr>
          <w:rFonts w:cs="Arial"/>
        </w:rPr>
        <w:t>ensure exposure standards are not exceeded (reg 49)</w:t>
      </w:r>
    </w:p>
    <w:p w14:paraId="140E1E8A" w14:textId="77777777" w:rsidR="00267CDC" w:rsidRPr="000A53C0" w:rsidRDefault="00267CDC" w:rsidP="001B44C4">
      <w:pPr>
        <w:pStyle w:val="IAListbullet2"/>
        <w:rPr>
          <w:rFonts w:cs="Arial"/>
        </w:rPr>
      </w:pPr>
      <w:r w:rsidRPr="000A53C0">
        <w:rPr>
          <w:rFonts w:cs="Arial"/>
        </w:rPr>
        <w:t>monitor airborne contaminant levels (reg 50), and</w:t>
      </w:r>
    </w:p>
    <w:p w14:paraId="7CB66234" w14:textId="77777777" w:rsidR="00267CDC" w:rsidRPr="000A53C0" w:rsidRDefault="00267CDC" w:rsidP="001B44C4">
      <w:pPr>
        <w:pStyle w:val="IAListbullet2"/>
        <w:rPr>
          <w:rFonts w:cs="Arial"/>
        </w:rPr>
      </w:pPr>
      <w:r w:rsidRPr="000A53C0">
        <w:rPr>
          <w:rFonts w:cs="Arial"/>
        </w:rPr>
        <w:t>provide PPE to workers and ensure its use, maintenance, repair etc (reg 44).</w:t>
      </w:r>
    </w:p>
    <w:p w14:paraId="7BE26F6E" w14:textId="74C23181" w:rsidR="00267CDC" w:rsidRPr="000A53C0" w:rsidRDefault="00267CDC" w:rsidP="00267CDC">
      <w:pPr>
        <w:pStyle w:val="BodyText"/>
        <w:rPr>
          <w:rFonts w:cs="Arial"/>
        </w:rPr>
      </w:pPr>
      <w:r w:rsidRPr="000A53C0">
        <w:rPr>
          <w:rFonts w:cs="Arial"/>
        </w:rPr>
        <w:lastRenderedPageBreak/>
        <w:t xml:space="preserve">Offences against the WHS Regulations are punishable by a monetary penalty. </w:t>
      </w:r>
    </w:p>
    <w:p w14:paraId="3C2D3A35" w14:textId="30B27C7A" w:rsidR="0022604D" w:rsidRPr="000A53C0" w:rsidRDefault="0022604D" w:rsidP="0022604D">
      <w:pPr>
        <w:pStyle w:val="BodyText"/>
        <w:rPr>
          <w:rFonts w:cs="Arial"/>
        </w:rPr>
      </w:pPr>
      <w:r w:rsidRPr="000A53C0">
        <w:rPr>
          <w:rFonts w:cs="Arial"/>
        </w:rPr>
        <w:t xml:space="preserve">Table </w:t>
      </w:r>
      <w:r w:rsidR="00173BA2" w:rsidRPr="000A53C0">
        <w:rPr>
          <w:rFonts w:cs="Arial"/>
        </w:rPr>
        <w:t>5</w:t>
      </w:r>
      <w:r w:rsidRPr="000A53C0">
        <w:rPr>
          <w:rFonts w:cs="Arial"/>
        </w:rPr>
        <w:t xml:space="preserve"> summarises publicly available information on successful prosecutions relating to engineered stone from relevant jurisdictions. A total of 1</w:t>
      </w:r>
      <w:r w:rsidR="003B567A" w:rsidRPr="000A53C0">
        <w:rPr>
          <w:rFonts w:cs="Arial"/>
        </w:rPr>
        <w:t>2</w:t>
      </w:r>
      <w:r w:rsidRPr="000A53C0">
        <w:rPr>
          <w:rFonts w:cs="Arial"/>
        </w:rPr>
        <w:t xml:space="preserve"> successful prosecutions have been reported since 2021, with many related to the uncontrolled processing (dry cutting) of engineered stone materials. These prosecutions are a further example of</w:t>
      </w:r>
      <w:r w:rsidR="00661F13" w:rsidRPr="000A53C0">
        <w:rPr>
          <w:rFonts w:cs="Arial"/>
        </w:rPr>
        <w:t xml:space="preserve"> ongoing</w:t>
      </w:r>
      <w:r w:rsidRPr="000A53C0">
        <w:rPr>
          <w:rFonts w:cs="Arial"/>
        </w:rPr>
        <w:t xml:space="preserve"> issues relating to compliance with WHS laws within the engineered stone industry, and the resistance of some PBCUs within the industry to comply with duties. </w:t>
      </w:r>
    </w:p>
    <w:p w14:paraId="2E1ED0E2" w14:textId="432B7BDD" w:rsidR="0022604D" w:rsidRPr="000A53C0" w:rsidRDefault="0022604D" w:rsidP="0022604D">
      <w:pPr>
        <w:pStyle w:val="Caption"/>
        <w:rPr>
          <w:rFonts w:cs="Arial"/>
        </w:rPr>
      </w:pPr>
      <w:r w:rsidRPr="000A483B">
        <w:rPr>
          <w:rFonts w:cs="Arial"/>
          <w:b/>
          <w:bCs/>
        </w:rPr>
        <w:t xml:space="preserve">Table </w:t>
      </w:r>
      <w:r w:rsidR="003B1701" w:rsidRPr="000A483B">
        <w:rPr>
          <w:rFonts w:cs="Arial"/>
          <w:b/>
          <w:bCs/>
        </w:rPr>
        <w:t>5</w:t>
      </w:r>
      <w:r w:rsidRPr="000A53C0">
        <w:rPr>
          <w:rFonts w:cs="Arial"/>
        </w:rPr>
        <w:t xml:space="preserve"> Summary of successful prosecutions under WHS laws relating to engineered stone </w:t>
      </w:r>
    </w:p>
    <w:tbl>
      <w:tblPr>
        <w:tblStyle w:val="PMCDefaultTableStyle"/>
        <w:tblpPr w:leftFromText="180" w:rightFromText="180" w:vertAnchor="text" w:tblpXSpec="center" w:tblpY="1"/>
        <w:tblOverlap w:val="never"/>
        <w:tblW w:w="4376" w:type="pct"/>
        <w:tblLook w:val="04A0" w:firstRow="1" w:lastRow="0" w:firstColumn="1" w:lastColumn="0" w:noHBand="0" w:noVBand="1"/>
      </w:tblPr>
      <w:tblGrid>
        <w:gridCol w:w="1559"/>
        <w:gridCol w:w="7372"/>
      </w:tblGrid>
      <w:tr w:rsidR="0022604D" w:rsidRPr="000A53C0" w14:paraId="1AB33C2C" w14:textId="77777777" w:rsidTr="000A483B">
        <w:trPr>
          <w:cnfStyle w:val="100000000000" w:firstRow="1" w:lastRow="0" w:firstColumn="0" w:lastColumn="0" w:oddVBand="0" w:evenVBand="0" w:oddHBand="0" w:evenHBand="0" w:firstRowFirstColumn="0" w:firstRowLastColumn="0" w:lastRowFirstColumn="0" w:lastRowLastColumn="0"/>
          <w:cantSplit/>
          <w:trHeight w:val="568"/>
        </w:trPr>
        <w:tc>
          <w:tcPr>
            <w:tcW w:w="873" w:type="pct"/>
            <w:shd w:val="clear" w:color="auto" w:fill="E81D32"/>
            <w:vAlign w:val="center"/>
          </w:tcPr>
          <w:p w14:paraId="6F402878" w14:textId="77777777" w:rsidR="0022604D" w:rsidRPr="000A483B" w:rsidRDefault="0022604D" w:rsidP="000A483B">
            <w:pPr>
              <w:pStyle w:val="TableHeading"/>
              <w:spacing w:before="0" w:after="0"/>
              <w:rPr>
                <w:rFonts w:ascii="Arial" w:hAnsi="Arial" w:cs="Arial"/>
                <w:b/>
                <w:bCs/>
                <w:color w:val="FFFFFF" w:themeColor="background1"/>
              </w:rPr>
            </w:pPr>
            <w:r w:rsidRPr="000A483B">
              <w:rPr>
                <w:rFonts w:ascii="Arial" w:hAnsi="Arial" w:cs="Arial"/>
                <w:b/>
                <w:bCs/>
                <w:color w:val="FFFFFF" w:themeColor="background1"/>
              </w:rPr>
              <w:t xml:space="preserve">Jurisdiction </w:t>
            </w:r>
          </w:p>
        </w:tc>
        <w:tc>
          <w:tcPr>
            <w:tcW w:w="4127" w:type="pct"/>
            <w:shd w:val="clear" w:color="auto" w:fill="E81D32"/>
            <w:vAlign w:val="center"/>
          </w:tcPr>
          <w:p w14:paraId="0B5D708B" w14:textId="77777777" w:rsidR="0022604D" w:rsidRPr="000A483B" w:rsidRDefault="0022604D" w:rsidP="000A483B">
            <w:pPr>
              <w:pStyle w:val="TableHeading"/>
              <w:spacing w:before="0" w:after="0"/>
              <w:rPr>
                <w:rFonts w:ascii="Arial" w:hAnsi="Arial" w:cs="Arial"/>
                <w:b/>
                <w:bCs/>
                <w:color w:val="FFFFFF" w:themeColor="background1"/>
              </w:rPr>
            </w:pPr>
            <w:r w:rsidRPr="000A483B">
              <w:rPr>
                <w:rFonts w:ascii="Arial" w:hAnsi="Arial" w:cs="Arial"/>
                <w:b/>
                <w:bCs/>
                <w:color w:val="FFFFFF" w:themeColor="background1"/>
              </w:rPr>
              <w:t>Successful prosecution details</w:t>
            </w:r>
          </w:p>
        </w:tc>
      </w:tr>
      <w:tr w:rsidR="0022604D" w:rsidRPr="000A53C0" w14:paraId="4EF94CA5"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691815E2" w14:textId="77777777" w:rsidR="0022604D" w:rsidRPr="000A53C0" w:rsidRDefault="0022604D">
            <w:pPr>
              <w:pStyle w:val="TableBody"/>
              <w:rPr>
                <w:rFonts w:cs="Arial"/>
              </w:rPr>
            </w:pPr>
            <w:r w:rsidRPr="000A53C0">
              <w:rPr>
                <w:rFonts w:cs="Arial"/>
              </w:rPr>
              <w:t>NSW</w:t>
            </w:r>
          </w:p>
        </w:tc>
        <w:tc>
          <w:tcPr>
            <w:tcW w:w="4127" w:type="pct"/>
          </w:tcPr>
          <w:p w14:paraId="5C0C7E41" w14:textId="77777777" w:rsidR="0022604D" w:rsidRPr="000A53C0" w:rsidRDefault="0022604D">
            <w:pPr>
              <w:pStyle w:val="TableBody"/>
              <w:rPr>
                <w:rFonts w:cs="Arial"/>
              </w:rPr>
            </w:pPr>
            <w:r w:rsidRPr="000A53C0">
              <w:rPr>
                <w:rFonts w:cs="Arial"/>
              </w:rPr>
              <w:t xml:space="preserve">Number One Stone Marble and Granite Pty Ltd </w:t>
            </w:r>
          </w:p>
          <w:p w14:paraId="665466D1" w14:textId="77777777" w:rsidR="0022604D" w:rsidRPr="000A53C0" w:rsidRDefault="0022604D" w:rsidP="00766916">
            <w:pPr>
              <w:pStyle w:val="TableBody"/>
              <w:numPr>
                <w:ilvl w:val="0"/>
                <w:numId w:val="20"/>
              </w:numPr>
              <w:rPr>
                <w:rFonts w:cs="Arial"/>
              </w:rPr>
            </w:pPr>
            <w:r w:rsidRPr="000A53C0">
              <w:rPr>
                <w:rFonts w:cs="Arial"/>
              </w:rPr>
              <w:t>In February 2023, Number One Stone Marble and Granite was fined $25,000 for failing to provide training on the correct fitting and use of respiratory protective equipment.</w:t>
            </w:r>
          </w:p>
        </w:tc>
      </w:tr>
      <w:tr w:rsidR="0022604D" w:rsidRPr="000A53C0" w14:paraId="76E5312E"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4CFE4549" w14:textId="77777777" w:rsidR="0022604D" w:rsidRPr="000A53C0" w:rsidRDefault="0022604D">
            <w:pPr>
              <w:pStyle w:val="TableBody"/>
              <w:rPr>
                <w:rFonts w:cs="Arial"/>
              </w:rPr>
            </w:pPr>
            <w:r w:rsidRPr="000A53C0">
              <w:rPr>
                <w:rFonts w:cs="Arial"/>
              </w:rPr>
              <w:t>Queensland</w:t>
            </w:r>
          </w:p>
        </w:tc>
        <w:tc>
          <w:tcPr>
            <w:tcW w:w="4127" w:type="pct"/>
          </w:tcPr>
          <w:p w14:paraId="51B4D836" w14:textId="77777777" w:rsidR="0022604D" w:rsidRPr="000A53C0" w:rsidRDefault="0022604D">
            <w:pPr>
              <w:pStyle w:val="TableBody"/>
              <w:rPr>
                <w:rFonts w:cs="Arial"/>
              </w:rPr>
            </w:pPr>
            <w:r w:rsidRPr="000A53C0">
              <w:rPr>
                <w:rFonts w:cs="Arial"/>
              </w:rPr>
              <w:t xml:space="preserve">EzyStone Benchtops Pty Ltd </w:t>
            </w:r>
          </w:p>
          <w:p w14:paraId="21D76F87" w14:textId="77777777" w:rsidR="0022604D" w:rsidRPr="000A53C0" w:rsidRDefault="0022604D" w:rsidP="00766916">
            <w:pPr>
              <w:pStyle w:val="TableBody"/>
              <w:numPr>
                <w:ilvl w:val="0"/>
                <w:numId w:val="20"/>
              </w:numPr>
              <w:rPr>
                <w:rFonts w:cs="Arial"/>
              </w:rPr>
            </w:pPr>
            <w:r w:rsidRPr="000A53C0">
              <w:rPr>
                <w:rFonts w:cs="Arial"/>
              </w:rPr>
              <w:t>Four employees were diagnosed with silicosis.</w:t>
            </w:r>
          </w:p>
          <w:p w14:paraId="60DE54B3" w14:textId="77777777" w:rsidR="0022604D" w:rsidRPr="000A53C0" w:rsidRDefault="0022604D" w:rsidP="00766916">
            <w:pPr>
              <w:pStyle w:val="TableBody"/>
              <w:numPr>
                <w:ilvl w:val="0"/>
                <w:numId w:val="20"/>
              </w:numPr>
              <w:rPr>
                <w:rFonts w:cs="Arial"/>
              </w:rPr>
            </w:pPr>
            <w:r w:rsidRPr="000A53C0">
              <w:rPr>
                <w:rFonts w:cs="Arial"/>
              </w:rPr>
              <w:t>In October 2018, WHSQ discovered there was no dust suppression for electric grinders, no fit testing for disposable respirators, and worker health was not monitored.</w:t>
            </w:r>
          </w:p>
          <w:p w14:paraId="4C643BE1" w14:textId="77777777" w:rsidR="0022604D" w:rsidRPr="000A53C0" w:rsidRDefault="0022604D" w:rsidP="00766916">
            <w:pPr>
              <w:pStyle w:val="TableBody"/>
              <w:numPr>
                <w:ilvl w:val="0"/>
                <w:numId w:val="20"/>
              </w:numPr>
              <w:rPr>
                <w:rFonts w:cs="Arial"/>
              </w:rPr>
            </w:pPr>
            <w:r w:rsidRPr="000A53C0">
              <w:rPr>
                <w:rFonts w:cs="Arial"/>
              </w:rPr>
              <w:t>In April 2021, EzyStone Benchtops was sentenced for failing to ensure the health and safety of its workers and fined $240,000.</w:t>
            </w:r>
          </w:p>
          <w:p w14:paraId="3C5A134F" w14:textId="77777777" w:rsidR="0022604D" w:rsidRPr="000A53C0" w:rsidRDefault="0022604D">
            <w:pPr>
              <w:pStyle w:val="TableBody"/>
              <w:rPr>
                <w:rFonts w:cs="Arial"/>
                <w:szCs w:val="18"/>
              </w:rPr>
            </w:pPr>
            <w:r w:rsidRPr="000A53C0">
              <w:rPr>
                <w:rFonts w:cs="Arial"/>
                <w:szCs w:val="18"/>
              </w:rPr>
              <w:t>Willis Bros Installations Pty Ltd</w:t>
            </w:r>
          </w:p>
          <w:p w14:paraId="66A39F1B" w14:textId="77777777" w:rsidR="0022604D" w:rsidRPr="000A53C0" w:rsidRDefault="0022604D" w:rsidP="00766916">
            <w:pPr>
              <w:pStyle w:val="TableBody"/>
              <w:numPr>
                <w:ilvl w:val="0"/>
                <w:numId w:val="20"/>
              </w:numPr>
              <w:rPr>
                <w:rFonts w:cs="Arial"/>
                <w:szCs w:val="18"/>
              </w:rPr>
            </w:pPr>
            <w:r w:rsidRPr="000A53C0">
              <w:rPr>
                <w:rFonts w:cs="Arial"/>
                <w:szCs w:val="18"/>
              </w:rPr>
              <w:t xml:space="preserve">In 2018, workers were instructed to cut a bench top onsite using an angle grinder instead of returning it to the workshop where it could be cut with appropriate equipment. This exposed two workers to silica dust, as well as two other people who entered the apartment where the work was being done.  </w:t>
            </w:r>
          </w:p>
          <w:p w14:paraId="2E1BADBF" w14:textId="77777777" w:rsidR="0022604D" w:rsidRPr="000A53C0" w:rsidRDefault="0022604D" w:rsidP="00766916">
            <w:pPr>
              <w:pStyle w:val="TableBody"/>
              <w:numPr>
                <w:ilvl w:val="0"/>
                <w:numId w:val="20"/>
              </w:numPr>
              <w:rPr>
                <w:rFonts w:cs="Arial"/>
                <w:szCs w:val="18"/>
              </w:rPr>
            </w:pPr>
            <w:r w:rsidRPr="000A53C0">
              <w:rPr>
                <w:rFonts w:cs="Arial"/>
                <w:szCs w:val="18"/>
              </w:rPr>
              <w:t xml:space="preserve">In June 2023, the offender pleaded guilty and was fined $32,500 for breaching WHS laws and ordered to pay the prosecutor's costs.  </w:t>
            </w:r>
          </w:p>
        </w:tc>
      </w:tr>
      <w:tr w:rsidR="0022604D" w:rsidRPr="000A53C0" w14:paraId="5FBC4043"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519CA5C6" w14:textId="77777777" w:rsidR="0022604D" w:rsidRPr="000A53C0" w:rsidRDefault="0022604D">
            <w:pPr>
              <w:pStyle w:val="TableBody"/>
              <w:rPr>
                <w:rFonts w:cs="Arial"/>
              </w:rPr>
            </w:pPr>
            <w:r w:rsidRPr="000A53C0">
              <w:rPr>
                <w:rFonts w:cs="Arial"/>
              </w:rPr>
              <w:t>Tasmania</w:t>
            </w:r>
          </w:p>
        </w:tc>
        <w:tc>
          <w:tcPr>
            <w:tcW w:w="4127" w:type="pct"/>
          </w:tcPr>
          <w:p w14:paraId="019084B6" w14:textId="77777777" w:rsidR="0022604D" w:rsidRPr="000A53C0" w:rsidRDefault="0022604D">
            <w:pPr>
              <w:pStyle w:val="TableBody"/>
              <w:rPr>
                <w:rFonts w:cs="Arial"/>
              </w:rPr>
            </w:pPr>
            <w:r w:rsidRPr="000A53C0">
              <w:rPr>
                <w:rFonts w:cs="Arial"/>
              </w:rPr>
              <w:t xml:space="preserve">Heritage Stone Pty Ltd </w:t>
            </w:r>
          </w:p>
          <w:p w14:paraId="203FDD30" w14:textId="77777777" w:rsidR="0022604D" w:rsidRPr="000A53C0" w:rsidRDefault="0022604D" w:rsidP="00766916">
            <w:pPr>
              <w:pStyle w:val="TableBody"/>
              <w:numPr>
                <w:ilvl w:val="0"/>
                <w:numId w:val="21"/>
              </w:numPr>
              <w:rPr>
                <w:rFonts w:cs="Arial"/>
              </w:rPr>
            </w:pPr>
            <w:r w:rsidRPr="000A53C0">
              <w:rPr>
                <w:rFonts w:cs="Arial"/>
              </w:rPr>
              <w:t>In November 2018, WorkSafe Tasmania was notified of concerns about unsafe work practices at a workshop which had resulted in three workers contracting silicosis.  </w:t>
            </w:r>
          </w:p>
          <w:p w14:paraId="4D152E37" w14:textId="77777777" w:rsidR="0022604D" w:rsidRPr="000A53C0" w:rsidRDefault="0022604D" w:rsidP="00766916">
            <w:pPr>
              <w:pStyle w:val="TableBody"/>
              <w:numPr>
                <w:ilvl w:val="0"/>
                <w:numId w:val="21"/>
              </w:numPr>
              <w:rPr>
                <w:rFonts w:cs="Arial"/>
              </w:rPr>
            </w:pPr>
            <w:r w:rsidRPr="000A53C0">
              <w:rPr>
                <w:rFonts w:cs="Arial"/>
              </w:rPr>
              <w:t>During the investigation, WorkSafe Tasmania found that workers were exposed to RCS dust when dry cutting and shaping engineered stone.</w:t>
            </w:r>
          </w:p>
          <w:p w14:paraId="409AC6AA" w14:textId="77777777" w:rsidR="0022604D" w:rsidRPr="000A53C0" w:rsidRDefault="0022604D" w:rsidP="00766916">
            <w:pPr>
              <w:pStyle w:val="TableBody"/>
              <w:numPr>
                <w:ilvl w:val="0"/>
                <w:numId w:val="21"/>
              </w:numPr>
              <w:rPr>
                <w:rFonts w:cs="Arial"/>
              </w:rPr>
            </w:pPr>
            <w:r w:rsidRPr="000A53C0">
              <w:rPr>
                <w:rFonts w:cs="Arial"/>
              </w:rPr>
              <w:t>WorkSafe Tasmania issued 7 Improvement Notices and 1 Prohibition Notice, and charged Heritage Stone with failing to comply with a health and safety duty that exposes a worker to the risk of death or serious injury or illness. </w:t>
            </w:r>
          </w:p>
          <w:p w14:paraId="0CC43F47" w14:textId="77777777" w:rsidR="0022604D" w:rsidRPr="000A53C0" w:rsidRDefault="0022604D" w:rsidP="00766916">
            <w:pPr>
              <w:pStyle w:val="TableBody"/>
              <w:numPr>
                <w:ilvl w:val="0"/>
                <w:numId w:val="21"/>
              </w:numPr>
              <w:rPr>
                <w:rFonts w:cs="Arial"/>
              </w:rPr>
            </w:pPr>
            <w:r w:rsidRPr="000A53C0">
              <w:rPr>
                <w:rFonts w:cs="Arial"/>
              </w:rPr>
              <w:t>In February 2022, Heritage Stone pleaded guilty and was convicted and fined $500,000.</w:t>
            </w:r>
          </w:p>
        </w:tc>
      </w:tr>
      <w:tr w:rsidR="001326AC" w:rsidRPr="000A53C0" w14:paraId="6802ACC8"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660D2010" w14:textId="152EC23A" w:rsidR="001326AC" w:rsidRPr="000A53C0" w:rsidRDefault="001326AC">
            <w:pPr>
              <w:pStyle w:val="TableBody"/>
              <w:rPr>
                <w:rFonts w:cs="Arial"/>
              </w:rPr>
            </w:pPr>
            <w:r w:rsidRPr="000A53C0">
              <w:rPr>
                <w:rFonts w:cs="Arial"/>
              </w:rPr>
              <w:t>Victoria</w:t>
            </w:r>
          </w:p>
        </w:tc>
        <w:tc>
          <w:tcPr>
            <w:tcW w:w="4127" w:type="pct"/>
          </w:tcPr>
          <w:p w14:paraId="04285381" w14:textId="77777777" w:rsidR="001326AC" w:rsidRPr="000A53C0" w:rsidRDefault="001326AC">
            <w:pPr>
              <w:pStyle w:val="TableBody"/>
              <w:rPr>
                <w:rFonts w:cs="Arial"/>
              </w:rPr>
            </w:pPr>
            <w:r w:rsidRPr="000A53C0">
              <w:rPr>
                <w:rFonts w:cs="Arial"/>
              </w:rPr>
              <w:t>Bas Brother Marble and Granite Pty Ltd</w:t>
            </w:r>
          </w:p>
          <w:p w14:paraId="2FFB016B" w14:textId="6D27FBF0" w:rsidR="005C1790" w:rsidRPr="000A53C0" w:rsidRDefault="001B6711" w:rsidP="00766916">
            <w:pPr>
              <w:pStyle w:val="TableBody"/>
              <w:numPr>
                <w:ilvl w:val="0"/>
                <w:numId w:val="22"/>
              </w:numPr>
              <w:rPr>
                <w:rFonts w:cs="Arial"/>
              </w:rPr>
            </w:pPr>
            <w:r w:rsidRPr="000A53C0">
              <w:rPr>
                <w:rFonts w:cs="Arial"/>
              </w:rPr>
              <w:t>In February 2021, a WorkSafe Inspector attended the workplace and observed an employee using a powered abrasive polishing tool to abrasively polish a slab of white coloured stone which was from the brand Stone Ambassador. The tool was being used without the required control measures in place. Instead, the employee was applying water to the stone from a bottle with a small hole in the lid when the tool was in use.</w:t>
            </w:r>
          </w:p>
          <w:p w14:paraId="2093FAA1" w14:textId="5BF49820" w:rsidR="001326AC" w:rsidRPr="000A53C0" w:rsidRDefault="001326AC" w:rsidP="00766916">
            <w:pPr>
              <w:pStyle w:val="TableBody"/>
              <w:numPr>
                <w:ilvl w:val="0"/>
                <w:numId w:val="22"/>
              </w:numPr>
              <w:rPr>
                <w:rFonts w:cs="Arial"/>
              </w:rPr>
            </w:pPr>
            <w:r w:rsidRPr="000A53C0">
              <w:rPr>
                <w:rFonts w:cs="Arial"/>
              </w:rPr>
              <w:t xml:space="preserve">The offender pleaded guilty and in </w:t>
            </w:r>
            <w:r w:rsidR="001D089E" w:rsidRPr="000A53C0">
              <w:rPr>
                <w:rFonts w:cs="Arial"/>
              </w:rPr>
              <w:t>July</w:t>
            </w:r>
            <w:r w:rsidRPr="000A53C0">
              <w:rPr>
                <w:rFonts w:cs="Arial"/>
              </w:rPr>
              <w:t xml:space="preserve"> 202</w:t>
            </w:r>
            <w:r w:rsidR="001D089E" w:rsidRPr="000A53C0">
              <w:rPr>
                <w:rFonts w:cs="Arial"/>
              </w:rPr>
              <w:t>3</w:t>
            </w:r>
            <w:r w:rsidRPr="000A53C0">
              <w:rPr>
                <w:rFonts w:cs="Arial"/>
              </w:rPr>
              <w:t xml:space="preserve"> was without conviction sentenced to pay a fine of $</w:t>
            </w:r>
            <w:r w:rsidR="001D089E" w:rsidRPr="000A53C0">
              <w:rPr>
                <w:rFonts w:cs="Arial"/>
              </w:rPr>
              <w:t>5</w:t>
            </w:r>
            <w:r w:rsidRPr="000A53C0">
              <w:rPr>
                <w:rFonts w:cs="Arial"/>
              </w:rPr>
              <w:t>,000</w:t>
            </w:r>
            <w:r w:rsidR="001D089E" w:rsidRPr="000A53C0">
              <w:rPr>
                <w:rFonts w:cs="Arial"/>
              </w:rPr>
              <w:t xml:space="preserve"> and to pay costs of $3,906</w:t>
            </w:r>
            <w:r w:rsidRPr="000A53C0">
              <w:rPr>
                <w:rFonts w:cs="Arial"/>
              </w:rPr>
              <w:t>.</w:t>
            </w:r>
          </w:p>
        </w:tc>
      </w:tr>
      <w:tr w:rsidR="0022604D" w:rsidRPr="000A53C0" w14:paraId="79437B65"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53FA3064" w14:textId="4A5E26AB" w:rsidR="0022604D" w:rsidRPr="000A53C0" w:rsidRDefault="0022604D">
            <w:pPr>
              <w:pStyle w:val="TableBody"/>
              <w:rPr>
                <w:rFonts w:cs="Arial"/>
              </w:rPr>
            </w:pPr>
          </w:p>
        </w:tc>
        <w:tc>
          <w:tcPr>
            <w:tcW w:w="4127" w:type="pct"/>
          </w:tcPr>
          <w:p w14:paraId="401F554E" w14:textId="77777777" w:rsidR="0022604D" w:rsidRPr="000A53C0" w:rsidRDefault="0022604D">
            <w:pPr>
              <w:pStyle w:val="TableBody"/>
              <w:rPr>
                <w:rFonts w:cs="Arial"/>
              </w:rPr>
            </w:pPr>
            <w:r w:rsidRPr="000A53C0">
              <w:rPr>
                <w:rFonts w:cs="Arial"/>
              </w:rPr>
              <w:t xml:space="preserve">Miter Square Pty Ltd </w:t>
            </w:r>
          </w:p>
          <w:p w14:paraId="0D18572C" w14:textId="77777777" w:rsidR="0022604D" w:rsidRPr="000A53C0" w:rsidRDefault="0022604D" w:rsidP="00766916">
            <w:pPr>
              <w:pStyle w:val="TableBody"/>
              <w:numPr>
                <w:ilvl w:val="0"/>
                <w:numId w:val="22"/>
              </w:numPr>
              <w:rPr>
                <w:rFonts w:cs="Arial"/>
              </w:rPr>
            </w:pPr>
            <w:r w:rsidRPr="000A53C0">
              <w:rPr>
                <w:rFonts w:cs="Arial"/>
              </w:rPr>
              <w:t xml:space="preserve">In October 2020, a WorkSafe inspector attended the workplace on two occasions and identified employees were exposed to health and safety risks </w:t>
            </w:r>
            <w:r w:rsidRPr="000A53C0">
              <w:rPr>
                <w:rFonts w:cs="Arial"/>
              </w:rPr>
              <w:lastRenderedPageBreak/>
              <w:t>arising from exposure to crystalline silica, and that the employer had failed to eliminate or control that risk in a number of ways.</w:t>
            </w:r>
          </w:p>
          <w:p w14:paraId="79D4F18C" w14:textId="77777777" w:rsidR="0022604D" w:rsidRPr="000A53C0" w:rsidRDefault="0022604D" w:rsidP="00766916">
            <w:pPr>
              <w:pStyle w:val="TableBody"/>
              <w:numPr>
                <w:ilvl w:val="0"/>
                <w:numId w:val="22"/>
              </w:numPr>
              <w:rPr>
                <w:rFonts w:cs="Arial"/>
              </w:rPr>
            </w:pPr>
            <w:r w:rsidRPr="000A53C0">
              <w:rPr>
                <w:rFonts w:cs="Arial"/>
              </w:rPr>
              <w:t>The offender pleaded guilty and in November 2022 was without conviction sentenced to pay a fine of $7,000.</w:t>
            </w:r>
          </w:p>
        </w:tc>
      </w:tr>
      <w:tr w:rsidR="0022604D" w:rsidRPr="000A53C0" w14:paraId="08BE3F51"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2CE1D57E" w14:textId="77777777" w:rsidR="0022604D" w:rsidRPr="000A53C0" w:rsidRDefault="0022604D">
            <w:pPr>
              <w:pStyle w:val="TableBody"/>
              <w:rPr>
                <w:rFonts w:cs="Arial"/>
              </w:rPr>
            </w:pPr>
          </w:p>
        </w:tc>
        <w:tc>
          <w:tcPr>
            <w:tcW w:w="4127" w:type="pct"/>
          </w:tcPr>
          <w:p w14:paraId="6EC809BA" w14:textId="77777777" w:rsidR="0022604D" w:rsidRPr="000A53C0" w:rsidRDefault="0022604D">
            <w:pPr>
              <w:pStyle w:val="TableBody"/>
              <w:rPr>
                <w:rFonts w:cs="Arial"/>
              </w:rPr>
            </w:pPr>
            <w:r w:rsidRPr="000A53C0">
              <w:rPr>
                <w:rFonts w:cs="Arial"/>
              </w:rPr>
              <w:t xml:space="preserve">Pure Design Projects Pty Ltd </w:t>
            </w:r>
          </w:p>
          <w:p w14:paraId="0B2A254D" w14:textId="77777777" w:rsidR="0022604D" w:rsidRPr="000A53C0" w:rsidRDefault="0022604D" w:rsidP="00766916">
            <w:pPr>
              <w:pStyle w:val="TableBody"/>
              <w:numPr>
                <w:ilvl w:val="0"/>
                <w:numId w:val="23"/>
              </w:numPr>
              <w:rPr>
                <w:rFonts w:cs="Arial"/>
              </w:rPr>
            </w:pPr>
            <w:r w:rsidRPr="000A53C0">
              <w:rPr>
                <w:rFonts w:cs="Arial"/>
              </w:rPr>
              <w:t>In January 2021, a WorkSafe Inspector attended the workplace and observed an employee using an electric angle grinder to grind a piece of white engineered stone.</w:t>
            </w:r>
          </w:p>
          <w:p w14:paraId="6AE5B0D8" w14:textId="77777777" w:rsidR="0022604D" w:rsidRPr="000A53C0" w:rsidRDefault="0022604D" w:rsidP="00766916">
            <w:pPr>
              <w:pStyle w:val="TableBody"/>
              <w:numPr>
                <w:ilvl w:val="0"/>
                <w:numId w:val="23"/>
              </w:numPr>
              <w:rPr>
                <w:rFonts w:cs="Arial"/>
              </w:rPr>
            </w:pPr>
            <w:r w:rsidRPr="000A53C0">
              <w:rPr>
                <w:rFonts w:cs="Arial"/>
              </w:rPr>
              <w:t>The offender pleaded guilty and in September 2022 was without conviction sentenced to pay a fine of $10,000 and to pay costs of $3,000.</w:t>
            </w:r>
          </w:p>
        </w:tc>
      </w:tr>
      <w:tr w:rsidR="0022604D" w:rsidRPr="000A53C0" w14:paraId="6F9A1506"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058FA8D2" w14:textId="77777777" w:rsidR="0022604D" w:rsidRPr="000A53C0" w:rsidRDefault="0022604D">
            <w:pPr>
              <w:pStyle w:val="TableBody"/>
              <w:rPr>
                <w:rFonts w:cs="Arial"/>
              </w:rPr>
            </w:pPr>
          </w:p>
        </w:tc>
        <w:tc>
          <w:tcPr>
            <w:tcW w:w="4127" w:type="pct"/>
          </w:tcPr>
          <w:p w14:paraId="734C4213" w14:textId="77777777" w:rsidR="0022604D" w:rsidRPr="000A53C0" w:rsidRDefault="0022604D">
            <w:pPr>
              <w:pStyle w:val="TableBody"/>
              <w:rPr>
                <w:rFonts w:cs="Arial"/>
              </w:rPr>
            </w:pPr>
            <w:r w:rsidRPr="000A53C0">
              <w:rPr>
                <w:rFonts w:cs="Arial"/>
              </w:rPr>
              <w:t xml:space="preserve">AR Marble Pty Ltd </w:t>
            </w:r>
          </w:p>
          <w:p w14:paraId="4F8FBF2C" w14:textId="77777777" w:rsidR="0022604D" w:rsidRPr="000A53C0" w:rsidRDefault="0022604D" w:rsidP="00766916">
            <w:pPr>
              <w:pStyle w:val="TableBody"/>
              <w:numPr>
                <w:ilvl w:val="0"/>
                <w:numId w:val="24"/>
              </w:numPr>
              <w:rPr>
                <w:rFonts w:cs="Arial"/>
              </w:rPr>
            </w:pPr>
            <w:r w:rsidRPr="000A53C0">
              <w:rPr>
                <w:rFonts w:cs="Arial"/>
              </w:rPr>
              <w:t>In November 2019, December 2019 and January 2020, WorkSafe inspectors attended the workplace and observed unsafe practices, including the absence of proper PRR equipment and dry cutting practices exposing employees to hazardous substance crystalline silica.</w:t>
            </w:r>
          </w:p>
          <w:p w14:paraId="58A5E6F4" w14:textId="77777777" w:rsidR="0022604D" w:rsidRPr="000A53C0" w:rsidRDefault="0022604D" w:rsidP="00766916">
            <w:pPr>
              <w:pStyle w:val="TableBody"/>
              <w:numPr>
                <w:ilvl w:val="0"/>
                <w:numId w:val="24"/>
              </w:numPr>
              <w:rPr>
                <w:rFonts w:cs="Arial"/>
              </w:rPr>
            </w:pPr>
            <w:r w:rsidRPr="000A53C0">
              <w:rPr>
                <w:rFonts w:cs="Arial"/>
              </w:rPr>
              <w:t>The offender pleaded guilty and in September 2022 was without conviction sentenced to pay a fine of $5,000 and to pay costs of $5,044.</w:t>
            </w:r>
          </w:p>
        </w:tc>
      </w:tr>
      <w:tr w:rsidR="0022604D" w:rsidRPr="000A53C0" w14:paraId="2379366F"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05258716" w14:textId="77777777" w:rsidR="0022604D" w:rsidRPr="000A53C0" w:rsidRDefault="0022604D">
            <w:pPr>
              <w:pStyle w:val="TableBody"/>
              <w:rPr>
                <w:rFonts w:cs="Arial"/>
              </w:rPr>
            </w:pPr>
          </w:p>
        </w:tc>
        <w:tc>
          <w:tcPr>
            <w:tcW w:w="4127" w:type="pct"/>
          </w:tcPr>
          <w:p w14:paraId="0BBC0CDF" w14:textId="77777777" w:rsidR="0022604D" w:rsidRPr="000A53C0" w:rsidRDefault="0022604D">
            <w:pPr>
              <w:pStyle w:val="TableBody"/>
              <w:rPr>
                <w:rFonts w:cs="Arial"/>
              </w:rPr>
            </w:pPr>
            <w:r w:rsidRPr="000A53C0">
              <w:rPr>
                <w:rFonts w:cs="Arial"/>
              </w:rPr>
              <w:t xml:space="preserve">United Investment Group Pty Ltd </w:t>
            </w:r>
          </w:p>
          <w:p w14:paraId="48466B21" w14:textId="77777777" w:rsidR="0022604D" w:rsidRPr="000A53C0" w:rsidRDefault="0022604D" w:rsidP="00766916">
            <w:pPr>
              <w:pStyle w:val="TableBody"/>
              <w:numPr>
                <w:ilvl w:val="0"/>
                <w:numId w:val="25"/>
              </w:numPr>
              <w:rPr>
                <w:rFonts w:cs="Arial"/>
              </w:rPr>
            </w:pPr>
            <w:r w:rsidRPr="000A53C0">
              <w:rPr>
                <w:rFonts w:cs="Arial"/>
              </w:rPr>
              <w:t xml:space="preserve">In October 2019, WorkSafe inspectors attended the workplace and observed unsafe practices, including dry grinding/cutting/polishing of engineered stone and improper use of PPE. </w:t>
            </w:r>
          </w:p>
          <w:p w14:paraId="50889998" w14:textId="77777777" w:rsidR="0022604D" w:rsidRPr="000A53C0" w:rsidRDefault="0022604D" w:rsidP="00766916">
            <w:pPr>
              <w:pStyle w:val="TableBody"/>
              <w:numPr>
                <w:ilvl w:val="0"/>
                <w:numId w:val="25"/>
              </w:numPr>
              <w:rPr>
                <w:rFonts w:cs="Arial"/>
              </w:rPr>
            </w:pPr>
            <w:r w:rsidRPr="000A53C0">
              <w:rPr>
                <w:rFonts w:cs="Arial"/>
              </w:rPr>
              <w:t>The offender pleaded guilty and in July 2022 was without conviction sentenced to pay a fine of $6,000 and to pay costs of $3,325</w:t>
            </w:r>
          </w:p>
        </w:tc>
      </w:tr>
      <w:tr w:rsidR="0022604D" w:rsidRPr="000A53C0" w14:paraId="0C070714"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7C2A0E79" w14:textId="77777777" w:rsidR="0022604D" w:rsidRPr="000A53C0" w:rsidRDefault="0022604D">
            <w:pPr>
              <w:pStyle w:val="TableBody"/>
              <w:rPr>
                <w:rFonts w:cs="Arial"/>
              </w:rPr>
            </w:pPr>
          </w:p>
        </w:tc>
        <w:tc>
          <w:tcPr>
            <w:tcW w:w="4127" w:type="pct"/>
          </w:tcPr>
          <w:p w14:paraId="747A231A" w14:textId="77777777" w:rsidR="0022604D" w:rsidRPr="000A53C0" w:rsidRDefault="0022604D">
            <w:pPr>
              <w:pStyle w:val="TableBody"/>
              <w:rPr>
                <w:rFonts w:cs="Arial"/>
              </w:rPr>
            </w:pPr>
            <w:r w:rsidRPr="000A53C0">
              <w:rPr>
                <w:rFonts w:cs="Arial"/>
              </w:rPr>
              <w:t xml:space="preserve">Hilton Stone Pty Ltd </w:t>
            </w:r>
          </w:p>
          <w:p w14:paraId="0CA1930F" w14:textId="1DF4F836" w:rsidR="0022604D" w:rsidRPr="000A53C0" w:rsidRDefault="0022604D" w:rsidP="00766916">
            <w:pPr>
              <w:pStyle w:val="TableBody"/>
              <w:numPr>
                <w:ilvl w:val="0"/>
                <w:numId w:val="26"/>
              </w:numPr>
              <w:rPr>
                <w:rFonts w:cs="Arial"/>
              </w:rPr>
            </w:pPr>
            <w:r w:rsidRPr="000A53C0">
              <w:rPr>
                <w:rFonts w:cs="Arial"/>
              </w:rPr>
              <w:t>In March 2020, a WorkSafe inspector attended the workplace and observed a number of breaches, including grinding/cutting/polishing engineered stone without proper controls to help reduce the risk of an employee being exposed to and inhaling silica dust</w:t>
            </w:r>
            <w:r w:rsidR="00811AD9">
              <w:rPr>
                <w:rFonts w:cs="Arial"/>
              </w:rPr>
              <w:t>.</w:t>
            </w:r>
          </w:p>
          <w:p w14:paraId="2D936E9B" w14:textId="77777777" w:rsidR="0022604D" w:rsidRPr="000A53C0" w:rsidRDefault="0022604D" w:rsidP="00766916">
            <w:pPr>
              <w:pStyle w:val="TableBody"/>
              <w:numPr>
                <w:ilvl w:val="0"/>
                <w:numId w:val="26"/>
              </w:numPr>
              <w:rPr>
                <w:rFonts w:cs="Arial"/>
              </w:rPr>
            </w:pPr>
            <w:r w:rsidRPr="000A53C0">
              <w:rPr>
                <w:rFonts w:cs="Arial"/>
              </w:rPr>
              <w:t>The offender pleaded guilty and in June 2022 was with conviction sentenced to pay a fine of $25,000 and to pay costs of $6,157.</w:t>
            </w:r>
          </w:p>
        </w:tc>
      </w:tr>
      <w:tr w:rsidR="0022604D" w:rsidRPr="000A53C0" w14:paraId="1EC78B06" w14:textId="77777777" w:rsidTr="00312140">
        <w:trPr>
          <w:cnfStyle w:val="000000010000" w:firstRow="0" w:lastRow="0" w:firstColumn="0" w:lastColumn="0" w:oddVBand="0" w:evenVBand="0" w:oddHBand="0" w:evenHBand="1" w:firstRowFirstColumn="0" w:firstRowLastColumn="0" w:lastRowFirstColumn="0" w:lastRowLastColumn="0"/>
          <w:cantSplit/>
        </w:trPr>
        <w:tc>
          <w:tcPr>
            <w:tcW w:w="873" w:type="pct"/>
          </w:tcPr>
          <w:p w14:paraId="04A74AC8" w14:textId="77777777" w:rsidR="0022604D" w:rsidRPr="000A53C0" w:rsidRDefault="0022604D">
            <w:pPr>
              <w:pStyle w:val="TableBody"/>
              <w:rPr>
                <w:rFonts w:cs="Arial"/>
              </w:rPr>
            </w:pPr>
          </w:p>
        </w:tc>
        <w:tc>
          <w:tcPr>
            <w:tcW w:w="4127" w:type="pct"/>
          </w:tcPr>
          <w:p w14:paraId="20EC9D32" w14:textId="77777777" w:rsidR="0022604D" w:rsidRPr="000A53C0" w:rsidRDefault="0022604D">
            <w:pPr>
              <w:pStyle w:val="TableBody"/>
              <w:rPr>
                <w:rFonts w:cs="Arial"/>
              </w:rPr>
            </w:pPr>
            <w:r w:rsidRPr="000A53C0">
              <w:rPr>
                <w:rFonts w:cs="Arial"/>
              </w:rPr>
              <w:t xml:space="preserve">SC101 of 2021 </w:t>
            </w:r>
          </w:p>
          <w:p w14:paraId="30574608" w14:textId="77777777" w:rsidR="0022604D" w:rsidRPr="000A53C0" w:rsidRDefault="0022604D" w:rsidP="00766916">
            <w:pPr>
              <w:pStyle w:val="TableBody"/>
              <w:numPr>
                <w:ilvl w:val="0"/>
                <w:numId w:val="27"/>
              </w:numPr>
              <w:rPr>
                <w:rFonts w:cs="Arial"/>
              </w:rPr>
            </w:pPr>
            <w:r w:rsidRPr="000A53C0">
              <w:rPr>
                <w:rFonts w:cs="Arial"/>
              </w:rPr>
              <w:t xml:space="preserve">In October 2016, a WorkSafe Inspector attended the workplace and observed employees dry grinding/polishing reconstituted stone and employees cleaning up dust using a broom, and was informed that health monitoring had not been provided to employees who were exposed to RCS. </w:t>
            </w:r>
          </w:p>
          <w:p w14:paraId="1F266398" w14:textId="77777777" w:rsidR="0022604D" w:rsidRPr="000A53C0" w:rsidRDefault="0022604D" w:rsidP="00766916">
            <w:pPr>
              <w:pStyle w:val="TableBody"/>
              <w:numPr>
                <w:ilvl w:val="0"/>
                <w:numId w:val="27"/>
              </w:numPr>
              <w:rPr>
                <w:rFonts w:cs="Arial"/>
              </w:rPr>
            </w:pPr>
            <w:r w:rsidRPr="000A53C0">
              <w:rPr>
                <w:rFonts w:cs="Arial"/>
              </w:rPr>
              <w:t>The offender pleaded guilty and in May 2021 was without conviction sentenced to pay a fine of $29,000 and to pay costs of $3,589.58.</w:t>
            </w:r>
          </w:p>
        </w:tc>
      </w:tr>
      <w:tr w:rsidR="0022604D" w:rsidRPr="000A53C0" w14:paraId="637F452B" w14:textId="77777777" w:rsidTr="00312140">
        <w:trPr>
          <w:cnfStyle w:val="000000100000" w:firstRow="0" w:lastRow="0" w:firstColumn="0" w:lastColumn="0" w:oddVBand="0" w:evenVBand="0" w:oddHBand="1" w:evenHBand="0" w:firstRowFirstColumn="0" w:firstRowLastColumn="0" w:lastRowFirstColumn="0" w:lastRowLastColumn="0"/>
          <w:cantSplit/>
        </w:trPr>
        <w:tc>
          <w:tcPr>
            <w:tcW w:w="873" w:type="pct"/>
          </w:tcPr>
          <w:p w14:paraId="682D1F9F" w14:textId="77777777" w:rsidR="0022604D" w:rsidRPr="000A53C0" w:rsidRDefault="0022604D" w:rsidP="00312140">
            <w:pPr>
              <w:pStyle w:val="TableBody"/>
              <w:keepNext/>
              <w:rPr>
                <w:rFonts w:cs="Arial"/>
              </w:rPr>
            </w:pPr>
          </w:p>
        </w:tc>
        <w:tc>
          <w:tcPr>
            <w:tcW w:w="4127" w:type="pct"/>
          </w:tcPr>
          <w:p w14:paraId="26230AAD" w14:textId="7F70C3CF" w:rsidR="0022604D" w:rsidRPr="000A53C0" w:rsidRDefault="0022604D" w:rsidP="00312140">
            <w:pPr>
              <w:pStyle w:val="TableBody"/>
              <w:keepNext/>
              <w:rPr>
                <w:rFonts w:cs="Arial"/>
              </w:rPr>
            </w:pPr>
            <w:r w:rsidRPr="000A53C0">
              <w:rPr>
                <w:rFonts w:cs="Arial"/>
              </w:rPr>
              <w:t xml:space="preserve">TTN Stonework Pty Ltd </w:t>
            </w:r>
          </w:p>
          <w:p w14:paraId="295D689D" w14:textId="6BE479B1" w:rsidR="0022604D" w:rsidRPr="000A53C0" w:rsidRDefault="0022604D" w:rsidP="00766916">
            <w:pPr>
              <w:pStyle w:val="TableBody"/>
              <w:numPr>
                <w:ilvl w:val="0"/>
                <w:numId w:val="27"/>
              </w:numPr>
              <w:rPr>
                <w:rFonts w:cs="Arial"/>
              </w:rPr>
            </w:pPr>
            <w:r w:rsidRPr="000A53C0">
              <w:rPr>
                <w:rFonts w:cs="Arial"/>
              </w:rPr>
              <w:t xml:space="preserve">In May 2019, June 2019 and July 2019 an inspector attended the workplace and noted that the offender had not complied with two previously issued improvement notices relating to dry grinding processes, PPE, health monitoring and unsafe cleaning methods. </w:t>
            </w:r>
          </w:p>
          <w:p w14:paraId="7F8319BC" w14:textId="77777777" w:rsidR="0022604D" w:rsidRPr="000A53C0" w:rsidRDefault="0022604D" w:rsidP="00766916">
            <w:pPr>
              <w:pStyle w:val="TableBody"/>
              <w:keepNext/>
              <w:numPr>
                <w:ilvl w:val="0"/>
                <w:numId w:val="28"/>
              </w:numPr>
              <w:rPr>
                <w:rFonts w:cs="Arial"/>
              </w:rPr>
            </w:pPr>
            <w:r w:rsidRPr="000A53C0">
              <w:rPr>
                <w:rFonts w:cs="Arial"/>
              </w:rPr>
              <w:t>The offender pleaded guilty and in April 2021 was without conviction sentenced to pay a fine of $10,000, and ordered to pay statutory costs of $84.40 and WorkSafe’s costs of $1,655.83.</w:t>
            </w:r>
          </w:p>
        </w:tc>
      </w:tr>
    </w:tbl>
    <w:p w14:paraId="248D76D6" w14:textId="77777777" w:rsidR="0022604D" w:rsidRPr="000A53C0" w:rsidRDefault="0022604D" w:rsidP="0022604D">
      <w:pPr>
        <w:pStyle w:val="BodyText"/>
        <w:rPr>
          <w:rFonts w:cs="Arial"/>
        </w:rPr>
      </w:pPr>
    </w:p>
    <w:p w14:paraId="6214BF04" w14:textId="77777777" w:rsidR="0022604D" w:rsidRPr="000A53C0" w:rsidRDefault="0022604D" w:rsidP="0022604D">
      <w:pPr>
        <w:pStyle w:val="BodyText"/>
        <w:rPr>
          <w:rFonts w:cs="Arial"/>
        </w:rPr>
      </w:pPr>
    </w:p>
    <w:p w14:paraId="50F0DD09" w14:textId="77777777" w:rsidR="0022604D" w:rsidRPr="000A53C0" w:rsidRDefault="0022604D" w:rsidP="0022604D">
      <w:pPr>
        <w:pStyle w:val="BodyText"/>
        <w:rPr>
          <w:rFonts w:cs="Arial"/>
        </w:rPr>
      </w:pPr>
    </w:p>
    <w:p w14:paraId="435C8147" w14:textId="77777777" w:rsidR="0022604D" w:rsidRPr="000A53C0" w:rsidRDefault="0022604D" w:rsidP="0022604D">
      <w:pPr>
        <w:pStyle w:val="BodyText"/>
        <w:rPr>
          <w:rFonts w:cs="Arial"/>
        </w:rPr>
      </w:pPr>
    </w:p>
    <w:p w14:paraId="30DD5F46" w14:textId="77777777" w:rsidR="00E018EE" w:rsidRPr="000A53C0" w:rsidRDefault="00E018EE" w:rsidP="00514CCB">
      <w:pPr>
        <w:pStyle w:val="Heading3numbered"/>
      </w:pPr>
      <w:r w:rsidRPr="000A53C0">
        <w:t>Insufficient compliance and enforcement activities</w:t>
      </w:r>
    </w:p>
    <w:p w14:paraId="310555FE" w14:textId="197BB097" w:rsidR="00030CD0" w:rsidRPr="000A53C0" w:rsidRDefault="001C6F40" w:rsidP="005B717A">
      <w:pPr>
        <w:pStyle w:val="BodyText"/>
        <w:rPr>
          <w:rFonts w:cs="Arial"/>
        </w:rPr>
      </w:pPr>
      <w:r w:rsidRPr="000A53C0">
        <w:rPr>
          <w:rFonts w:cs="Arial"/>
        </w:rPr>
        <w:t xml:space="preserve">Although WHS regulators have undertaken </w:t>
      </w:r>
      <w:r w:rsidR="00D05BBE" w:rsidRPr="000A53C0">
        <w:rPr>
          <w:rFonts w:cs="Arial"/>
        </w:rPr>
        <w:t>targeted</w:t>
      </w:r>
      <w:r w:rsidRPr="000A53C0">
        <w:rPr>
          <w:rFonts w:cs="Arial"/>
        </w:rPr>
        <w:t xml:space="preserve"> compliance and enforcement activities in the engineered stone industry in recent years, s</w:t>
      </w:r>
      <w:r w:rsidR="005211FE" w:rsidRPr="000A53C0">
        <w:rPr>
          <w:rFonts w:cs="Arial"/>
        </w:rPr>
        <w:t xml:space="preserve">takeholder </w:t>
      </w:r>
      <w:r w:rsidR="00D32F50" w:rsidRPr="000A53C0">
        <w:rPr>
          <w:rFonts w:cs="Arial"/>
        </w:rPr>
        <w:t>s</w:t>
      </w:r>
      <w:r w:rsidR="002E2F28" w:rsidRPr="000A53C0">
        <w:rPr>
          <w:rFonts w:cs="Arial"/>
        </w:rPr>
        <w:t>ubmissions to the National Dust Disease Taskforce</w:t>
      </w:r>
      <w:r w:rsidR="00E713D4" w:rsidRPr="000A53C0">
        <w:rPr>
          <w:rFonts w:cs="Arial"/>
        </w:rPr>
        <w:t xml:space="preserve"> </w:t>
      </w:r>
      <w:r w:rsidR="00CE6E24" w:rsidRPr="000A53C0">
        <w:rPr>
          <w:rFonts w:cs="Arial"/>
        </w:rPr>
        <w:t xml:space="preserve">expressed concern that compliance monitoring </w:t>
      </w:r>
      <w:r w:rsidR="008A386C" w:rsidRPr="000A53C0">
        <w:rPr>
          <w:rFonts w:cs="Arial"/>
        </w:rPr>
        <w:t xml:space="preserve">and </w:t>
      </w:r>
      <w:r w:rsidR="00CE6E24" w:rsidRPr="000A53C0">
        <w:rPr>
          <w:rFonts w:cs="Arial"/>
        </w:rPr>
        <w:t xml:space="preserve">enforcement </w:t>
      </w:r>
      <w:r w:rsidR="008A386C" w:rsidRPr="000A53C0">
        <w:rPr>
          <w:rFonts w:cs="Arial"/>
        </w:rPr>
        <w:t>by WHS regulators had been</w:t>
      </w:r>
      <w:r w:rsidR="00CE6E24" w:rsidRPr="000A53C0">
        <w:rPr>
          <w:rFonts w:cs="Arial"/>
        </w:rPr>
        <w:t xml:space="preserve"> inadequate</w:t>
      </w:r>
      <w:r w:rsidR="008A386C" w:rsidRPr="000A53C0">
        <w:rPr>
          <w:rFonts w:cs="Arial"/>
        </w:rPr>
        <w:t xml:space="preserve"> </w:t>
      </w:r>
      <w:r w:rsidR="00B35D36" w:rsidRPr="000A53C0" w:rsidDel="000B2E3D">
        <w:rPr>
          <w:rFonts w:cs="Arial"/>
        </w:rPr>
        <w:fldChar w:fldCharType="begin"/>
      </w:r>
      <w:r w:rsidR="00B35D36" w:rsidRPr="000A53C0" w:rsidDel="000B2E3D">
        <w:rPr>
          <w:rFonts w:cs="Arial"/>
        </w:rPr>
        <w:instrText xml:space="preserve"> ADDIN ZOTERO_ITEM CSL_CITATION {"citationID":"d4mw7mNC","properties":{"formattedCitation":"(Department of Health 2021)","plainCitation":"(Department of Health 2021)","noteIndex":0},"citationItems":[{"id":806,"uris":["http://zotero.org/users/6230888/items/NWNXT6NL"],"itemData":{"id":806,"type":"article-journal","language":"en","page":"80","source":"Zotero","title":"National Dust Disease Taskforce Final Report to Minister for Health and Aged Care","author":[{"literal":"Department of Health"}],"issued":{"date-parts":[["2021"]]}}}],"schema":"https://github.com/citation-style-language/schema/raw/master/csl-citation.json"} </w:instrText>
      </w:r>
      <w:r w:rsidR="00B35D36" w:rsidRPr="000A53C0" w:rsidDel="000B2E3D">
        <w:rPr>
          <w:rFonts w:cs="Arial"/>
        </w:rPr>
        <w:fldChar w:fldCharType="separate"/>
      </w:r>
      <w:r w:rsidR="00B35D36" w:rsidRPr="000A53C0" w:rsidDel="000B2E3D">
        <w:rPr>
          <w:rFonts w:cs="Arial"/>
        </w:rPr>
        <w:t>(Department of Health 2021)</w:t>
      </w:r>
      <w:r w:rsidR="00B35D36" w:rsidRPr="000A53C0" w:rsidDel="000B2E3D">
        <w:rPr>
          <w:rFonts w:cs="Arial"/>
        </w:rPr>
        <w:fldChar w:fldCharType="end"/>
      </w:r>
      <w:r w:rsidR="008A386C" w:rsidRPr="000A53C0">
        <w:rPr>
          <w:rFonts w:cs="Arial"/>
        </w:rPr>
        <w:t>.</w:t>
      </w:r>
      <w:r w:rsidR="00E96B1B" w:rsidRPr="000A53C0">
        <w:rPr>
          <w:rFonts w:cs="Arial"/>
        </w:rPr>
        <w:t xml:space="preserve"> They noted a “lack of sanctions applied, penalties not being enforced, and a perception amongst</w:t>
      </w:r>
      <w:r w:rsidR="00030CD0" w:rsidRPr="000A53C0">
        <w:rPr>
          <w:rFonts w:cs="Arial"/>
        </w:rPr>
        <w:t xml:space="preserve"> </w:t>
      </w:r>
      <w:r w:rsidR="00E96B1B" w:rsidRPr="000A53C0">
        <w:rPr>
          <w:rFonts w:cs="Arial"/>
        </w:rPr>
        <w:t>businesses that non-compliance can go unpunished</w:t>
      </w:r>
      <w:r w:rsidR="00F83BF7" w:rsidRPr="000A53C0">
        <w:rPr>
          <w:rFonts w:cs="Arial"/>
        </w:rPr>
        <w:t>.</w:t>
      </w:r>
      <w:r w:rsidR="00906D89" w:rsidRPr="000A53C0">
        <w:rPr>
          <w:rFonts w:cs="Arial"/>
        </w:rPr>
        <w:t>”</w:t>
      </w:r>
      <w:r w:rsidR="00F83BF7" w:rsidRPr="000A53C0">
        <w:rPr>
          <w:rFonts w:cs="Arial"/>
        </w:rPr>
        <w:t xml:space="preserve"> </w:t>
      </w:r>
      <w:r w:rsidR="0069069D" w:rsidRPr="000A53C0">
        <w:rPr>
          <w:rFonts w:cs="Arial"/>
        </w:rPr>
        <w:t>This</w:t>
      </w:r>
      <w:r w:rsidR="00412F41" w:rsidRPr="000A53C0">
        <w:rPr>
          <w:rFonts w:cs="Arial"/>
        </w:rPr>
        <w:t xml:space="preserve"> is further supported by </w:t>
      </w:r>
      <w:r w:rsidR="0069069D" w:rsidRPr="000A53C0">
        <w:rPr>
          <w:rFonts w:cs="Arial"/>
        </w:rPr>
        <w:t xml:space="preserve">submissions to </w:t>
      </w:r>
      <w:r w:rsidR="00030CD0" w:rsidRPr="000A53C0">
        <w:rPr>
          <w:rFonts w:cs="Arial"/>
        </w:rPr>
        <w:t>NSW Parliament 2021 Review of the Dust Diseases</w:t>
      </w:r>
      <w:r w:rsidR="00401AF0" w:rsidRPr="000A53C0">
        <w:rPr>
          <w:rFonts w:cs="Arial"/>
        </w:rPr>
        <w:t xml:space="preserve"> Scheme</w:t>
      </w:r>
      <w:r w:rsidR="005B717A" w:rsidRPr="000A53C0">
        <w:rPr>
          <w:rFonts w:cs="Arial"/>
        </w:rPr>
        <w:t xml:space="preserve">; the inquiry </w:t>
      </w:r>
      <w:r w:rsidR="005B717A" w:rsidRPr="000A53C0">
        <w:rPr>
          <w:rFonts w:cs="Arial"/>
        </w:rPr>
        <w:lastRenderedPageBreak/>
        <w:t>report noting “[a]n ongoing concern for stakeholders is that there is insufficient compliance and enforcement of existing regulations, with unsafe work practices continuing, leading to preventable silica related illnesses and deaths</w:t>
      </w:r>
      <w:r w:rsidR="000C3FA5" w:rsidRPr="000A53C0">
        <w:rPr>
          <w:rFonts w:cs="Arial"/>
        </w:rPr>
        <w:t>”</w:t>
      </w:r>
      <w:r w:rsidR="007C0FC4" w:rsidRPr="000A53C0">
        <w:rPr>
          <w:rFonts w:cs="Arial"/>
        </w:rPr>
        <w:t xml:space="preserve"> </w:t>
      </w:r>
      <w:sdt>
        <w:sdtPr>
          <w:rPr>
            <w:rFonts w:cs="Arial"/>
          </w:rPr>
          <w:id w:val="2040468208"/>
          <w:citation/>
        </w:sdtPr>
        <w:sdtEndPr/>
        <w:sdtContent>
          <w:r w:rsidR="00183596" w:rsidRPr="000A53C0">
            <w:rPr>
              <w:rFonts w:cs="Arial"/>
            </w:rPr>
            <w:fldChar w:fldCharType="begin"/>
          </w:r>
          <w:r w:rsidR="00183596" w:rsidRPr="000A53C0">
            <w:rPr>
              <w:rFonts w:cs="Arial"/>
            </w:rPr>
            <w:instrText xml:space="preserve"> CITATION NSW22 \l 3081 </w:instrText>
          </w:r>
          <w:r w:rsidR="00183596" w:rsidRPr="000A53C0">
            <w:rPr>
              <w:rFonts w:cs="Arial"/>
            </w:rPr>
            <w:fldChar w:fldCharType="separate"/>
          </w:r>
          <w:r w:rsidR="001F7BAA" w:rsidRPr="000A53C0">
            <w:rPr>
              <w:rFonts w:cs="Arial"/>
              <w:noProof/>
            </w:rPr>
            <w:t>(NSW Parliament 2022)</w:t>
          </w:r>
          <w:r w:rsidR="00183596" w:rsidRPr="000A53C0">
            <w:rPr>
              <w:rFonts w:cs="Arial"/>
            </w:rPr>
            <w:fldChar w:fldCharType="end"/>
          </w:r>
        </w:sdtContent>
      </w:sdt>
      <w:r w:rsidR="005B717A" w:rsidRPr="000A53C0">
        <w:rPr>
          <w:rFonts w:cs="Arial"/>
        </w:rPr>
        <w:t>.</w:t>
      </w:r>
    </w:p>
    <w:p w14:paraId="7E278941" w14:textId="046709E7" w:rsidR="00AE797E" w:rsidRPr="000A53C0" w:rsidRDefault="004E1786" w:rsidP="00514CCB">
      <w:pPr>
        <w:pStyle w:val="Heading2numbered"/>
      </w:pPr>
      <w:bookmarkStart w:id="68" w:name="_Toc142991325"/>
      <w:r w:rsidRPr="000A53C0">
        <w:t>The nature of the engineered stone industry</w:t>
      </w:r>
      <w:bookmarkEnd w:id="68"/>
    </w:p>
    <w:p w14:paraId="4DC97F98" w14:textId="5E69D440" w:rsidR="00AE797E" w:rsidRPr="000A53C0" w:rsidRDefault="00AE797E" w:rsidP="00AE797E">
      <w:pPr>
        <w:pStyle w:val="BodyText"/>
        <w:rPr>
          <w:rFonts w:cs="Arial"/>
        </w:rPr>
      </w:pPr>
      <w:r w:rsidRPr="000A53C0">
        <w:rPr>
          <w:rFonts w:cs="Arial"/>
        </w:rPr>
        <w:t>Engineered stone has become the dominant benchtop material in Australia, commanding an estimated 55% market share</w:t>
      </w:r>
      <w:r w:rsidR="004A48F6" w:rsidRPr="000A53C0">
        <w:rPr>
          <w:rFonts w:cs="Arial"/>
        </w:rPr>
        <w:t xml:space="preserve">, </w:t>
      </w:r>
      <w:r w:rsidRPr="000A53C0">
        <w:rPr>
          <w:rFonts w:cs="Arial"/>
        </w:rPr>
        <w:t xml:space="preserve">due to a combination of factors including aesthetics, durability, price, and ease of processing. </w:t>
      </w:r>
    </w:p>
    <w:p w14:paraId="54E35817" w14:textId="57491175" w:rsidR="00AE797E" w:rsidRPr="000A53C0" w:rsidRDefault="00A91187" w:rsidP="00260A01">
      <w:pPr>
        <w:pStyle w:val="BodyText"/>
        <w:rPr>
          <w:rFonts w:cs="Arial"/>
        </w:rPr>
      </w:pPr>
      <w:r w:rsidRPr="000A53C0">
        <w:rPr>
          <w:rFonts w:cs="Arial"/>
        </w:rPr>
        <w:t>I</w:t>
      </w:r>
      <w:r w:rsidR="00DD3D49" w:rsidRPr="000A53C0">
        <w:rPr>
          <w:rFonts w:cs="Arial"/>
        </w:rPr>
        <w:t xml:space="preserve">n </w:t>
      </w:r>
      <w:r w:rsidRPr="000A53C0">
        <w:rPr>
          <w:rFonts w:cs="Arial"/>
        </w:rPr>
        <w:t xml:space="preserve">addition to the </w:t>
      </w:r>
      <w:r w:rsidR="00DD3D49" w:rsidRPr="000A53C0">
        <w:rPr>
          <w:rFonts w:cs="Arial"/>
        </w:rPr>
        <w:t>faster processing time of engineered stone, t</w:t>
      </w:r>
      <w:r w:rsidR="00AE797E" w:rsidRPr="000A53C0">
        <w:rPr>
          <w:rFonts w:cs="Arial"/>
        </w:rPr>
        <w:t xml:space="preserve">he ease with which </w:t>
      </w:r>
      <w:r w:rsidR="00DD3D49" w:rsidRPr="000A53C0">
        <w:rPr>
          <w:rFonts w:cs="Arial"/>
        </w:rPr>
        <w:t>this product</w:t>
      </w:r>
      <w:r w:rsidR="00AE797E" w:rsidRPr="000A53C0">
        <w:rPr>
          <w:rFonts w:cs="Arial"/>
        </w:rPr>
        <w:t xml:space="preserve"> can be fabricated means</w:t>
      </w:r>
      <w:r w:rsidRPr="000A53C0">
        <w:rPr>
          <w:rFonts w:cs="Arial"/>
        </w:rPr>
        <w:t xml:space="preserve"> </w:t>
      </w:r>
      <w:r w:rsidR="00AE797E" w:rsidRPr="000A53C0">
        <w:rPr>
          <w:rFonts w:cs="Arial"/>
        </w:rPr>
        <w:t xml:space="preserve">less skill is required to handle these materials compared to more brittle natural stone slabs </w:t>
      </w:r>
      <w:r w:rsidR="00DD3D49" w:rsidRPr="000A53C0">
        <w:rPr>
          <w:rFonts w:cs="Arial"/>
        </w:rPr>
        <w:t>and</w:t>
      </w:r>
      <w:r w:rsidR="00AE797E" w:rsidRPr="000A53C0">
        <w:rPr>
          <w:rFonts w:cs="Arial"/>
        </w:rPr>
        <w:t xml:space="preserve"> many workers in this industry do not have formal stonemason qualifications</w:t>
      </w:r>
      <w:r w:rsidR="00DD3D49" w:rsidRPr="000A53C0">
        <w:rPr>
          <w:rFonts w:cs="Arial"/>
        </w:rPr>
        <w:t xml:space="preserve">. Additionally, </w:t>
      </w:r>
      <w:r w:rsidR="00AE797E" w:rsidRPr="000A53C0">
        <w:rPr>
          <w:rFonts w:cs="Arial"/>
        </w:rPr>
        <w:t>many workers in this industry are from a</w:t>
      </w:r>
      <w:r w:rsidR="000C3FA5" w:rsidRPr="000A53C0">
        <w:rPr>
          <w:rFonts w:cs="Arial"/>
        </w:rPr>
        <w:t xml:space="preserve"> </w:t>
      </w:r>
      <w:r w:rsidR="00B81F19" w:rsidRPr="000A53C0">
        <w:rPr>
          <w:rFonts w:cs="Arial"/>
        </w:rPr>
        <w:t xml:space="preserve">CALD </w:t>
      </w:r>
      <w:r w:rsidR="00AE797E" w:rsidRPr="000A53C0">
        <w:rPr>
          <w:rFonts w:cs="Arial"/>
        </w:rPr>
        <w:t>background</w:t>
      </w:r>
      <w:r w:rsidR="00DD3D49" w:rsidRPr="000A53C0">
        <w:rPr>
          <w:rFonts w:cs="Arial"/>
        </w:rPr>
        <w:t>.</w:t>
      </w:r>
      <w:r w:rsidR="00D90BBF" w:rsidRPr="000A53C0">
        <w:rPr>
          <w:rFonts w:cs="Arial"/>
        </w:rPr>
        <w:t xml:space="preserve"> More than half of </w:t>
      </w:r>
      <w:r w:rsidR="00B061CF" w:rsidRPr="000A53C0">
        <w:rPr>
          <w:rFonts w:cs="Arial"/>
        </w:rPr>
        <w:t xml:space="preserve">those workers </w:t>
      </w:r>
      <w:r w:rsidR="00F56274" w:rsidRPr="000A53C0">
        <w:rPr>
          <w:rFonts w:cs="Arial"/>
        </w:rPr>
        <w:t>diagnosed</w:t>
      </w:r>
      <w:r w:rsidR="00B061CF" w:rsidRPr="000A53C0">
        <w:rPr>
          <w:rFonts w:cs="Arial"/>
        </w:rPr>
        <w:t xml:space="preserve"> with silicosis in a recent study in Victoria </w:t>
      </w:r>
      <w:r w:rsidR="00E34780" w:rsidRPr="000A53C0">
        <w:rPr>
          <w:rFonts w:cs="Arial"/>
        </w:rPr>
        <w:t xml:space="preserve">had migrated to Australia </w:t>
      </w:r>
      <w:sdt>
        <w:sdtPr>
          <w:rPr>
            <w:rFonts w:cs="Arial"/>
          </w:rPr>
          <w:id w:val="307834722"/>
          <w:citation/>
        </w:sdtPr>
        <w:sdtEndPr/>
        <w:sdtContent>
          <w:r w:rsidR="00E34780" w:rsidRPr="000A53C0">
            <w:rPr>
              <w:rFonts w:cs="Arial"/>
            </w:rPr>
            <w:fldChar w:fldCharType="begin"/>
          </w:r>
          <w:r w:rsidR="00A74AA4" w:rsidRPr="000A53C0">
            <w:rPr>
              <w:rFonts w:cs="Arial"/>
            </w:rPr>
            <w:instrText xml:space="preserve">CITATION Hoy23 \l 3081 </w:instrText>
          </w:r>
          <w:r w:rsidR="00E34780" w:rsidRPr="000A53C0">
            <w:rPr>
              <w:rFonts w:cs="Arial"/>
            </w:rPr>
            <w:fldChar w:fldCharType="separate"/>
          </w:r>
          <w:r w:rsidR="001F7BAA" w:rsidRPr="000A53C0">
            <w:rPr>
              <w:rFonts w:cs="Arial"/>
              <w:noProof/>
            </w:rPr>
            <w:t>(Hoy, et al. 2023)</w:t>
          </w:r>
          <w:r w:rsidR="00E34780" w:rsidRPr="000A53C0">
            <w:rPr>
              <w:rFonts w:cs="Arial"/>
            </w:rPr>
            <w:fldChar w:fldCharType="end"/>
          </w:r>
        </w:sdtContent>
      </w:sdt>
      <w:r w:rsidR="00E34780" w:rsidRPr="000A53C0">
        <w:rPr>
          <w:rFonts w:cs="Arial"/>
        </w:rPr>
        <w:t>.</w:t>
      </w:r>
      <w:r w:rsidR="00DD3D49" w:rsidRPr="000A53C0">
        <w:rPr>
          <w:rFonts w:cs="Arial"/>
        </w:rPr>
        <w:t xml:space="preserve"> </w:t>
      </w:r>
      <w:r w:rsidR="00B81F19" w:rsidRPr="000A53C0">
        <w:rPr>
          <w:rFonts w:cs="Arial"/>
        </w:rPr>
        <w:t xml:space="preserve">CALD </w:t>
      </w:r>
      <w:r w:rsidR="00AE797E" w:rsidRPr="000A53C0">
        <w:rPr>
          <w:rFonts w:cs="Arial"/>
        </w:rPr>
        <w:t xml:space="preserve">workers are at increased risk of occupational disease more broadly </w:t>
      </w:r>
      <w:sdt>
        <w:sdtPr>
          <w:rPr>
            <w:rFonts w:cs="Arial"/>
          </w:rPr>
          <w:id w:val="-600029957"/>
          <w:citation/>
        </w:sdtPr>
        <w:sdtEndPr/>
        <w:sdtContent>
          <w:r w:rsidR="00AE797E" w:rsidRPr="000A53C0">
            <w:rPr>
              <w:rFonts w:cs="Arial"/>
            </w:rPr>
            <w:fldChar w:fldCharType="begin"/>
          </w:r>
          <w:r w:rsidR="00A74AA4" w:rsidRPr="000A53C0">
            <w:rPr>
              <w:rFonts w:cs="Arial"/>
            </w:rPr>
            <w:instrText xml:space="preserve">CITATION Har19 \l 3081 </w:instrText>
          </w:r>
          <w:r w:rsidR="00AE797E" w:rsidRPr="000A53C0">
            <w:rPr>
              <w:rFonts w:cs="Arial"/>
            </w:rPr>
            <w:fldChar w:fldCharType="separate"/>
          </w:r>
          <w:r w:rsidR="001F7BAA" w:rsidRPr="000A53C0">
            <w:rPr>
              <w:rFonts w:cs="Arial"/>
              <w:noProof/>
            </w:rPr>
            <w:t>(Hargreaves, et al. 2019)</w:t>
          </w:r>
          <w:r w:rsidR="00AE797E" w:rsidRPr="000A53C0">
            <w:rPr>
              <w:rFonts w:cs="Arial"/>
            </w:rPr>
            <w:fldChar w:fldCharType="end"/>
          </w:r>
        </w:sdtContent>
      </w:sdt>
      <w:r w:rsidR="00AF02D1" w:rsidRPr="000A53C0">
        <w:rPr>
          <w:rFonts w:cs="Arial"/>
        </w:rPr>
        <w:t>, and a recent case study of silicosis in engineered stone workers in California highlight</w:t>
      </w:r>
      <w:r w:rsidR="003C1F15" w:rsidRPr="000A53C0">
        <w:rPr>
          <w:rFonts w:cs="Arial"/>
        </w:rPr>
        <w:t>s</w:t>
      </w:r>
      <w:r w:rsidR="00AF02D1" w:rsidRPr="000A53C0">
        <w:rPr>
          <w:rFonts w:cs="Arial"/>
        </w:rPr>
        <w:t xml:space="preserve"> </w:t>
      </w:r>
      <w:r w:rsidR="007F1576" w:rsidRPr="000A53C0">
        <w:rPr>
          <w:rFonts w:cs="Arial"/>
        </w:rPr>
        <w:t>this issue</w:t>
      </w:r>
      <w:sdt>
        <w:sdtPr>
          <w:rPr>
            <w:rFonts w:cs="Arial"/>
          </w:rPr>
          <w:id w:val="9968183"/>
          <w:citation/>
        </w:sdtPr>
        <w:sdtEndPr/>
        <w:sdtContent>
          <w:r w:rsidR="00790639" w:rsidRPr="000A53C0">
            <w:rPr>
              <w:rFonts w:cs="Arial"/>
            </w:rPr>
            <w:fldChar w:fldCharType="begin"/>
          </w:r>
          <w:r w:rsidR="00A74AA4" w:rsidRPr="000A53C0">
            <w:rPr>
              <w:rFonts w:cs="Arial"/>
            </w:rPr>
            <w:instrText xml:space="preserve">CITATION Fazio2023 \l 3081 </w:instrText>
          </w:r>
          <w:r w:rsidR="00790639" w:rsidRPr="000A53C0">
            <w:rPr>
              <w:rFonts w:cs="Arial"/>
            </w:rPr>
            <w:fldChar w:fldCharType="separate"/>
          </w:r>
          <w:r w:rsidR="001F7BAA" w:rsidRPr="000A53C0">
            <w:rPr>
              <w:rFonts w:cs="Arial"/>
              <w:noProof/>
            </w:rPr>
            <w:t xml:space="preserve"> (Fazio, Gandhi and Flattery 2023)</w:t>
          </w:r>
          <w:r w:rsidR="00790639" w:rsidRPr="000A53C0">
            <w:rPr>
              <w:rFonts w:cs="Arial"/>
            </w:rPr>
            <w:fldChar w:fldCharType="end"/>
          </w:r>
        </w:sdtContent>
      </w:sdt>
      <w:sdt>
        <w:sdtPr>
          <w:rPr>
            <w:rFonts w:cs="Arial"/>
          </w:rPr>
          <w:id w:val="500787459"/>
          <w:citation/>
        </w:sdtPr>
        <w:sdtEndPr/>
        <w:sdtContent>
          <w:r w:rsidR="00790639" w:rsidRPr="000A53C0">
            <w:rPr>
              <w:rFonts w:cs="Arial"/>
            </w:rPr>
            <w:fldChar w:fldCharType="begin"/>
          </w:r>
          <w:r w:rsidR="00A74AA4" w:rsidRPr="000A53C0">
            <w:rPr>
              <w:rFonts w:cs="Arial"/>
            </w:rPr>
            <w:instrText xml:space="preserve">CITATION Hua2023 \l 3081 </w:instrText>
          </w:r>
          <w:r w:rsidR="00790639" w:rsidRPr="000A53C0">
            <w:rPr>
              <w:rFonts w:cs="Arial"/>
            </w:rPr>
            <w:fldChar w:fldCharType="separate"/>
          </w:r>
          <w:r w:rsidR="001F7BAA" w:rsidRPr="000A53C0">
            <w:rPr>
              <w:rFonts w:cs="Arial"/>
              <w:noProof/>
            </w:rPr>
            <w:t xml:space="preserve"> (Hua, Rose and Redlich 2023)</w:t>
          </w:r>
          <w:r w:rsidR="00790639" w:rsidRPr="000A53C0">
            <w:rPr>
              <w:rFonts w:cs="Arial"/>
            </w:rPr>
            <w:fldChar w:fldCharType="end"/>
          </w:r>
        </w:sdtContent>
      </w:sdt>
      <w:r w:rsidR="00317389" w:rsidRPr="000A53C0">
        <w:rPr>
          <w:rFonts w:cs="Arial"/>
        </w:rPr>
        <w:t xml:space="preserve">. </w:t>
      </w:r>
      <w:r w:rsidR="000D52AF" w:rsidRPr="000A53C0">
        <w:rPr>
          <w:rFonts w:cs="Arial"/>
        </w:rPr>
        <w:t>PCBUs</w:t>
      </w:r>
      <w:r w:rsidR="00317389" w:rsidRPr="000A53C0">
        <w:rPr>
          <w:rFonts w:cs="Arial"/>
        </w:rPr>
        <w:t xml:space="preserve"> need </w:t>
      </w:r>
      <w:r w:rsidR="000D52AF" w:rsidRPr="000A53C0">
        <w:rPr>
          <w:rFonts w:cs="Arial"/>
        </w:rPr>
        <w:t xml:space="preserve">to ensure </w:t>
      </w:r>
      <w:r w:rsidR="00317389" w:rsidRPr="000A53C0">
        <w:rPr>
          <w:rFonts w:cs="Arial"/>
        </w:rPr>
        <w:t xml:space="preserve">culturally </w:t>
      </w:r>
      <w:r w:rsidR="000D52AF" w:rsidRPr="000A53C0">
        <w:rPr>
          <w:rFonts w:cs="Arial"/>
        </w:rPr>
        <w:t>and linguistically appropriate WHS training</w:t>
      </w:r>
      <w:r w:rsidR="00260A01" w:rsidRPr="000A53C0">
        <w:rPr>
          <w:rFonts w:cs="Arial"/>
        </w:rPr>
        <w:t xml:space="preserve">. The language diversity in engineered stone businesses in Australia is well understood, with one third of engineered stone businesses in NSW using a language other than English on the shop floor, with </w:t>
      </w:r>
      <w:r w:rsidR="00B81F19" w:rsidRPr="000A53C0">
        <w:rPr>
          <w:rFonts w:cs="Arial"/>
        </w:rPr>
        <w:t xml:space="preserve">Mandarin </w:t>
      </w:r>
      <w:r w:rsidR="00260A01" w:rsidRPr="000A53C0">
        <w:rPr>
          <w:rFonts w:cs="Arial"/>
        </w:rPr>
        <w:t xml:space="preserve">being </w:t>
      </w:r>
      <w:r w:rsidR="00AE797E" w:rsidRPr="000A53C0">
        <w:rPr>
          <w:rFonts w:cs="Arial"/>
        </w:rPr>
        <w:t>the most common language</w:t>
      </w:r>
      <w:r w:rsidR="00AA4A87" w:rsidRPr="000A53C0">
        <w:rPr>
          <w:rFonts w:cs="Arial"/>
        </w:rPr>
        <w:t xml:space="preserve"> </w:t>
      </w:r>
      <w:sdt>
        <w:sdtPr>
          <w:rPr>
            <w:rFonts w:cs="Arial"/>
          </w:rPr>
          <w:id w:val="-40208445"/>
          <w:citation/>
        </w:sdtPr>
        <w:sdtEndPr/>
        <w:sdtContent>
          <w:r w:rsidR="00AA4A87" w:rsidRPr="000A53C0">
            <w:rPr>
              <w:rFonts w:cs="Arial"/>
            </w:rPr>
            <w:fldChar w:fldCharType="begin"/>
          </w:r>
          <w:r w:rsidR="00D04C91" w:rsidRPr="000A53C0">
            <w:rPr>
              <w:rFonts w:cs="Arial"/>
            </w:rPr>
            <w:instrText xml:space="preserve">CITATION Aus23 \l 3081 </w:instrText>
          </w:r>
          <w:r w:rsidR="00AA4A87" w:rsidRPr="000A53C0">
            <w:rPr>
              <w:rFonts w:cs="Arial"/>
            </w:rPr>
            <w:fldChar w:fldCharType="separate"/>
          </w:r>
          <w:r w:rsidR="001F7BAA" w:rsidRPr="000A53C0">
            <w:rPr>
              <w:rFonts w:cs="Arial"/>
              <w:noProof/>
            </w:rPr>
            <w:t>(Australian Institute of Occupational Hygienists 2023)</w:t>
          </w:r>
          <w:r w:rsidR="00AA4A87" w:rsidRPr="000A53C0">
            <w:rPr>
              <w:rFonts w:cs="Arial"/>
            </w:rPr>
            <w:fldChar w:fldCharType="end"/>
          </w:r>
        </w:sdtContent>
      </w:sdt>
      <w:r w:rsidR="00AA4A87" w:rsidRPr="000A53C0">
        <w:rPr>
          <w:rFonts w:cs="Arial"/>
        </w:rPr>
        <w:t>.</w:t>
      </w:r>
    </w:p>
    <w:p w14:paraId="2D250514" w14:textId="00F0DD7A" w:rsidR="00DD6E5A" w:rsidRPr="000A53C0" w:rsidRDefault="00856033" w:rsidP="00DD6E5A">
      <w:pPr>
        <w:pStyle w:val="BodyText"/>
        <w:rPr>
          <w:rFonts w:cs="Arial"/>
        </w:rPr>
      </w:pPr>
      <w:r w:rsidRPr="000A53C0">
        <w:rPr>
          <w:rFonts w:cs="Arial"/>
        </w:rPr>
        <w:t xml:space="preserve">There is evidence </w:t>
      </w:r>
      <w:r w:rsidR="00780E28" w:rsidRPr="000A53C0">
        <w:rPr>
          <w:rFonts w:cs="Arial"/>
        </w:rPr>
        <w:t xml:space="preserve">of </w:t>
      </w:r>
      <w:r w:rsidR="00DD6E5A" w:rsidRPr="000A53C0">
        <w:rPr>
          <w:rFonts w:cs="Arial"/>
        </w:rPr>
        <w:t xml:space="preserve">lack of industry awareness of the risks of engineered stone. </w:t>
      </w:r>
      <w:r w:rsidR="006450CD" w:rsidRPr="000A53C0">
        <w:rPr>
          <w:rFonts w:cs="Arial"/>
        </w:rPr>
        <w:t>PCBUs in the engineered stone industry</w:t>
      </w:r>
      <w:r w:rsidR="00A2100C" w:rsidRPr="000A53C0">
        <w:rPr>
          <w:rFonts w:cs="Arial"/>
        </w:rPr>
        <w:t xml:space="preserve"> had limited awareness of the risks of </w:t>
      </w:r>
      <w:r w:rsidR="00DD6E5A" w:rsidRPr="000A53C0">
        <w:rPr>
          <w:rFonts w:cs="Arial"/>
        </w:rPr>
        <w:t xml:space="preserve">workplace exposure to the dust from </w:t>
      </w:r>
      <w:r w:rsidR="00A2100C" w:rsidRPr="000A53C0">
        <w:rPr>
          <w:rFonts w:cs="Arial"/>
        </w:rPr>
        <w:t>engineered stone</w:t>
      </w:r>
      <w:r w:rsidR="00DD6E5A" w:rsidRPr="000A53C0">
        <w:rPr>
          <w:rFonts w:cs="Arial"/>
        </w:rPr>
        <w:t>. They also lacked awareness of</w:t>
      </w:r>
      <w:r w:rsidR="00A2100C" w:rsidRPr="000A53C0">
        <w:rPr>
          <w:rFonts w:cs="Arial"/>
        </w:rPr>
        <w:t xml:space="preserve"> their duties to manage those risks, including to assess the risks and implement the necessary control measures to keep their workers safe. </w:t>
      </w:r>
      <w:r w:rsidR="00DD6E5A" w:rsidRPr="000A53C0">
        <w:rPr>
          <w:rFonts w:cs="Arial"/>
        </w:rPr>
        <w:t xml:space="preserve">The small size of many fabrication businesses (less than 20 employees) means they may also have less ability to invest in automation and other technology to minimise risks, with a resultant increase in </w:t>
      </w:r>
      <w:r w:rsidR="002E10CD" w:rsidRPr="000A53C0">
        <w:rPr>
          <w:rFonts w:cs="Arial"/>
        </w:rPr>
        <w:t xml:space="preserve">the use of </w:t>
      </w:r>
      <w:r w:rsidR="00DD6E5A" w:rsidRPr="000A53C0">
        <w:rPr>
          <w:rFonts w:cs="Arial"/>
        </w:rPr>
        <w:t>handh</w:t>
      </w:r>
      <w:r w:rsidR="002E10CD" w:rsidRPr="000A53C0">
        <w:rPr>
          <w:rFonts w:cs="Arial"/>
        </w:rPr>
        <w:t>e</w:t>
      </w:r>
      <w:r w:rsidR="00DD6E5A" w:rsidRPr="000A53C0">
        <w:rPr>
          <w:rFonts w:cs="Arial"/>
        </w:rPr>
        <w:t>ld tools, which is likely to lead to increased worker exposure</w:t>
      </w:r>
      <w:r w:rsidR="002E10CD" w:rsidRPr="000A53C0">
        <w:rPr>
          <w:rFonts w:cs="Arial"/>
        </w:rPr>
        <w:t xml:space="preserve"> to RCS</w:t>
      </w:r>
      <w:r w:rsidR="00DD6E5A" w:rsidRPr="000A53C0">
        <w:rPr>
          <w:rFonts w:cs="Arial"/>
        </w:rPr>
        <w:t xml:space="preserve">.  </w:t>
      </w:r>
    </w:p>
    <w:p w14:paraId="76915CF4" w14:textId="232A5728" w:rsidR="00A2100C" w:rsidRPr="000A53C0" w:rsidRDefault="00A2100C" w:rsidP="00A91187">
      <w:pPr>
        <w:pStyle w:val="BodyText"/>
        <w:rPr>
          <w:rFonts w:cs="Arial"/>
        </w:rPr>
      </w:pPr>
      <w:r w:rsidRPr="000A53C0">
        <w:rPr>
          <w:rFonts w:cs="Arial"/>
        </w:rPr>
        <w:t xml:space="preserve">Workers too were often unaware of those risks and </w:t>
      </w:r>
      <w:r w:rsidR="003D6251" w:rsidRPr="000A53C0">
        <w:rPr>
          <w:rFonts w:cs="Arial"/>
        </w:rPr>
        <w:t xml:space="preserve">their PCBU’s </w:t>
      </w:r>
      <w:r w:rsidRPr="000A53C0">
        <w:rPr>
          <w:rFonts w:cs="Arial"/>
        </w:rPr>
        <w:t xml:space="preserve">duties, </w:t>
      </w:r>
      <w:r w:rsidR="003D6251" w:rsidRPr="000A53C0">
        <w:rPr>
          <w:rFonts w:cs="Arial"/>
        </w:rPr>
        <w:t xml:space="preserve">as well as </w:t>
      </w:r>
      <w:r w:rsidRPr="000A53C0">
        <w:rPr>
          <w:rFonts w:cs="Arial"/>
        </w:rPr>
        <w:t>their rights and responsibilities.</w:t>
      </w:r>
    </w:p>
    <w:p w14:paraId="0D43373C" w14:textId="21148DAD" w:rsidR="00490482" w:rsidRPr="000A53C0" w:rsidRDefault="53A0B94E" w:rsidP="00A91187">
      <w:pPr>
        <w:pStyle w:val="BodyText"/>
        <w:rPr>
          <w:rFonts w:cs="Arial"/>
        </w:rPr>
      </w:pPr>
      <w:r w:rsidRPr="000A53C0">
        <w:rPr>
          <w:rFonts w:cs="Arial"/>
        </w:rPr>
        <w:t xml:space="preserve">The nature of the engineered stone industry and the </w:t>
      </w:r>
      <w:r w:rsidR="00C05678" w:rsidRPr="000A53C0">
        <w:rPr>
          <w:rFonts w:cs="Arial"/>
        </w:rPr>
        <w:t xml:space="preserve">associated </w:t>
      </w:r>
      <w:r w:rsidRPr="000A53C0">
        <w:rPr>
          <w:rFonts w:cs="Arial"/>
        </w:rPr>
        <w:t>workforce also means that s</w:t>
      </w:r>
      <w:r w:rsidR="7ED0C19B" w:rsidRPr="000A53C0">
        <w:rPr>
          <w:rFonts w:cs="Arial"/>
        </w:rPr>
        <w:t>ome of the mechanisms in the model WHS laws that assist to better manage health and safety risks in workplaces were</w:t>
      </w:r>
      <w:r w:rsidR="00407B0D" w:rsidRPr="000A53C0">
        <w:rPr>
          <w:rFonts w:cs="Arial"/>
        </w:rPr>
        <w:t xml:space="preserve"> also</w:t>
      </w:r>
      <w:r w:rsidR="7ED0C19B" w:rsidRPr="000A53C0">
        <w:rPr>
          <w:rFonts w:cs="Arial"/>
        </w:rPr>
        <w:t xml:space="preserve"> less likely to be present. For example, there is unlikely to be a</w:t>
      </w:r>
      <w:r w:rsidR="00F7711C" w:rsidRPr="000A53C0">
        <w:rPr>
          <w:rFonts w:cs="Arial"/>
        </w:rPr>
        <w:t>n</w:t>
      </w:r>
      <w:r w:rsidR="7ED0C19B" w:rsidRPr="000A53C0">
        <w:rPr>
          <w:rFonts w:cs="Arial"/>
        </w:rPr>
        <w:t xml:space="preserve"> HSR or a health and safety committee at these workplaces. Where present, an HSR or a health and safety committee can monitor compliance with the WHS laws and raise concerns about risks to health and safety in the business.</w:t>
      </w:r>
    </w:p>
    <w:p w14:paraId="68223705" w14:textId="43D37452" w:rsidR="004339C5" w:rsidRPr="000A53C0" w:rsidRDefault="00396987" w:rsidP="00514CCB">
      <w:pPr>
        <w:pStyle w:val="Heading2numbered"/>
      </w:pPr>
      <w:bookmarkStart w:id="69" w:name="_Toc142991326"/>
      <w:r w:rsidRPr="000A53C0">
        <w:t>Silicosis d</w:t>
      </w:r>
      <w:r w:rsidR="004339C5" w:rsidRPr="000A53C0">
        <w:t>isease onset and profile differs in engineered stone workers</w:t>
      </w:r>
      <w:bookmarkEnd w:id="69"/>
    </w:p>
    <w:p w14:paraId="03A59D20" w14:textId="6F0C428E" w:rsidR="004339C5" w:rsidRPr="000A53C0" w:rsidRDefault="004339C5" w:rsidP="004339C5">
      <w:pPr>
        <w:pStyle w:val="BodyText"/>
        <w:rPr>
          <w:rFonts w:cs="Arial"/>
        </w:rPr>
      </w:pPr>
      <w:r w:rsidRPr="000A53C0">
        <w:rPr>
          <w:rFonts w:cs="Arial"/>
        </w:rPr>
        <w:t>Silicosis from</w:t>
      </w:r>
      <w:r w:rsidR="00260161" w:rsidRPr="000A53C0">
        <w:rPr>
          <w:rFonts w:cs="Arial"/>
        </w:rPr>
        <w:t xml:space="preserve"> exposure to dust from</w:t>
      </w:r>
      <w:r w:rsidRPr="000A53C0">
        <w:rPr>
          <w:rFonts w:cs="Arial"/>
        </w:rPr>
        <w:t xml:space="preserve"> engineered stone is associated with shorter duration of exposure prior to onset of symptoms and diagnosis; more rapid disease progression and higher mortality </w:t>
      </w:r>
      <w:sdt>
        <w:sdtPr>
          <w:rPr>
            <w:rFonts w:cs="Arial"/>
          </w:rPr>
          <w:id w:val="583040813"/>
          <w:citation/>
        </w:sdtPr>
        <w:sdtEndPr/>
        <w:sdtContent>
          <w:r w:rsidRPr="000A53C0">
            <w:rPr>
              <w:rFonts w:cs="Arial"/>
            </w:rPr>
            <w:fldChar w:fldCharType="begin"/>
          </w:r>
          <w:r w:rsidR="00A74AA4" w:rsidRPr="000A53C0">
            <w:rPr>
              <w:rFonts w:cs="Arial"/>
            </w:rPr>
            <w:instrText xml:space="preserve">CITATION Hoy23 \l 3081 </w:instrText>
          </w:r>
          <w:r w:rsidRPr="000A53C0">
            <w:rPr>
              <w:rFonts w:cs="Arial"/>
            </w:rPr>
            <w:fldChar w:fldCharType="separate"/>
          </w:r>
          <w:r w:rsidR="001F7BAA" w:rsidRPr="000A53C0">
            <w:rPr>
              <w:rFonts w:cs="Arial"/>
              <w:noProof/>
            </w:rPr>
            <w:t>(Hoy, et al. 2023)</w:t>
          </w:r>
          <w:r w:rsidRPr="000A53C0">
            <w:rPr>
              <w:rFonts w:cs="Arial"/>
            </w:rPr>
            <w:fldChar w:fldCharType="end"/>
          </w:r>
        </w:sdtContent>
      </w:sdt>
      <w:sdt>
        <w:sdtPr>
          <w:rPr>
            <w:rFonts w:cs="Arial"/>
          </w:rPr>
          <w:id w:val="509960758"/>
          <w:citation/>
        </w:sdtPr>
        <w:sdtEndPr/>
        <w:sdtContent>
          <w:r w:rsidRPr="000A53C0">
            <w:rPr>
              <w:rFonts w:cs="Arial"/>
            </w:rPr>
            <w:fldChar w:fldCharType="begin"/>
          </w:r>
          <w:r w:rsidR="00A74AA4" w:rsidRPr="000A53C0">
            <w:rPr>
              <w:rFonts w:cs="Arial"/>
            </w:rPr>
            <w:instrText xml:space="preserve">CITATION WuN20 \l 3081 </w:instrText>
          </w:r>
          <w:r w:rsidRPr="000A53C0">
            <w:rPr>
              <w:rFonts w:cs="Arial"/>
            </w:rPr>
            <w:fldChar w:fldCharType="separate"/>
          </w:r>
          <w:r w:rsidR="001F7BAA" w:rsidRPr="000A53C0">
            <w:rPr>
              <w:rFonts w:cs="Arial"/>
              <w:noProof/>
            </w:rPr>
            <w:t xml:space="preserve"> (Wu, Xue and Yu 2020)</w:t>
          </w:r>
          <w:r w:rsidRPr="000A53C0">
            <w:rPr>
              <w:rFonts w:cs="Arial"/>
            </w:rPr>
            <w:fldChar w:fldCharType="end"/>
          </w:r>
        </w:sdtContent>
      </w:sdt>
      <w:r w:rsidR="00344822" w:rsidRPr="000A53C0">
        <w:rPr>
          <w:rFonts w:cs="Arial"/>
        </w:rPr>
        <w:t xml:space="preserve"> </w:t>
      </w:r>
      <w:sdt>
        <w:sdtPr>
          <w:rPr>
            <w:rFonts w:cs="Arial"/>
          </w:rPr>
          <w:id w:val="-677035773"/>
          <w:citation/>
        </w:sdtPr>
        <w:sdtEndPr/>
        <w:sdtContent>
          <w:r w:rsidR="00344822" w:rsidRPr="000A53C0">
            <w:rPr>
              <w:rFonts w:cs="Arial"/>
            </w:rPr>
            <w:fldChar w:fldCharType="begin"/>
          </w:r>
          <w:r w:rsidR="00A74AA4" w:rsidRPr="000A53C0">
            <w:rPr>
              <w:rFonts w:cs="Arial"/>
            </w:rPr>
            <w:instrText xml:space="preserve">CITATION Fazio2023 \l 3081 </w:instrText>
          </w:r>
          <w:r w:rsidR="00344822" w:rsidRPr="000A53C0">
            <w:rPr>
              <w:rFonts w:cs="Arial"/>
            </w:rPr>
            <w:fldChar w:fldCharType="separate"/>
          </w:r>
          <w:r w:rsidR="001F7BAA" w:rsidRPr="000A53C0">
            <w:rPr>
              <w:rFonts w:cs="Arial"/>
              <w:noProof/>
            </w:rPr>
            <w:t>(Fazio, Gandhi and Flattery 2023)</w:t>
          </w:r>
          <w:r w:rsidR="00344822" w:rsidRPr="000A53C0">
            <w:rPr>
              <w:rFonts w:cs="Arial"/>
            </w:rPr>
            <w:fldChar w:fldCharType="end"/>
          </w:r>
        </w:sdtContent>
      </w:sdt>
      <w:r w:rsidRPr="000A53C0">
        <w:rPr>
          <w:rFonts w:cs="Arial"/>
        </w:rPr>
        <w:t>.</w:t>
      </w:r>
      <w:r w:rsidR="00260161" w:rsidRPr="000A53C0">
        <w:rPr>
          <w:rFonts w:cs="Arial"/>
        </w:rPr>
        <w:t xml:space="preserve"> </w:t>
      </w:r>
      <w:r w:rsidR="00357A0A" w:rsidRPr="000A53C0">
        <w:rPr>
          <w:rFonts w:cs="Arial"/>
        </w:rPr>
        <w:t xml:space="preserve">This has been suggested to </w:t>
      </w:r>
      <w:r w:rsidR="00260161" w:rsidRPr="000A53C0">
        <w:rPr>
          <w:rFonts w:cs="Arial"/>
        </w:rPr>
        <w:t>be due to different nature of RCS in engineered stone and/or the effects of other components</w:t>
      </w:r>
      <w:r w:rsidR="00357A0A" w:rsidRPr="000A53C0">
        <w:rPr>
          <w:rFonts w:cs="Arial"/>
        </w:rPr>
        <w:t xml:space="preserve"> in the engineered sto</w:t>
      </w:r>
      <w:r w:rsidR="00EA2C51" w:rsidRPr="000A53C0">
        <w:rPr>
          <w:rFonts w:cs="Arial"/>
        </w:rPr>
        <w:t>n</w:t>
      </w:r>
      <w:r w:rsidR="00357A0A" w:rsidRPr="000A53C0">
        <w:rPr>
          <w:rFonts w:cs="Arial"/>
        </w:rPr>
        <w:t>e</w:t>
      </w:r>
      <w:r w:rsidR="00260161" w:rsidRPr="000A53C0">
        <w:rPr>
          <w:rFonts w:cs="Arial"/>
        </w:rPr>
        <w:t>, such as resins</w:t>
      </w:r>
      <w:r w:rsidR="00EA2C51" w:rsidRPr="000A53C0">
        <w:rPr>
          <w:rFonts w:cs="Arial"/>
        </w:rPr>
        <w:t>, pigments and metals</w:t>
      </w:r>
      <w:r w:rsidR="00260161" w:rsidRPr="000A53C0">
        <w:rPr>
          <w:rFonts w:cs="Arial"/>
        </w:rPr>
        <w:t xml:space="preserve">. </w:t>
      </w:r>
    </w:p>
    <w:p w14:paraId="50030A6D" w14:textId="371BFE7B" w:rsidR="004339C5" w:rsidRPr="000A53C0" w:rsidRDefault="004339C5" w:rsidP="00623587">
      <w:pPr>
        <w:pStyle w:val="BodyText"/>
        <w:rPr>
          <w:rFonts w:cs="Arial"/>
        </w:rPr>
      </w:pPr>
      <w:r w:rsidRPr="000A53C0">
        <w:rPr>
          <w:rFonts w:cs="Arial"/>
        </w:rPr>
        <w:t>Diagnosis of silicosis in workers employed in the stone benchtop industry in Victoria correlates with assessed exposure</w:t>
      </w:r>
      <w:r w:rsidR="00847E28" w:rsidRPr="000A53C0">
        <w:rPr>
          <w:rFonts w:cs="Arial"/>
        </w:rPr>
        <w:t xml:space="preserve"> </w:t>
      </w:r>
      <w:r w:rsidR="00C458A7">
        <w:rPr>
          <w:rFonts w:cs="Arial"/>
        </w:rPr>
        <w:t>–</w:t>
      </w:r>
      <w:r w:rsidR="00847E28" w:rsidRPr="000A53C0">
        <w:rPr>
          <w:rFonts w:cs="Arial"/>
        </w:rPr>
        <w:t xml:space="preserve"> </w:t>
      </w:r>
      <w:r w:rsidRPr="000A53C0">
        <w:rPr>
          <w:rFonts w:cs="Arial"/>
        </w:rPr>
        <w:t xml:space="preserve">30% of workers who assessed their exposure to stone dust as high to very high were diagnosed with silicosis, compared to 11% with low or medium exposure </w:t>
      </w:r>
      <w:r w:rsidR="002051CF" w:rsidRPr="000A53C0">
        <w:rPr>
          <w:rFonts w:cs="Arial"/>
        </w:rPr>
        <w:t>(</w:t>
      </w:r>
      <w:r w:rsidRPr="000A53C0">
        <w:rPr>
          <w:rFonts w:cs="Arial"/>
        </w:rPr>
        <w:t>Hoy RF 2023).</w:t>
      </w:r>
    </w:p>
    <w:p w14:paraId="4F137B73" w14:textId="18F53DB4" w:rsidR="00344822" w:rsidRPr="000A53C0" w:rsidRDefault="004339C5" w:rsidP="00623587">
      <w:pPr>
        <w:pStyle w:val="BodyText"/>
        <w:rPr>
          <w:rFonts w:cs="Arial"/>
        </w:rPr>
      </w:pPr>
      <w:r w:rsidRPr="000A53C0">
        <w:rPr>
          <w:rFonts w:cs="Arial"/>
        </w:rPr>
        <w:lastRenderedPageBreak/>
        <w:t xml:space="preserve">The first cases of silicosis in Australian engineered stone fabricators were reported in 2015 </w:t>
      </w:r>
      <w:r w:rsidRPr="000A53C0">
        <w:rPr>
          <w:rFonts w:cs="Arial"/>
        </w:rPr>
        <w:fldChar w:fldCharType="begin"/>
      </w:r>
      <w:r w:rsidRPr="000A53C0">
        <w:rPr>
          <w:rFonts w:cs="Arial"/>
        </w:rPr>
        <w:instrText xml:space="preserve"> ADDIN ZOTERO_ITEM CSL_CITATION {"citationID":"1PTbPH7P","properties":{"formattedCitation":"(Frankel et al. 2015)","plainCitation":"(Frankel et al. 2015)","noteIndex":0},"citationItems":[{"id":839,"uris":["http://zotero.org/users/6230888/items/Q46HV4R5"],"itemData":{"id":839,"type":"article-journal","abstract":"Regulations to control of exposure to silica have existed in Australia since the 1930s, but hazard awareness is imperfect. To highlight the dangers of exposure to respirable silica dust, we describe a case of silicosis in a 52 year man whose exposure to silica was cutting and polishing engineered stone kitchen and bathroom countertops. The man presented with breathlessness, later complicated by bilateral spontaneous pneumothoraces requiring tube thoracostomies, and now requires lung transplantation. An Australian man worked as a stone cutter for &gt;20 years. Conditions were dusty. He used a paper mask irregularly in the later years. There was no health screening and only minimal dust extraction measures. He smoked 20 cpd for 20 years. He noticed breathless and cough in 2006 and was diagnosed with emphysema; after haemoptysis he was referred for specialist advice and tuberculosis was excluded. Lung function showed severe airflow obstruction with gas trapping and a DLCO of 40% predicted. A lung biopsy confirmed silicosis. CT is shown.\n&lt;img class=\"highwire-fragment fragment-image\" alt=\"Figure\" src=\"https://erj.ersjournals.com/content/erj/46/suppl_59/PA1144/F1.medium.gif\"/&gt;Download figureOpen in new tabDownload powerpoint\nHe subsequently presented with bilateral non-contemporaneous pneumothoraces. This is the first case of silicosis associated with engineered stone described from Australia. This shows that silicosis still occurs despite occupational health &amp; safety regulations in developed countries. Such regulations are only as good as their implementation.","container-title":"European Respiratory Journal","DOI":"10.1183/13993003.congress-2015.PA1144","ISSN":"0903-1936, 1399-3003","issue":"suppl 59","language":"en","note":"publisher: European Respiratory Society\nsection: 6.2 Occupational and Environmental Health","source":"erj.ersjournals.com","title":"LATE-BREAKING ABSTRACT: Complicated silicosis in an Australian worker from cutting engineered stone countertops: An embarrassing first for Australia","title-short":"LATE-BREAKING ABSTRACT","URL":"https://erj.ersjournals.com/content/46/suppl_59/PA1144","volume":"46","author":[{"family":"Frankel","given":"Anthony"},{"family":"Blake","given":"Lucinda"},{"family":"Yates","given":"Deborah"}],"accessed":{"date-parts":[["2022",6,24]]},"issued":{"date-parts":[["2015"]]}}}],"schema":"https://github.com/citation-style-language/schema/raw/master/csl-citation.json"} </w:instrText>
      </w:r>
      <w:r w:rsidRPr="000A53C0">
        <w:rPr>
          <w:rFonts w:cs="Arial"/>
        </w:rPr>
        <w:fldChar w:fldCharType="separate"/>
      </w:r>
      <w:r w:rsidRPr="000A53C0">
        <w:rPr>
          <w:rFonts w:cs="Arial"/>
        </w:rPr>
        <w:t>(Frankel et al. 2015)</w:t>
      </w:r>
      <w:r w:rsidRPr="000A53C0">
        <w:rPr>
          <w:rFonts w:cs="Arial"/>
        </w:rPr>
        <w:fldChar w:fldCharType="end"/>
      </w:r>
      <w:r w:rsidRPr="000A53C0">
        <w:rPr>
          <w:rFonts w:cs="Arial"/>
        </w:rPr>
        <w:t xml:space="preserve">. Subsequent health screening of stonemasons and other engineered stone workers has revealed a high prevalence of silicosis in this cohort of workers. </w:t>
      </w:r>
    </w:p>
    <w:p w14:paraId="19B1121E" w14:textId="2C8BE025" w:rsidR="00E3794D" w:rsidRPr="000A53C0" w:rsidRDefault="00DD135E" w:rsidP="00623587">
      <w:pPr>
        <w:pStyle w:val="BodyText"/>
        <w:rPr>
          <w:rFonts w:cs="Arial"/>
        </w:rPr>
      </w:pPr>
      <w:r w:rsidRPr="000A53C0">
        <w:rPr>
          <w:rFonts w:cs="Arial"/>
        </w:rPr>
        <w:t xml:space="preserve">As detailed in </w:t>
      </w:r>
      <w:r w:rsidR="0073448F">
        <w:rPr>
          <w:rFonts w:cs="Arial"/>
        </w:rPr>
        <w:t>S</w:t>
      </w:r>
      <w:r w:rsidRPr="000A53C0">
        <w:rPr>
          <w:rFonts w:cs="Arial"/>
        </w:rPr>
        <w:t>ection 2 of the Silica D</w:t>
      </w:r>
      <w:r w:rsidR="00893DAF" w:rsidRPr="000A53C0">
        <w:rPr>
          <w:rFonts w:cs="Arial"/>
        </w:rPr>
        <w:t xml:space="preserve">ecision </w:t>
      </w:r>
      <w:r w:rsidRPr="000A53C0">
        <w:rPr>
          <w:rFonts w:cs="Arial"/>
        </w:rPr>
        <w:t>RIS, h</w:t>
      </w:r>
      <w:r w:rsidR="002637E0" w:rsidRPr="000A53C0">
        <w:rPr>
          <w:rFonts w:cs="Arial"/>
        </w:rPr>
        <w:t>ealth screening programs carried out by state and territory WHS regulators and health authorities since 2018 have determined that of the 4,743 stonemasons and engineered stone workers screened, approximately 11</w:t>
      </w:r>
      <w:r w:rsidR="00406098">
        <w:rPr>
          <w:rFonts w:cs="Arial"/>
        </w:rPr>
        <w:t xml:space="preserve">% </w:t>
      </w:r>
      <w:r w:rsidR="002637E0" w:rsidRPr="000A53C0">
        <w:rPr>
          <w:rFonts w:cs="Arial"/>
        </w:rPr>
        <w:t xml:space="preserve">received a probable or confirmed diagnosis of silicosis because of workplace exposure to RCS. </w:t>
      </w:r>
      <w:r w:rsidR="00606A7A" w:rsidRPr="000A53C0">
        <w:rPr>
          <w:rFonts w:cs="Arial"/>
        </w:rPr>
        <w:t xml:space="preserve">There is also </w:t>
      </w:r>
      <w:r w:rsidR="004C0F06" w:rsidRPr="000A53C0">
        <w:rPr>
          <w:rFonts w:cs="Arial"/>
        </w:rPr>
        <w:t xml:space="preserve">a </w:t>
      </w:r>
      <w:r w:rsidR="00606A7A" w:rsidRPr="000A53C0">
        <w:rPr>
          <w:rFonts w:cs="Arial"/>
        </w:rPr>
        <w:t xml:space="preserve">suggestion that current </w:t>
      </w:r>
      <w:r w:rsidR="004E160C" w:rsidRPr="000A53C0">
        <w:rPr>
          <w:rFonts w:cs="Arial"/>
        </w:rPr>
        <w:t>case numbers</w:t>
      </w:r>
      <w:r w:rsidR="0070376C" w:rsidRPr="000A53C0">
        <w:rPr>
          <w:rFonts w:cs="Arial"/>
        </w:rPr>
        <w:t>,</w:t>
      </w:r>
      <w:r w:rsidR="004E160C" w:rsidRPr="000A53C0">
        <w:rPr>
          <w:rFonts w:cs="Arial"/>
        </w:rPr>
        <w:t xml:space="preserve"> </w:t>
      </w:r>
      <w:r w:rsidR="003A32CC" w:rsidRPr="000A53C0">
        <w:rPr>
          <w:rFonts w:cs="Arial"/>
        </w:rPr>
        <w:t xml:space="preserve">particularly </w:t>
      </w:r>
      <w:r w:rsidR="00B13B6B" w:rsidRPr="000A53C0">
        <w:rPr>
          <w:rFonts w:cs="Arial"/>
        </w:rPr>
        <w:t>in NSW</w:t>
      </w:r>
      <w:r w:rsidR="0070376C" w:rsidRPr="000A53C0">
        <w:rPr>
          <w:rFonts w:cs="Arial"/>
        </w:rPr>
        <w:t>,</w:t>
      </w:r>
      <w:r w:rsidR="00B13B6B" w:rsidRPr="000A53C0">
        <w:rPr>
          <w:rFonts w:cs="Arial"/>
        </w:rPr>
        <w:t xml:space="preserve"> </w:t>
      </w:r>
      <w:r w:rsidR="00E00DD7" w:rsidRPr="000A53C0">
        <w:rPr>
          <w:rFonts w:cs="Arial"/>
        </w:rPr>
        <w:t>are</w:t>
      </w:r>
      <w:r w:rsidR="00C71CD2" w:rsidRPr="000A53C0">
        <w:rPr>
          <w:rFonts w:cs="Arial"/>
        </w:rPr>
        <w:t xml:space="preserve"> an underestimation</w:t>
      </w:r>
      <w:r w:rsidR="00B13B6B" w:rsidRPr="000A53C0">
        <w:rPr>
          <w:rFonts w:cs="Arial"/>
        </w:rPr>
        <w:t xml:space="preserve"> </w:t>
      </w:r>
      <w:sdt>
        <w:sdtPr>
          <w:rPr>
            <w:rFonts w:cs="Arial"/>
          </w:rPr>
          <w:id w:val="-1381933443"/>
          <w:citation/>
        </w:sdtPr>
        <w:sdtEndPr/>
        <w:sdtContent>
          <w:r w:rsidR="00E00DD7" w:rsidRPr="000A53C0">
            <w:rPr>
              <w:rFonts w:cs="Arial"/>
            </w:rPr>
            <w:fldChar w:fldCharType="begin"/>
          </w:r>
          <w:r w:rsidR="00A74AA4" w:rsidRPr="000A53C0">
            <w:rPr>
              <w:rFonts w:cs="Arial"/>
            </w:rPr>
            <w:instrText xml:space="preserve">CITATION Cole23 \l 3081 </w:instrText>
          </w:r>
          <w:r w:rsidR="00E00DD7" w:rsidRPr="000A53C0">
            <w:rPr>
              <w:rFonts w:cs="Arial"/>
            </w:rPr>
            <w:fldChar w:fldCharType="separate"/>
          </w:r>
          <w:r w:rsidR="001F7BAA" w:rsidRPr="000A53C0">
            <w:rPr>
              <w:rFonts w:cs="Arial"/>
              <w:noProof/>
            </w:rPr>
            <w:t>(Cole, Yates and Davidson 2023)</w:t>
          </w:r>
          <w:r w:rsidR="00E00DD7" w:rsidRPr="000A53C0">
            <w:rPr>
              <w:rFonts w:cs="Arial"/>
            </w:rPr>
            <w:fldChar w:fldCharType="end"/>
          </w:r>
        </w:sdtContent>
      </w:sdt>
      <w:r w:rsidR="00B13B6B" w:rsidRPr="000A53C0">
        <w:rPr>
          <w:rFonts w:cs="Arial"/>
        </w:rPr>
        <w:t>.</w:t>
      </w:r>
    </w:p>
    <w:p w14:paraId="2A9E062B" w14:textId="07C516A3" w:rsidR="005F4488" w:rsidRPr="000A53C0" w:rsidRDefault="00D66265" w:rsidP="00623587">
      <w:pPr>
        <w:pStyle w:val="BodyText"/>
        <w:rPr>
          <w:rFonts w:cs="Arial"/>
        </w:rPr>
      </w:pPr>
      <w:r w:rsidRPr="000A53C0">
        <w:rPr>
          <w:rFonts w:cs="Arial"/>
        </w:rPr>
        <w:t>T</w:t>
      </w:r>
      <w:r w:rsidR="007A70C8" w:rsidRPr="000A53C0">
        <w:rPr>
          <w:rFonts w:cs="Arial"/>
        </w:rPr>
        <w:t>he</w:t>
      </w:r>
      <w:r w:rsidR="005F4488" w:rsidRPr="000A53C0">
        <w:rPr>
          <w:rFonts w:cs="Arial"/>
        </w:rPr>
        <w:t xml:space="preserve"> time lag between </w:t>
      </w:r>
      <w:r w:rsidR="007A70C8" w:rsidRPr="000A53C0">
        <w:rPr>
          <w:rFonts w:cs="Arial"/>
        </w:rPr>
        <w:t xml:space="preserve">RCS </w:t>
      </w:r>
      <w:r w:rsidR="005F4488" w:rsidRPr="000A53C0">
        <w:rPr>
          <w:rFonts w:cs="Arial"/>
        </w:rPr>
        <w:t>exposure and diagnosis present</w:t>
      </w:r>
      <w:r w:rsidR="007A70C8" w:rsidRPr="000A53C0">
        <w:rPr>
          <w:rFonts w:cs="Arial"/>
        </w:rPr>
        <w:t>s</w:t>
      </w:r>
      <w:r w:rsidR="005F4488" w:rsidRPr="000A53C0">
        <w:rPr>
          <w:rFonts w:cs="Arial"/>
        </w:rPr>
        <w:t xml:space="preserve"> challenges for determining current case numbers, estimating future burden, and understanding when recent initiatives to increase awareness of the risks of RCS exposure</w:t>
      </w:r>
      <w:r w:rsidR="007A70C8" w:rsidRPr="000A53C0">
        <w:rPr>
          <w:rFonts w:cs="Arial"/>
        </w:rPr>
        <w:t xml:space="preserve"> may result in </w:t>
      </w:r>
      <w:r w:rsidR="000253E8" w:rsidRPr="000A53C0">
        <w:rPr>
          <w:rFonts w:cs="Arial"/>
        </w:rPr>
        <w:t>fewer cases being diagnosed</w:t>
      </w:r>
      <w:r w:rsidR="005F4488" w:rsidRPr="000A53C0">
        <w:rPr>
          <w:rFonts w:cs="Arial"/>
        </w:rPr>
        <w:t>.</w:t>
      </w:r>
    </w:p>
    <w:p w14:paraId="65903A65" w14:textId="71F51AA9" w:rsidR="005F4488" w:rsidRPr="000A53C0" w:rsidRDefault="00DE3255" w:rsidP="00F771FD">
      <w:pPr>
        <w:pStyle w:val="BodyText"/>
        <w:rPr>
          <w:rFonts w:cs="Arial"/>
        </w:rPr>
      </w:pPr>
      <w:r w:rsidRPr="000A53C0">
        <w:rPr>
          <w:rFonts w:cs="Arial"/>
        </w:rPr>
        <w:t>B</w:t>
      </w:r>
      <w:r w:rsidR="005F4488" w:rsidRPr="000A53C0">
        <w:rPr>
          <w:rFonts w:cs="Arial"/>
        </w:rPr>
        <w:t>etween 2010</w:t>
      </w:r>
      <w:r w:rsidR="00B7186D">
        <w:rPr>
          <w:rFonts w:cs="Arial"/>
        </w:rPr>
        <w:t>–</w:t>
      </w:r>
      <w:r w:rsidR="005F4488" w:rsidRPr="000A53C0">
        <w:rPr>
          <w:rFonts w:cs="Arial"/>
        </w:rPr>
        <w:t>11 and 2020</w:t>
      </w:r>
      <w:r w:rsidR="00B7186D">
        <w:rPr>
          <w:rFonts w:cs="Arial"/>
        </w:rPr>
        <w:t>–</w:t>
      </w:r>
      <w:r w:rsidR="005F4488" w:rsidRPr="000A53C0">
        <w:rPr>
          <w:rFonts w:cs="Arial"/>
        </w:rPr>
        <w:t>21</w:t>
      </w:r>
      <w:r w:rsidR="005F4488" w:rsidRPr="00E45758">
        <w:rPr>
          <w:rFonts w:cs="Arial"/>
          <w:vertAlign w:val="superscript"/>
        </w:rPr>
        <w:t>p</w:t>
      </w:r>
      <w:r w:rsidR="005F4488" w:rsidRPr="000A53C0">
        <w:rPr>
          <w:rFonts w:cs="Arial"/>
        </w:rPr>
        <w:t xml:space="preserve">, there were 488 accepted workers compensation claims in those </w:t>
      </w:r>
      <w:r w:rsidR="00941C30" w:rsidRPr="000A53C0">
        <w:rPr>
          <w:rFonts w:cs="Arial"/>
        </w:rPr>
        <w:t>jurisdictions</w:t>
      </w:r>
      <w:r w:rsidR="005F4488" w:rsidRPr="000A53C0">
        <w:rPr>
          <w:rFonts w:cs="Arial"/>
        </w:rPr>
        <w:t xml:space="preserve"> covered by the model WHS laws</w:t>
      </w:r>
      <w:r w:rsidR="004623AA" w:rsidRPr="000A53C0">
        <w:rPr>
          <w:rStyle w:val="FootnoteReference"/>
          <w:rFonts w:cs="Arial"/>
        </w:rPr>
        <w:footnoteReference w:id="2"/>
      </w:r>
      <w:r w:rsidRPr="000A53C0">
        <w:rPr>
          <w:rFonts w:cs="Arial"/>
        </w:rPr>
        <w:t xml:space="preserve"> (</w:t>
      </w:r>
      <w:r w:rsidRPr="000A53C0">
        <w:rPr>
          <w:rFonts w:cs="Arial"/>
        </w:rPr>
        <w:fldChar w:fldCharType="begin" w:fldLock="1"/>
      </w:r>
      <w:r w:rsidRPr="000A53C0">
        <w:rPr>
          <w:rFonts w:cs="Arial"/>
        </w:rPr>
        <w:instrText xml:space="preserve"> REF _Ref139627580 \h </w:instrText>
      </w:r>
      <w:r w:rsidR="00F771FD" w:rsidRP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 xml:space="preserve">Figure </w:t>
      </w:r>
      <w:r w:rsidR="00D16271" w:rsidRPr="00D16271">
        <w:rPr>
          <w:rFonts w:cs="Arial"/>
          <w:noProof/>
        </w:rPr>
        <w:t>1</w:t>
      </w:r>
      <w:r w:rsidRPr="000A53C0">
        <w:rPr>
          <w:rFonts w:cs="Arial"/>
        </w:rPr>
        <w:fldChar w:fldCharType="end"/>
      </w:r>
      <w:r w:rsidRPr="000A53C0">
        <w:rPr>
          <w:rFonts w:cs="Arial"/>
        </w:rPr>
        <w:t>)</w:t>
      </w:r>
      <w:r w:rsidR="005F4488" w:rsidRPr="000A53C0">
        <w:rPr>
          <w:rFonts w:cs="Arial"/>
        </w:rPr>
        <w:t>.</w:t>
      </w:r>
    </w:p>
    <w:p w14:paraId="691D25AE" w14:textId="254332D8" w:rsidR="005F4488" w:rsidRPr="000A53C0" w:rsidRDefault="00171791" w:rsidP="00CA204E">
      <w:pPr>
        <w:pStyle w:val="Caption"/>
        <w:keepLines/>
        <w:ind w:left="851" w:hanging="851"/>
        <w:rPr>
          <w:rFonts w:cs="Arial"/>
        </w:rPr>
      </w:pPr>
      <w:bookmarkStart w:id="70" w:name="_Ref139627580"/>
      <w:bookmarkStart w:id="71" w:name="_Ref139626528"/>
      <w:bookmarkStart w:id="72" w:name="_Ref139626519"/>
      <w:bookmarkStart w:id="73" w:name="_Toc141694445"/>
      <w:r w:rsidRPr="00B7186D">
        <w:rPr>
          <w:rFonts w:cs="Arial"/>
          <w:b/>
          <w:bCs/>
        </w:rPr>
        <w:t xml:space="preserve">Figure </w:t>
      </w:r>
      <w:r w:rsidRPr="00B7186D">
        <w:rPr>
          <w:rFonts w:cs="Arial"/>
          <w:b/>
          <w:bCs/>
        </w:rPr>
        <w:fldChar w:fldCharType="begin"/>
      </w:r>
      <w:r w:rsidRPr="00B7186D">
        <w:rPr>
          <w:rFonts w:cs="Arial"/>
          <w:b/>
          <w:bCs/>
        </w:rPr>
        <w:instrText>SEQ Figure \* ARABIC</w:instrText>
      </w:r>
      <w:r w:rsidRPr="00B7186D">
        <w:rPr>
          <w:rFonts w:cs="Arial"/>
          <w:b/>
          <w:bCs/>
        </w:rPr>
        <w:fldChar w:fldCharType="separate"/>
      </w:r>
      <w:r w:rsidR="00D16271">
        <w:rPr>
          <w:rFonts w:cs="Arial"/>
          <w:b/>
          <w:bCs/>
          <w:noProof/>
        </w:rPr>
        <w:t>1</w:t>
      </w:r>
      <w:r w:rsidRPr="00B7186D">
        <w:rPr>
          <w:rFonts w:cs="Arial"/>
          <w:b/>
          <w:bCs/>
        </w:rPr>
        <w:fldChar w:fldCharType="end"/>
      </w:r>
      <w:bookmarkEnd w:id="70"/>
      <w:r w:rsidRPr="000A53C0">
        <w:rPr>
          <w:rFonts w:cs="Arial"/>
        </w:rPr>
        <w:t xml:space="preserve"> </w:t>
      </w:r>
      <w:bookmarkEnd w:id="71"/>
      <w:r w:rsidR="005F4488" w:rsidRPr="000A53C0">
        <w:rPr>
          <w:rFonts w:cs="Arial"/>
        </w:rPr>
        <w:t xml:space="preserve">Total number of accepted silicosis compensation claims in </w:t>
      </w:r>
      <w:r w:rsidR="007D207F" w:rsidRPr="000A53C0">
        <w:rPr>
          <w:rFonts w:cs="Arial"/>
        </w:rPr>
        <w:t>jurisdictions</w:t>
      </w:r>
      <w:r w:rsidR="005F4488" w:rsidRPr="000A53C0">
        <w:rPr>
          <w:rFonts w:cs="Arial"/>
        </w:rPr>
        <w:t xml:space="preserve"> subject to the model WHS laws, 2010</w:t>
      </w:r>
      <w:r w:rsidR="00B7186D">
        <w:rPr>
          <w:rFonts w:cs="Arial"/>
        </w:rPr>
        <w:t>–</w:t>
      </w:r>
      <w:r w:rsidR="005F4488" w:rsidRPr="000A53C0">
        <w:rPr>
          <w:rFonts w:cs="Arial"/>
        </w:rPr>
        <w:t>11 to 2020</w:t>
      </w:r>
      <w:r w:rsidR="00B7186D">
        <w:rPr>
          <w:rFonts w:cs="Arial"/>
        </w:rPr>
        <w:t>–</w:t>
      </w:r>
      <w:r w:rsidR="005F4488" w:rsidRPr="000A53C0">
        <w:rPr>
          <w:rFonts w:cs="Arial"/>
        </w:rPr>
        <w:t>21</w:t>
      </w:r>
      <w:bookmarkEnd w:id="72"/>
      <w:r w:rsidR="002E6ED2" w:rsidRPr="000A53C0">
        <w:rPr>
          <w:rStyle w:val="FootnoteReference"/>
          <w:rFonts w:cs="Arial"/>
        </w:rPr>
        <w:t xml:space="preserve"> </w:t>
      </w:r>
      <w:r w:rsidR="002E6ED2" w:rsidRPr="000A53C0">
        <w:rPr>
          <w:rStyle w:val="FootnoteReference"/>
          <w:rFonts w:cs="Arial"/>
        </w:rPr>
        <w:footnoteReference w:customMarkFollows="1" w:id="3"/>
        <w:t>p</w:t>
      </w:r>
      <w:bookmarkEnd w:id="73"/>
      <w:r w:rsidR="005F4488" w:rsidRPr="000A53C0">
        <w:rPr>
          <w:rFonts w:cs="Arial"/>
        </w:rPr>
        <w:t xml:space="preserve"> </w:t>
      </w:r>
    </w:p>
    <w:p w14:paraId="519FF8F6" w14:textId="10985E46" w:rsidR="008A5C3E" w:rsidRPr="000A53C0" w:rsidRDefault="00CA204E" w:rsidP="000B00A0">
      <w:pPr>
        <w:spacing w:after="240" w:line="240" w:lineRule="auto"/>
        <w:jc w:val="center"/>
        <w:rPr>
          <w:rFonts w:eastAsia="Times New Roman" w:cs="Arial"/>
          <w:color w:val="000000"/>
          <w:sz w:val="18"/>
          <w:szCs w:val="18"/>
          <w:lang w:eastAsia="en-AU"/>
        </w:rPr>
      </w:pPr>
      <w:r w:rsidRPr="000A53C0">
        <w:rPr>
          <w:rFonts w:cs="Arial"/>
          <w:noProof/>
          <w:lang w:eastAsia="en-AU"/>
        </w:rPr>
        <w:drawing>
          <wp:inline distT="0" distB="0" distL="0" distR="0" wp14:anchorId="4065661E" wp14:editId="4F460AD6">
            <wp:extent cx="5731510" cy="2609215"/>
            <wp:effectExtent l="0" t="0" r="2540" b="635"/>
            <wp:docPr id="2" name="Chart 2">
              <a:extLst xmlns:a="http://schemas.openxmlformats.org/drawingml/2006/main">
                <a:ext uri="{FF2B5EF4-FFF2-40B4-BE49-F238E27FC236}">
                  <a16:creationId xmlns:a16="http://schemas.microsoft.com/office/drawing/2014/main" id="{BA390CB8-4395-2FCD-FADC-54AB8037FA31}"/>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A5C3E" w:rsidRPr="000A53C0">
        <w:rPr>
          <w:rFonts w:cs="Arial"/>
        </w:rPr>
        <w:br/>
      </w:r>
      <w:r w:rsidR="008A5C3E" w:rsidRPr="000A53C0">
        <w:rPr>
          <w:rFonts w:eastAsia="Times New Roman" w:cs="Arial"/>
          <w:color w:val="000000"/>
          <w:sz w:val="18"/>
          <w:szCs w:val="18"/>
          <w:lang w:eastAsia="en-AU"/>
        </w:rPr>
        <w:t>Sources: Safe Work Australia's National Data Set for Compensation-based Statistics and icare.</w:t>
      </w:r>
    </w:p>
    <w:p w14:paraId="6BD52DDE" w14:textId="3E718AA8" w:rsidR="005F4488" w:rsidRPr="000A53C0" w:rsidRDefault="005F4488" w:rsidP="002051CF">
      <w:pPr>
        <w:pStyle w:val="BodyText"/>
        <w:rPr>
          <w:rFonts w:cs="Arial"/>
        </w:rPr>
      </w:pPr>
      <w:r w:rsidRPr="000A53C0">
        <w:rPr>
          <w:rFonts w:cs="Arial"/>
        </w:rPr>
        <w:t xml:space="preserve">Three quarters of the claims shown in </w:t>
      </w:r>
      <w:r w:rsidR="00C00611" w:rsidRPr="000A53C0">
        <w:rPr>
          <w:rFonts w:cs="Arial"/>
        </w:rPr>
        <w:fldChar w:fldCharType="begin" w:fldLock="1"/>
      </w:r>
      <w:r w:rsidR="00C00611" w:rsidRPr="000A53C0">
        <w:rPr>
          <w:rFonts w:cs="Arial"/>
        </w:rPr>
        <w:instrText xml:space="preserve"> REF _Ref139627580 \h </w:instrText>
      </w:r>
      <w:r w:rsidR="00F771FD" w:rsidRPr="000A53C0">
        <w:rPr>
          <w:rFonts w:cs="Arial"/>
        </w:rPr>
        <w:instrText xml:space="preserve"> \* MERGEFORMAT </w:instrText>
      </w:r>
      <w:r w:rsidR="00C00611" w:rsidRPr="000A53C0">
        <w:rPr>
          <w:rFonts w:cs="Arial"/>
        </w:rPr>
      </w:r>
      <w:r w:rsidR="00C00611" w:rsidRPr="000A53C0">
        <w:rPr>
          <w:rFonts w:cs="Arial"/>
        </w:rPr>
        <w:fldChar w:fldCharType="separate"/>
      </w:r>
      <w:r w:rsidR="00D16271" w:rsidRPr="00D16271">
        <w:rPr>
          <w:rFonts w:cs="Arial"/>
        </w:rPr>
        <w:t>Figure 1</w:t>
      </w:r>
      <w:r w:rsidR="00C00611" w:rsidRPr="000A53C0">
        <w:rPr>
          <w:rFonts w:cs="Arial"/>
        </w:rPr>
        <w:fldChar w:fldCharType="end"/>
      </w:r>
      <w:r w:rsidRPr="000A53C0">
        <w:rPr>
          <w:rFonts w:cs="Arial"/>
        </w:rPr>
        <w:t xml:space="preserve"> were accepted after mid-2018, following the implementation of awareness and health screening programs for stonemasons and engineered stone workers.</w:t>
      </w:r>
    </w:p>
    <w:p w14:paraId="7709D8D2" w14:textId="4320C573" w:rsidR="005F4488" w:rsidRPr="000A53C0" w:rsidRDefault="00296898" w:rsidP="002051CF">
      <w:pPr>
        <w:pStyle w:val="BodyText"/>
        <w:rPr>
          <w:rFonts w:cs="Arial"/>
        </w:rPr>
      </w:pPr>
      <w:r w:rsidRPr="000A53C0">
        <w:rPr>
          <w:rFonts w:cs="Arial"/>
        </w:rPr>
        <w:t xml:space="preserve">Since 2018, there has been an increase in the number of people aged under 35 when submitting a claim for silicosis. </w:t>
      </w:r>
      <w:r w:rsidR="005F4488" w:rsidRPr="000A53C0">
        <w:rPr>
          <w:rFonts w:cs="Arial"/>
        </w:rPr>
        <w:t>Over the 2011</w:t>
      </w:r>
      <w:r w:rsidR="00B24F96">
        <w:rPr>
          <w:rFonts w:cs="Arial"/>
        </w:rPr>
        <w:t>–</w:t>
      </w:r>
      <w:r w:rsidR="005F4488" w:rsidRPr="000A53C0">
        <w:rPr>
          <w:rFonts w:cs="Arial"/>
        </w:rPr>
        <w:t>12 to 2017</w:t>
      </w:r>
      <w:r w:rsidR="00B24F96">
        <w:rPr>
          <w:rFonts w:cs="Arial"/>
        </w:rPr>
        <w:t>–</w:t>
      </w:r>
      <w:r w:rsidR="005F4488" w:rsidRPr="000A53C0">
        <w:rPr>
          <w:rFonts w:cs="Arial"/>
        </w:rPr>
        <w:t xml:space="preserve">18 reference period </w:t>
      </w:r>
      <w:r w:rsidR="00357D75" w:rsidRPr="000A53C0">
        <w:rPr>
          <w:rFonts w:cs="Arial"/>
        </w:rPr>
        <w:t>18</w:t>
      </w:r>
      <w:r w:rsidR="005F4488" w:rsidRPr="000A53C0">
        <w:rPr>
          <w:rFonts w:cs="Arial"/>
        </w:rPr>
        <w:t xml:space="preserve">% of </w:t>
      </w:r>
      <w:r w:rsidR="002051CF" w:rsidRPr="000A53C0">
        <w:rPr>
          <w:rFonts w:cs="Arial"/>
        </w:rPr>
        <w:t>s</w:t>
      </w:r>
      <w:r w:rsidR="005F4488" w:rsidRPr="000A53C0">
        <w:rPr>
          <w:rFonts w:cs="Arial"/>
        </w:rPr>
        <w:t xml:space="preserve">ilicosis claims </w:t>
      </w:r>
      <w:r w:rsidR="00E761F1" w:rsidRPr="000A53C0">
        <w:rPr>
          <w:rFonts w:cs="Arial"/>
        </w:rPr>
        <w:t>(</w:t>
      </w:r>
      <w:r w:rsidR="004E57EE">
        <w:rPr>
          <w:rFonts w:cs="Arial"/>
        </w:rPr>
        <w:t>7</w:t>
      </w:r>
      <w:r w:rsidR="00E761F1" w:rsidRPr="000A53C0">
        <w:rPr>
          <w:rFonts w:cs="Arial"/>
        </w:rPr>
        <w:t xml:space="preserve"> claims) </w:t>
      </w:r>
      <w:r w:rsidR="005F4488" w:rsidRPr="000A53C0">
        <w:rPr>
          <w:rFonts w:cs="Arial"/>
        </w:rPr>
        <w:t xml:space="preserve">were made by workers under the age of 35. </w:t>
      </w:r>
      <w:r w:rsidRPr="000A53C0">
        <w:rPr>
          <w:rFonts w:cs="Arial"/>
        </w:rPr>
        <w:t>In the 2018</w:t>
      </w:r>
      <w:r w:rsidR="00B24F96">
        <w:rPr>
          <w:rFonts w:cs="Arial"/>
        </w:rPr>
        <w:t>–</w:t>
      </w:r>
      <w:r w:rsidRPr="000A53C0">
        <w:rPr>
          <w:rFonts w:cs="Arial"/>
        </w:rPr>
        <w:t>19 to 2020</w:t>
      </w:r>
      <w:r w:rsidR="00B24F96">
        <w:rPr>
          <w:rFonts w:cs="Arial"/>
        </w:rPr>
        <w:t>–</w:t>
      </w:r>
      <w:r w:rsidRPr="000A53C0">
        <w:rPr>
          <w:rFonts w:cs="Arial"/>
        </w:rPr>
        <w:t>21</w:t>
      </w:r>
      <w:r w:rsidRPr="00B24F96">
        <w:rPr>
          <w:rFonts w:cs="Arial"/>
          <w:vertAlign w:val="superscript"/>
        </w:rPr>
        <w:t>p</w:t>
      </w:r>
      <w:r w:rsidR="0054374E" w:rsidRPr="000A53C0">
        <w:rPr>
          <w:rFonts w:cs="Arial"/>
        </w:rPr>
        <w:t xml:space="preserve"> period,</w:t>
      </w:r>
      <w:r w:rsidR="002051CF" w:rsidRPr="000A53C0">
        <w:rPr>
          <w:rFonts w:cs="Arial"/>
        </w:rPr>
        <w:t xml:space="preserve"> </w:t>
      </w:r>
      <w:r w:rsidRPr="000A53C0">
        <w:rPr>
          <w:rFonts w:cs="Arial"/>
        </w:rPr>
        <w:t xml:space="preserve">nearly </w:t>
      </w:r>
      <w:r w:rsidR="005F4488" w:rsidRPr="000A53C0">
        <w:rPr>
          <w:rFonts w:cs="Arial"/>
        </w:rPr>
        <w:t xml:space="preserve">half of all </w:t>
      </w:r>
      <w:r w:rsidR="005607C6" w:rsidRPr="000A53C0">
        <w:rPr>
          <w:rFonts w:cs="Arial"/>
        </w:rPr>
        <w:t>s</w:t>
      </w:r>
      <w:r w:rsidR="005F4488" w:rsidRPr="000A53C0">
        <w:rPr>
          <w:rFonts w:cs="Arial"/>
        </w:rPr>
        <w:t xml:space="preserve">ilicosis claims </w:t>
      </w:r>
      <w:r w:rsidR="0054374E" w:rsidRPr="000A53C0">
        <w:rPr>
          <w:rFonts w:cs="Arial"/>
        </w:rPr>
        <w:t>(46%</w:t>
      </w:r>
      <w:r w:rsidR="008964A2" w:rsidRPr="000A53C0">
        <w:rPr>
          <w:rFonts w:cs="Arial"/>
        </w:rPr>
        <w:t xml:space="preserve"> or 100 claims</w:t>
      </w:r>
      <w:r w:rsidR="0054374E" w:rsidRPr="000A53C0">
        <w:rPr>
          <w:rFonts w:cs="Arial"/>
        </w:rPr>
        <w:t xml:space="preserve">) were </w:t>
      </w:r>
      <w:r w:rsidR="005F4488" w:rsidRPr="000A53C0">
        <w:rPr>
          <w:rFonts w:cs="Arial"/>
        </w:rPr>
        <w:t xml:space="preserve">made by workers </w:t>
      </w:r>
      <w:r w:rsidR="002051CF" w:rsidRPr="000A53C0">
        <w:rPr>
          <w:rFonts w:cs="Arial"/>
        </w:rPr>
        <w:t>in this age category</w:t>
      </w:r>
      <w:r w:rsidR="0054374E" w:rsidRPr="000A53C0">
        <w:rPr>
          <w:rFonts w:cs="Arial"/>
        </w:rPr>
        <w:t xml:space="preserve"> (</w:t>
      </w:r>
      <w:r w:rsidR="007C1C3F" w:rsidRPr="000A53C0">
        <w:rPr>
          <w:rFonts w:cs="Arial"/>
        </w:rPr>
        <w:fldChar w:fldCharType="begin" w:fldLock="1"/>
      </w:r>
      <w:r w:rsidR="007C1C3F" w:rsidRPr="000A53C0">
        <w:rPr>
          <w:rFonts w:cs="Arial"/>
        </w:rPr>
        <w:instrText xml:space="preserve"> REF _Ref139629599 \h </w:instrText>
      </w:r>
      <w:r w:rsidR="002051CF" w:rsidRPr="000A53C0">
        <w:rPr>
          <w:rFonts w:cs="Arial"/>
        </w:rPr>
        <w:instrText xml:space="preserve"> \* MERGEFORMAT </w:instrText>
      </w:r>
      <w:r w:rsidR="007C1C3F" w:rsidRPr="000A53C0">
        <w:rPr>
          <w:rFonts w:cs="Arial"/>
        </w:rPr>
      </w:r>
      <w:r w:rsidR="007C1C3F" w:rsidRPr="000A53C0">
        <w:rPr>
          <w:rFonts w:cs="Arial"/>
        </w:rPr>
        <w:fldChar w:fldCharType="separate"/>
      </w:r>
      <w:r w:rsidR="00D16271" w:rsidRPr="00D16271">
        <w:rPr>
          <w:rFonts w:cs="Arial"/>
        </w:rPr>
        <w:t>Figure 2</w:t>
      </w:r>
      <w:r w:rsidR="007C1C3F" w:rsidRPr="000A53C0">
        <w:rPr>
          <w:rFonts w:cs="Arial"/>
        </w:rPr>
        <w:fldChar w:fldCharType="end"/>
      </w:r>
      <w:r w:rsidR="007C1C3F" w:rsidRPr="000A53C0">
        <w:rPr>
          <w:rFonts w:cs="Arial"/>
        </w:rPr>
        <w:t>)</w:t>
      </w:r>
      <w:r w:rsidR="005F4488" w:rsidRPr="000A53C0">
        <w:rPr>
          <w:rFonts w:cs="Arial"/>
        </w:rPr>
        <w:t xml:space="preserve">. </w:t>
      </w:r>
    </w:p>
    <w:p w14:paraId="733098F2" w14:textId="4805A38D" w:rsidR="005F4488" w:rsidRPr="000A53C0" w:rsidRDefault="00C00611" w:rsidP="003E0475">
      <w:pPr>
        <w:pStyle w:val="Caption"/>
        <w:rPr>
          <w:rFonts w:cs="Arial"/>
        </w:rPr>
      </w:pPr>
      <w:bookmarkStart w:id="74" w:name="_Ref139629599"/>
      <w:bookmarkStart w:id="75" w:name="_Ref140577770"/>
      <w:bookmarkStart w:id="76" w:name="_Toc141694446"/>
      <w:r w:rsidRPr="007D5EFA">
        <w:rPr>
          <w:rFonts w:cs="Arial"/>
          <w:b/>
          <w:bCs/>
        </w:rPr>
        <w:lastRenderedPageBreak/>
        <w:t xml:space="preserve">Figure </w:t>
      </w:r>
      <w:r w:rsidRPr="007D5EFA">
        <w:rPr>
          <w:rFonts w:cs="Arial"/>
          <w:b/>
          <w:bCs/>
        </w:rPr>
        <w:fldChar w:fldCharType="begin"/>
      </w:r>
      <w:r w:rsidRPr="007D5EFA">
        <w:rPr>
          <w:rFonts w:cs="Arial"/>
          <w:b/>
          <w:bCs/>
        </w:rPr>
        <w:instrText>SEQ Figure \* ARABIC</w:instrText>
      </w:r>
      <w:r w:rsidRPr="007D5EFA">
        <w:rPr>
          <w:rFonts w:cs="Arial"/>
          <w:b/>
          <w:bCs/>
        </w:rPr>
        <w:fldChar w:fldCharType="separate"/>
      </w:r>
      <w:r w:rsidR="00D16271">
        <w:rPr>
          <w:rFonts w:cs="Arial"/>
          <w:b/>
          <w:bCs/>
          <w:noProof/>
        </w:rPr>
        <w:t>2</w:t>
      </w:r>
      <w:r w:rsidRPr="007D5EFA">
        <w:rPr>
          <w:rFonts w:cs="Arial"/>
          <w:b/>
          <w:bCs/>
        </w:rPr>
        <w:fldChar w:fldCharType="end"/>
      </w:r>
      <w:bookmarkEnd w:id="74"/>
      <w:r w:rsidR="005F4488" w:rsidRPr="000A53C0">
        <w:rPr>
          <w:rFonts w:cs="Arial"/>
        </w:rPr>
        <w:t xml:space="preserve"> Silicosis claims (count) by age group, time series comparison</w:t>
      </w:r>
      <w:bookmarkEnd w:id="75"/>
      <w:r w:rsidR="003C258A" w:rsidRPr="000A53C0">
        <w:rPr>
          <w:rStyle w:val="FootnoteReference"/>
          <w:rFonts w:cs="Arial"/>
        </w:rPr>
        <w:footnoteReference w:id="4"/>
      </w:r>
      <w:bookmarkEnd w:id="76"/>
    </w:p>
    <w:p w14:paraId="6F021C02" w14:textId="2B4E12A4" w:rsidR="00DC7E6C" w:rsidRPr="000A53C0" w:rsidRDefault="00FF77B7" w:rsidP="00DC7E6C">
      <w:pPr>
        <w:rPr>
          <w:rFonts w:cs="Arial"/>
        </w:rPr>
      </w:pPr>
      <w:r w:rsidRPr="000A53C0">
        <w:rPr>
          <w:rFonts w:cs="Arial"/>
          <w:noProof/>
          <w:lang w:eastAsia="en-AU"/>
          <w14:ligatures w14:val="standardContextual"/>
        </w:rPr>
        <w:drawing>
          <wp:inline distT="0" distB="0" distL="0" distR="0" wp14:anchorId="6D2DDB8B" wp14:editId="24781422">
            <wp:extent cx="5731510" cy="2702560"/>
            <wp:effectExtent l="0" t="0" r="2540" b="2540"/>
            <wp:docPr id="14" name="Chart 14">
              <a:extLst xmlns:a="http://schemas.openxmlformats.org/drawingml/2006/main">
                <a:ext uri="{FF2B5EF4-FFF2-40B4-BE49-F238E27FC236}">
                  <a16:creationId xmlns:a16="http://schemas.microsoft.com/office/drawing/2014/main" id="{42E432E8-5692-4604-BD22-200383EF9117}"/>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7D0BBB" w14:textId="77777777" w:rsidR="005607C6" w:rsidRPr="000A53C0" w:rsidRDefault="005607C6" w:rsidP="00F771FD">
      <w:pPr>
        <w:pStyle w:val="BodyText"/>
        <w:rPr>
          <w:rFonts w:cs="Arial"/>
        </w:rPr>
      </w:pPr>
    </w:p>
    <w:p w14:paraId="786A5BC4" w14:textId="13C85CF1" w:rsidR="005F4488" w:rsidRPr="000A53C0" w:rsidRDefault="00DC254B" w:rsidP="00F771FD">
      <w:pPr>
        <w:pStyle w:val="BodyText"/>
        <w:rPr>
          <w:rFonts w:cs="Arial"/>
        </w:rPr>
      </w:pPr>
      <w:r w:rsidRPr="000A53C0">
        <w:rPr>
          <w:rFonts w:cs="Arial"/>
        </w:rPr>
        <w:t>Silicosis claims have traditionally be</w:t>
      </w:r>
      <w:r w:rsidR="005607C6" w:rsidRPr="000A53C0">
        <w:rPr>
          <w:rFonts w:cs="Arial"/>
        </w:rPr>
        <w:t>en</w:t>
      </w:r>
      <w:r w:rsidRPr="000A53C0">
        <w:rPr>
          <w:rFonts w:cs="Arial"/>
        </w:rPr>
        <w:t xml:space="preserve"> concentrated across the construction, manufacturing and mining sectors. </w:t>
      </w:r>
      <w:r w:rsidR="002065F1" w:rsidRPr="000A53C0">
        <w:rPr>
          <w:rFonts w:cs="Arial"/>
        </w:rPr>
        <w:t>In recent years, there has been a significant increase in the number of silicosis claims from worker</w:t>
      </w:r>
      <w:r w:rsidR="00AB0DA4" w:rsidRPr="000A53C0">
        <w:rPr>
          <w:rFonts w:cs="Arial"/>
        </w:rPr>
        <w:t>s</w:t>
      </w:r>
      <w:r w:rsidR="002065F1" w:rsidRPr="000A53C0">
        <w:rPr>
          <w:rFonts w:cs="Arial"/>
        </w:rPr>
        <w:t xml:space="preserve"> in the manufacturing industry</w:t>
      </w:r>
      <w:r w:rsidR="00AB5B4F" w:rsidRPr="000A53C0">
        <w:rPr>
          <w:rFonts w:cs="Arial"/>
        </w:rPr>
        <w:t xml:space="preserve"> from</w:t>
      </w:r>
      <w:r w:rsidR="00AB0DA4" w:rsidRPr="000A53C0">
        <w:rPr>
          <w:rFonts w:cs="Arial"/>
        </w:rPr>
        <w:t xml:space="preserve"> 13 </w:t>
      </w:r>
      <w:r w:rsidR="00A73D8A" w:rsidRPr="000A53C0">
        <w:rPr>
          <w:rFonts w:cs="Arial"/>
        </w:rPr>
        <w:t xml:space="preserve">claims </w:t>
      </w:r>
      <w:r w:rsidR="00676049" w:rsidRPr="000A53C0">
        <w:rPr>
          <w:rFonts w:cs="Arial"/>
        </w:rPr>
        <w:t>in 2011</w:t>
      </w:r>
      <w:r w:rsidR="007D5EFA">
        <w:rPr>
          <w:rFonts w:cs="Arial"/>
        </w:rPr>
        <w:t>–</w:t>
      </w:r>
      <w:r w:rsidR="00676049" w:rsidRPr="000A53C0">
        <w:rPr>
          <w:rFonts w:cs="Arial"/>
        </w:rPr>
        <w:t>12 to 2017</w:t>
      </w:r>
      <w:r w:rsidR="007D5EFA">
        <w:rPr>
          <w:rFonts w:cs="Arial"/>
        </w:rPr>
        <w:t>–</w:t>
      </w:r>
      <w:r w:rsidR="00676049" w:rsidRPr="000A53C0">
        <w:rPr>
          <w:rFonts w:cs="Arial"/>
        </w:rPr>
        <w:t xml:space="preserve">18, to </w:t>
      </w:r>
      <w:r w:rsidR="00AB0DA4" w:rsidRPr="000A53C0">
        <w:rPr>
          <w:rFonts w:cs="Arial"/>
        </w:rPr>
        <w:t xml:space="preserve">167 </w:t>
      </w:r>
      <w:r w:rsidR="00A73D8A" w:rsidRPr="000A53C0">
        <w:rPr>
          <w:rFonts w:cs="Arial"/>
        </w:rPr>
        <w:t xml:space="preserve">claims </w:t>
      </w:r>
      <w:r w:rsidR="00676049" w:rsidRPr="000A53C0">
        <w:rPr>
          <w:rFonts w:cs="Arial"/>
        </w:rPr>
        <w:t xml:space="preserve">over the </w:t>
      </w:r>
      <w:r w:rsidR="00630596">
        <w:rPr>
          <w:rFonts w:cs="Arial"/>
        </w:rPr>
        <w:t>3</w:t>
      </w:r>
      <w:r w:rsidR="000A4A48">
        <w:rPr>
          <w:rFonts w:cs="Arial"/>
        </w:rPr>
        <w:t> </w:t>
      </w:r>
      <w:r w:rsidR="00676049" w:rsidRPr="000A53C0">
        <w:rPr>
          <w:rFonts w:cs="Arial"/>
        </w:rPr>
        <w:t>years from 201</w:t>
      </w:r>
      <w:r w:rsidR="0049025A" w:rsidRPr="000A53C0">
        <w:rPr>
          <w:rFonts w:cs="Arial"/>
        </w:rPr>
        <w:t>8</w:t>
      </w:r>
      <w:r w:rsidR="007D5EFA">
        <w:rPr>
          <w:rFonts w:cs="Arial"/>
        </w:rPr>
        <w:t>–</w:t>
      </w:r>
      <w:r w:rsidR="00A03E09" w:rsidRPr="000A53C0">
        <w:rPr>
          <w:rFonts w:cs="Arial"/>
        </w:rPr>
        <w:t>19</w:t>
      </w:r>
      <w:r w:rsidR="007C1C3F" w:rsidRPr="000A53C0">
        <w:rPr>
          <w:rFonts w:cs="Arial"/>
        </w:rPr>
        <w:t xml:space="preserve"> (</w:t>
      </w:r>
      <w:r w:rsidR="00616383" w:rsidRPr="000A53C0">
        <w:rPr>
          <w:rFonts w:cs="Arial"/>
        </w:rPr>
        <w:fldChar w:fldCharType="begin" w:fldLock="1"/>
      </w:r>
      <w:r w:rsidR="00616383" w:rsidRPr="000A53C0">
        <w:rPr>
          <w:rFonts w:cs="Arial"/>
        </w:rPr>
        <w:instrText xml:space="preserve"> REF _Ref139629776 \h </w:instrText>
      </w:r>
      <w:r w:rsidR="00F771FD" w:rsidRPr="000A53C0">
        <w:rPr>
          <w:rFonts w:cs="Arial"/>
        </w:rPr>
        <w:instrText xml:space="preserve"> \* MERGEFORMAT </w:instrText>
      </w:r>
      <w:r w:rsidR="00616383" w:rsidRPr="000A53C0">
        <w:rPr>
          <w:rFonts w:cs="Arial"/>
        </w:rPr>
      </w:r>
      <w:r w:rsidR="00616383" w:rsidRPr="000A53C0">
        <w:rPr>
          <w:rFonts w:cs="Arial"/>
        </w:rPr>
        <w:fldChar w:fldCharType="separate"/>
      </w:r>
      <w:r w:rsidR="00D16271" w:rsidRPr="00D16271">
        <w:rPr>
          <w:rFonts w:cs="Arial"/>
        </w:rPr>
        <w:t xml:space="preserve">Figure </w:t>
      </w:r>
      <w:r w:rsidR="00D16271" w:rsidRPr="00D16271">
        <w:rPr>
          <w:rFonts w:cs="Arial"/>
          <w:noProof/>
        </w:rPr>
        <w:t>3</w:t>
      </w:r>
      <w:r w:rsidR="00616383" w:rsidRPr="000A53C0">
        <w:rPr>
          <w:rFonts w:cs="Arial"/>
        </w:rPr>
        <w:fldChar w:fldCharType="end"/>
      </w:r>
      <w:r w:rsidR="00616383" w:rsidRPr="000A53C0">
        <w:rPr>
          <w:rFonts w:cs="Arial"/>
        </w:rPr>
        <w:t>)</w:t>
      </w:r>
      <w:r w:rsidR="006E1D73" w:rsidRPr="000A53C0">
        <w:rPr>
          <w:rFonts w:cs="Arial"/>
        </w:rPr>
        <w:t>.</w:t>
      </w:r>
      <w:r w:rsidR="00A12DEF" w:rsidRPr="000A53C0">
        <w:rPr>
          <w:rFonts w:cs="Arial"/>
        </w:rPr>
        <w:t xml:space="preserve"> </w:t>
      </w:r>
      <w:r w:rsidR="005F4488" w:rsidRPr="000A53C0">
        <w:rPr>
          <w:rFonts w:cs="Arial"/>
        </w:rPr>
        <w:t xml:space="preserve"> </w:t>
      </w:r>
    </w:p>
    <w:p w14:paraId="75461CC8" w14:textId="06E3C284" w:rsidR="005F4488" w:rsidRPr="000A53C0" w:rsidRDefault="00C00611" w:rsidP="003E0475">
      <w:pPr>
        <w:pStyle w:val="Caption"/>
        <w:rPr>
          <w:rFonts w:cs="Arial"/>
          <w:noProof/>
        </w:rPr>
      </w:pPr>
      <w:bookmarkStart w:id="77" w:name="_Ref139629776"/>
      <w:bookmarkStart w:id="78" w:name="_Ref141275346"/>
      <w:bookmarkStart w:id="79" w:name="_Toc141694447"/>
      <w:r w:rsidRPr="007D5EFA">
        <w:rPr>
          <w:rFonts w:cs="Arial"/>
          <w:b/>
          <w:bCs/>
        </w:rPr>
        <w:t xml:space="preserve">Figure </w:t>
      </w:r>
      <w:r w:rsidRPr="007D5EFA">
        <w:rPr>
          <w:rFonts w:cs="Arial"/>
          <w:b/>
          <w:bCs/>
        </w:rPr>
        <w:fldChar w:fldCharType="begin"/>
      </w:r>
      <w:r w:rsidRPr="007D5EFA">
        <w:rPr>
          <w:rFonts w:cs="Arial"/>
          <w:b/>
          <w:bCs/>
        </w:rPr>
        <w:instrText>SEQ Figure \* ARABIC</w:instrText>
      </w:r>
      <w:r w:rsidRPr="007D5EFA">
        <w:rPr>
          <w:rFonts w:cs="Arial"/>
          <w:b/>
          <w:bCs/>
        </w:rPr>
        <w:fldChar w:fldCharType="separate"/>
      </w:r>
      <w:r w:rsidR="00D16271">
        <w:rPr>
          <w:rFonts w:cs="Arial"/>
          <w:b/>
          <w:bCs/>
          <w:noProof/>
        </w:rPr>
        <w:t>3</w:t>
      </w:r>
      <w:r w:rsidRPr="007D5EFA">
        <w:rPr>
          <w:rFonts w:cs="Arial"/>
          <w:b/>
          <w:bCs/>
        </w:rPr>
        <w:fldChar w:fldCharType="end"/>
      </w:r>
      <w:bookmarkEnd w:id="77"/>
      <w:r w:rsidR="005F4488" w:rsidRPr="000A53C0">
        <w:rPr>
          <w:rFonts w:cs="Arial"/>
        </w:rPr>
        <w:t xml:space="preserve"> Silicosis claims (count) by </w:t>
      </w:r>
      <w:r w:rsidR="00BF0BD3" w:rsidRPr="000A53C0">
        <w:rPr>
          <w:rFonts w:cs="Arial"/>
        </w:rPr>
        <w:t>i</w:t>
      </w:r>
      <w:r w:rsidR="005F4488" w:rsidRPr="000A53C0">
        <w:rPr>
          <w:rFonts w:cs="Arial"/>
        </w:rPr>
        <w:t>ndustry, time series comparison</w:t>
      </w:r>
      <w:bookmarkEnd w:id="78"/>
      <w:r w:rsidR="005E64DC" w:rsidRPr="000A53C0">
        <w:rPr>
          <w:rStyle w:val="FootnoteReference"/>
          <w:rFonts w:cs="Arial"/>
          <w:noProof/>
        </w:rPr>
        <w:footnoteReference w:id="5"/>
      </w:r>
      <w:bookmarkEnd w:id="79"/>
      <w:r w:rsidR="005F4488" w:rsidRPr="000A53C0">
        <w:rPr>
          <w:rFonts w:cs="Arial"/>
          <w:noProof/>
        </w:rPr>
        <w:t xml:space="preserve"> </w:t>
      </w:r>
    </w:p>
    <w:p w14:paraId="32E62A6D" w14:textId="4727E0A6" w:rsidR="004D6A74" w:rsidRPr="000A53C0" w:rsidRDefault="007C1C3F" w:rsidP="004D6A74">
      <w:pPr>
        <w:rPr>
          <w:rFonts w:cs="Arial"/>
        </w:rPr>
      </w:pPr>
      <w:r w:rsidRPr="000A53C0">
        <w:rPr>
          <w:rFonts w:cs="Arial"/>
          <w:noProof/>
          <w:lang w:eastAsia="en-AU"/>
          <w14:ligatures w14:val="standardContextual"/>
        </w:rPr>
        <w:drawing>
          <wp:inline distT="0" distB="0" distL="0" distR="0" wp14:anchorId="5FE2102D" wp14:editId="2DA9343E">
            <wp:extent cx="5688000" cy="2844000"/>
            <wp:effectExtent l="0" t="0" r="8255" b="0"/>
            <wp:docPr id="20" name="Chart 20">
              <a:extLst xmlns:a="http://schemas.openxmlformats.org/drawingml/2006/main">
                <a:ext uri="{FF2B5EF4-FFF2-40B4-BE49-F238E27FC236}">
                  <a16:creationId xmlns:a16="http://schemas.microsoft.com/office/drawing/2014/main" id="{83876977-F84E-4749-960A-4183A3971B9E}"/>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233050" w14:textId="4A859483" w:rsidR="00BA294A" w:rsidRPr="000A53C0" w:rsidRDefault="0083162E" w:rsidP="00F771FD">
      <w:pPr>
        <w:pStyle w:val="BodyText"/>
        <w:rPr>
          <w:rFonts w:cs="Arial"/>
        </w:rPr>
      </w:pPr>
      <w:r w:rsidRPr="000A53C0">
        <w:rPr>
          <w:rFonts w:cs="Arial"/>
        </w:rPr>
        <w:t>Further analysis of the claims from workers in the manufacturing industry reveal that</w:t>
      </w:r>
      <w:r w:rsidR="683282B3" w:rsidRPr="000A53C0">
        <w:rPr>
          <w:rFonts w:cs="Arial"/>
        </w:rPr>
        <w:t xml:space="preserve"> they</w:t>
      </w:r>
      <w:r w:rsidRPr="000A53C0">
        <w:rPr>
          <w:rFonts w:cs="Arial"/>
        </w:rPr>
        <w:t xml:space="preserve"> </w:t>
      </w:r>
      <w:r w:rsidR="00621EDD" w:rsidRPr="000A53C0">
        <w:rPr>
          <w:rFonts w:cs="Arial"/>
        </w:rPr>
        <w:t xml:space="preserve">fall in </w:t>
      </w:r>
      <w:r w:rsidR="00590A8A">
        <w:rPr>
          <w:rFonts w:cs="Arial"/>
        </w:rPr>
        <w:t>2</w:t>
      </w:r>
      <w:r w:rsidR="00A12DEF" w:rsidRPr="000A53C0">
        <w:rPr>
          <w:rFonts w:cs="Arial"/>
        </w:rPr>
        <w:t xml:space="preserve"> main</w:t>
      </w:r>
      <w:r w:rsidR="68801E29" w:rsidRPr="000A53C0">
        <w:rPr>
          <w:rFonts w:cs="Arial"/>
        </w:rPr>
        <w:t xml:space="preserve"> labour market breakdowns</w:t>
      </w:r>
      <w:r w:rsidR="00BA294A" w:rsidRPr="000A53C0">
        <w:rPr>
          <w:rFonts w:cs="Arial"/>
        </w:rPr>
        <w:t>, consistent with many of these claims being from the benchtop manufacturing industry</w:t>
      </w:r>
      <w:r w:rsidR="00621EDD" w:rsidRPr="000A53C0">
        <w:rPr>
          <w:rFonts w:cs="Arial"/>
        </w:rPr>
        <w:t>:</w:t>
      </w:r>
      <w:r w:rsidR="00BA294A" w:rsidRPr="000A53C0">
        <w:rPr>
          <w:rFonts w:cs="Arial"/>
        </w:rPr>
        <w:t xml:space="preserve"> </w:t>
      </w:r>
    </w:p>
    <w:p w14:paraId="0ED8F1CF" w14:textId="42308284" w:rsidR="005F4488" w:rsidRPr="000A53C0" w:rsidRDefault="005F4488" w:rsidP="001B44C4">
      <w:pPr>
        <w:pStyle w:val="IAListbullet2"/>
        <w:rPr>
          <w:rFonts w:cs="Arial"/>
        </w:rPr>
      </w:pPr>
      <w:r w:rsidRPr="000A53C0">
        <w:rPr>
          <w:rFonts w:cs="Arial"/>
        </w:rPr>
        <w:lastRenderedPageBreak/>
        <w:t>90% are in ‘Other Non-Metallic Mineral Product Manufacturing’ (ANZSIC Group 209</w:t>
      </w:r>
      <w:r w:rsidR="7537E179" w:rsidRPr="000A53C0">
        <w:rPr>
          <w:rFonts w:cs="Arial"/>
        </w:rPr>
        <w:t>, based on the industry of employment classification</w:t>
      </w:r>
      <w:r w:rsidRPr="000A53C0">
        <w:rPr>
          <w:rFonts w:cs="Arial"/>
        </w:rPr>
        <w:t>)</w:t>
      </w:r>
      <w:r w:rsidR="00683A7B">
        <w:rPr>
          <w:rFonts w:cs="Arial"/>
        </w:rPr>
        <w:t>, and</w:t>
      </w:r>
    </w:p>
    <w:p w14:paraId="33C13ABD" w14:textId="12775233" w:rsidR="005F4488" w:rsidRPr="000A53C0" w:rsidRDefault="005F4488" w:rsidP="001B44C4">
      <w:pPr>
        <w:pStyle w:val="IAListbullet2"/>
        <w:rPr>
          <w:rFonts w:cs="Arial"/>
        </w:rPr>
      </w:pPr>
      <w:r w:rsidRPr="000A53C0">
        <w:rPr>
          <w:rFonts w:cs="Arial"/>
        </w:rPr>
        <w:t>88% are ‘Bricklayers and Stonemasons’ (ANZSCO Unit group 3311</w:t>
      </w:r>
      <w:r w:rsidR="438B167A" w:rsidRPr="000A53C0">
        <w:rPr>
          <w:rFonts w:cs="Arial"/>
        </w:rPr>
        <w:t>, based on the occupation of employment classification</w:t>
      </w:r>
      <w:r w:rsidRPr="000A53C0">
        <w:rPr>
          <w:rFonts w:cs="Arial"/>
        </w:rPr>
        <w:t>).</w:t>
      </w:r>
    </w:p>
    <w:p w14:paraId="7917AC51" w14:textId="24FBADCF" w:rsidR="00AF4985" w:rsidRPr="000A53C0" w:rsidRDefault="00AF4985" w:rsidP="00AF4985">
      <w:pPr>
        <w:pStyle w:val="BodyText"/>
        <w:rPr>
          <w:rFonts w:cs="Arial"/>
        </w:rPr>
      </w:pPr>
      <w:r w:rsidRPr="000A53C0">
        <w:rPr>
          <w:rFonts w:cs="Arial"/>
        </w:rPr>
        <w:t>The rate of silicosis diagnosis amongst engineered stone workers is much higher than in other</w:t>
      </w:r>
      <w:r w:rsidR="00EC2F85" w:rsidRPr="000A53C0">
        <w:rPr>
          <w:rFonts w:cs="Arial"/>
        </w:rPr>
        <w:t xml:space="preserve"> </w:t>
      </w:r>
      <w:r w:rsidRPr="000A53C0">
        <w:rPr>
          <w:rFonts w:cs="Arial"/>
        </w:rPr>
        <w:t>workers</w:t>
      </w:r>
      <w:r w:rsidR="00EC2F85" w:rsidRPr="000A53C0">
        <w:rPr>
          <w:rFonts w:cs="Arial"/>
        </w:rPr>
        <w:t xml:space="preserve"> exposed to RCS</w:t>
      </w:r>
      <w:r w:rsidRPr="000A53C0">
        <w:rPr>
          <w:rFonts w:cs="Arial"/>
        </w:rPr>
        <w:t xml:space="preserve">. According to </w:t>
      </w:r>
      <w:r w:rsidR="0097642E" w:rsidRPr="000A53C0">
        <w:rPr>
          <w:rFonts w:cs="Arial"/>
        </w:rPr>
        <w:t xml:space="preserve">the Australian Engineered Stone Advisory Group (2019), </w:t>
      </w:r>
      <w:r w:rsidRPr="000A53C0">
        <w:rPr>
          <w:rFonts w:cs="Arial"/>
        </w:rPr>
        <w:t>around 10,000 people work in engineered stone fabrication businesses in Aust</w:t>
      </w:r>
      <w:r w:rsidR="0097642E" w:rsidRPr="000A53C0">
        <w:rPr>
          <w:rFonts w:cs="Arial"/>
        </w:rPr>
        <w:t>r</w:t>
      </w:r>
      <w:r w:rsidRPr="000A53C0">
        <w:rPr>
          <w:rFonts w:cs="Arial"/>
        </w:rPr>
        <w:t xml:space="preserve">alia. A recent Curtin University report estimates that 584,050 workers are currently exposed to RCS in the workplace workers in Australia </w:t>
      </w:r>
      <w:sdt>
        <w:sdtPr>
          <w:rPr>
            <w:rFonts w:cs="Arial"/>
          </w:rPr>
          <w:id w:val="914353063"/>
          <w:citation/>
        </w:sdtPr>
        <w:sdtEndPr/>
        <w:sdtContent>
          <w:r w:rsidRPr="000A53C0">
            <w:rPr>
              <w:rFonts w:cs="Arial"/>
            </w:rPr>
            <w:fldChar w:fldCharType="begin"/>
          </w:r>
          <w:r w:rsidR="00A74AA4" w:rsidRPr="000A53C0">
            <w:rPr>
              <w:rFonts w:cs="Arial"/>
            </w:rPr>
            <w:instrText xml:space="preserve">CITATION Car22 \l 3081 </w:instrText>
          </w:r>
          <w:r w:rsidRPr="000A53C0">
            <w:rPr>
              <w:rFonts w:cs="Arial"/>
            </w:rPr>
            <w:fldChar w:fldCharType="separate"/>
          </w:r>
          <w:r w:rsidR="001F7BAA" w:rsidRPr="000A53C0">
            <w:rPr>
              <w:rFonts w:cs="Arial"/>
              <w:noProof/>
            </w:rPr>
            <w:t>(Carey and Fritschi 2022)</w:t>
          </w:r>
          <w:r w:rsidRPr="000A53C0">
            <w:rPr>
              <w:rFonts w:cs="Arial"/>
            </w:rPr>
            <w:fldChar w:fldCharType="end"/>
          </w:r>
        </w:sdtContent>
      </w:sdt>
      <w:r w:rsidR="00003727" w:rsidRPr="000A53C0">
        <w:rPr>
          <w:rFonts w:cs="Arial"/>
        </w:rPr>
        <w:t>, meaning that engineered stone workers represent less than 2% of all those who are exposed to RCS at work.</w:t>
      </w:r>
      <w:r w:rsidRPr="000A53C0">
        <w:rPr>
          <w:rFonts w:cs="Arial"/>
        </w:rPr>
        <w:t xml:space="preserve"> </w:t>
      </w:r>
      <w:r w:rsidR="00053222" w:rsidRPr="000A53C0">
        <w:rPr>
          <w:rFonts w:cs="Arial"/>
        </w:rPr>
        <w:t xml:space="preserve">Figure 3 shows that </w:t>
      </w:r>
      <w:r w:rsidRPr="000A53C0">
        <w:rPr>
          <w:rFonts w:cs="Arial"/>
        </w:rPr>
        <w:t xml:space="preserve">80% of accepted silicosis compensation claims are from the manufacturing industry, with labour market breakdowns suggesting most of these are likely to be from the </w:t>
      </w:r>
      <w:r w:rsidR="007646AC" w:rsidRPr="000A53C0">
        <w:rPr>
          <w:rFonts w:cs="Arial"/>
        </w:rPr>
        <w:t xml:space="preserve">benchtop manufacturing industry. </w:t>
      </w:r>
      <w:r w:rsidR="00E87735" w:rsidRPr="000A53C0">
        <w:rPr>
          <w:rFonts w:cs="Arial"/>
        </w:rPr>
        <w:t>Th</w:t>
      </w:r>
      <w:r w:rsidR="002F0B3F" w:rsidRPr="000A53C0">
        <w:rPr>
          <w:rFonts w:cs="Arial"/>
        </w:rPr>
        <w:t xml:space="preserve">is </w:t>
      </w:r>
      <w:r w:rsidR="00396DD2" w:rsidRPr="000A53C0">
        <w:rPr>
          <w:rFonts w:cs="Arial"/>
        </w:rPr>
        <w:t xml:space="preserve">suggests </w:t>
      </w:r>
      <w:r w:rsidR="00301F98" w:rsidRPr="000A53C0">
        <w:rPr>
          <w:rFonts w:cs="Arial"/>
        </w:rPr>
        <w:t>that</w:t>
      </w:r>
      <w:r w:rsidR="002F0B3F" w:rsidRPr="000A53C0">
        <w:rPr>
          <w:rFonts w:cs="Arial"/>
        </w:rPr>
        <w:t xml:space="preserve"> e</w:t>
      </w:r>
      <w:r w:rsidR="00E87735" w:rsidRPr="000A53C0">
        <w:rPr>
          <w:rFonts w:cs="Arial"/>
        </w:rPr>
        <w:t xml:space="preserve">ngineered stone workers </w:t>
      </w:r>
      <w:r w:rsidR="00396DD2" w:rsidRPr="000A53C0">
        <w:rPr>
          <w:rFonts w:cs="Arial"/>
        </w:rPr>
        <w:t xml:space="preserve">are </w:t>
      </w:r>
      <w:r w:rsidR="00E87735" w:rsidRPr="000A53C0">
        <w:rPr>
          <w:rFonts w:cs="Arial"/>
        </w:rPr>
        <w:t>dramatically over-represented amongst</w:t>
      </w:r>
      <w:r w:rsidR="002F0B3F" w:rsidRPr="000A53C0">
        <w:rPr>
          <w:rFonts w:cs="Arial"/>
        </w:rPr>
        <w:t xml:space="preserve"> workers diagnosed with silicosis. </w:t>
      </w:r>
    </w:p>
    <w:p w14:paraId="7F74025F" w14:textId="5ED82EBA" w:rsidR="005F4488" w:rsidRPr="000A53C0" w:rsidRDefault="00396DD2" w:rsidP="00CE4A13">
      <w:pPr>
        <w:pStyle w:val="BodyText"/>
        <w:rPr>
          <w:rFonts w:cs="Arial"/>
        </w:rPr>
      </w:pPr>
      <w:r w:rsidRPr="000A53C0">
        <w:rPr>
          <w:rFonts w:cs="Arial"/>
        </w:rPr>
        <w:t>The</w:t>
      </w:r>
      <w:r w:rsidR="005F4488" w:rsidRPr="000A53C0">
        <w:rPr>
          <w:rFonts w:cs="Arial"/>
        </w:rPr>
        <w:t xml:space="preserve"> increase in claims seen </w:t>
      </w:r>
      <w:r w:rsidR="00F771FD" w:rsidRPr="000A53C0">
        <w:rPr>
          <w:rFonts w:cs="Arial"/>
        </w:rPr>
        <w:t>from 2018</w:t>
      </w:r>
      <w:r w:rsidR="006A18E4">
        <w:rPr>
          <w:rFonts w:cs="Arial"/>
        </w:rPr>
        <w:t>–</w:t>
      </w:r>
      <w:r w:rsidR="00F771FD" w:rsidRPr="000A53C0">
        <w:rPr>
          <w:rFonts w:cs="Arial"/>
        </w:rPr>
        <w:t>19 onwards</w:t>
      </w:r>
      <w:r w:rsidR="000B00A0" w:rsidRPr="000A53C0">
        <w:rPr>
          <w:rFonts w:cs="Arial"/>
        </w:rPr>
        <w:t xml:space="preserve"> (</w:t>
      </w:r>
      <w:r w:rsidR="000B00A0" w:rsidRPr="000A53C0">
        <w:rPr>
          <w:rFonts w:cs="Arial"/>
        </w:rPr>
        <w:fldChar w:fldCharType="begin" w:fldLock="1"/>
      </w:r>
      <w:r w:rsidR="000B00A0" w:rsidRPr="000A53C0">
        <w:rPr>
          <w:rFonts w:cs="Arial"/>
        </w:rPr>
        <w:instrText xml:space="preserve"> REF _Ref139627580 \h </w:instrText>
      </w:r>
      <w:r w:rsidR="007646AC" w:rsidRPr="000A53C0">
        <w:rPr>
          <w:rFonts w:cs="Arial"/>
        </w:rPr>
        <w:instrText xml:space="preserve"> \* MERGEFORMAT </w:instrText>
      </w:r>
      <w:r w:rsidR="000B00A0" w:rsidRPr="000A53C0">
        <w:rPr>
          <w:rFonts w:cs="Arial"/>
        </w:rPr>
      </w:r>
      <w:r w:rsidR="000B00A0" w:rsidRPr="000A53C0">
        <w:rPr>
          <w:rFonts w:cs="Arial"/>
        </w:rPr>
        <w:fldChar w:fldCharType="separate"/>
      </w:r>
      <w:r w:rsidR="00D16271" w:rsidRPr="00D16271">
        <w:rPr>
          <w:rFonts w:cs="Arial"/>
        </w:rPr>
        <w:t>Figure 1</w:t>
      </w:r>
      <w:r w:rsidR="000B00A0" w:rsidRPr="000A53C0">
        <w:rPr>
          <w:rFonts w:cs="Arial"/>
        </w:rPr>
        <w:fldChar w:fldCharType="end"/>
      </w:r>
      <w:r w:rsidR="000B00A0" w:rsidRPr="000A53C0">
        <w:rPr>
          <w:rFonts w:cs="Arial"/>
        </w:rPr>
        <w:t>)</w:t>
      </w:r>
      <w:r w:rsidR="00F771FD" w:rsidRPr="000A53C0">
        <w:rPr>
          <w:rFonts w:cs="Arial"/>
        </w:rPr>
        <w:t xml:space="preserve">, together with the concentration of these claims </w:t>
      </w:r>
      <w:r w:rsidR="005F4488" w:rsidRPr="000A53C0">
        <w:rPr>
          <w:rFonts w:cs="Arial"/>
        </w:rPr>
        <w:t xml:space="preserve">in the manufacturing sector </w:t>
      </w:r>
      <w:r w:rsidR="00666B49" w:rsidRPr="000A53C0">
        <w:rPr>
          <w:rFonts w:cs="Arial"/>
        </w:rPr>
        <w:t>(</w:t>
      </w:r>
      <w:r w:rsidR="000B00A0" w:rsidRPr="000A53C0">
        <w:rPr>
          <w:rFonts w:cs="Arial"/>
        </w:rPr>
        <w:fldChar w:fldCharType="begin" w:fldLock="1"/>
      </w:r>
      <w:r w:rsidR="000B00A0" w:rsidRPr="000A53C0">
        <w:rPr>
          <w:rFonts w:cs="Arial"/>
        </w:rPr>
        <w:instrText xml:space="preserve"> REF _Ref139629776 \h </w:instrText>
      </w:r>
      <w:r w:rsidR="007646AC" w:rsidRPr="000A53C0">
        <w:rPr>
          <w:rFonts w:cs="Arial"/>
        </w:rPr>
        <w:instrText xml:space="preserve"> \* MERGEFORMAT </w:instrText>
      </w:r>
      <w:r w:rsidR="000B00A0" w:rsidRPr="000A53C0">
        <w:rPr>
          <w:rFonts w:cs="Arial"/>
        </w:rPr>
      </w:r>
      <w:r w:rsidR="000B00A0" w:rsidRPr="000A53C0">
        <w:rPr>
          <w:rFonts w:cs="Arial"/>
        </w:rPr>
        <w:fldChar w:fldCharType="separate"/>
      </w:r>
      <w:r w:rsidR="00D16271" w:rsidRPr="00D16271">
        <w:rPr>
          <w:rFonts w:cs="Arial"/>
        </w:rPr>
        <w:t>Figure 3</w:t>
      </w:r>
      <w:r w:rsidR="000B00A0" w:rsidRPr="000A53C0">
        <w:rPr>
          <w:rFonts w:cs="Arial"/>
        </w:rPr>
        <w:fldChar w:fldCharType="end"/>
      </w:r>
      <w:r w:rsidR="005F4488" w:rsidRPr="000A53C0">
        <w:rPr>
          <w:rFonts w:cs="Arial"/>
        </w:rPr>
        <w:t xml:space="preserve">) coincides with concerted awareness raising and health screening efforts targeted at stone masons and engineered stone workers. </w:t>
      </w:r>
      <w:r w:rsidR="00216E88" w:rsidRPr="000A53C0">
        <w:rPr>
          <w:rFonts w:cs="Arial"/>
        </w:rPr>
        <w:t>Targeted screening of workers in other silica-exposed industries has not occurred t</w:t>
      </w:r>
      <w:r w:rsidR="00666B49" w:rsidRPr="000A53C0">
        <w:rPr>
          <w:rFonts w:cs="Arial"/>
        </w:rPr>
        <w:t>o</w:t>
      </w:r>
      <w:r w:rsidR="00216E88" w:rsidRPr="000A53C0">
        <w:rPr>
          <w:rFonts w:cs="Arial"/>
        </w:rPr>
        <w:t xml:space="preserve"> the same extent, </w:t>
      </w:r>
      <w:r w:rsidR="007646AC" w:rsidRPr="000A53C0">
        <w:rPr>
          <w:rFonts w:cs="Arial"/>
        </w:rPr>
        <w:t xml:space="preserve">and it is </w:t>
      </w:r>
      <w:r w:rsidRPr="000A53C0">
        <w:rPr>
          <w:rFonts w:cs="Arial"/>
        </w:rPr>
        <w:t>not known</w:t>
      </w:r>
      <w:r w:rsidR="007646AC" w:rsidRPr="000A53C0">
        <w:rPr>
          <w:rFonts w:cs="Arial"/>
        </w:rPr>
        <w:t xml:space="preserve"> if a similar result would be found if this were to occur. </w:t>
      </w:r>
      <w:r w:rsidR="00586C7B" w:rsidRPr="000A53C0">
        <w:rPr>
          <w:rFonts w:cs="Arial"/>
        </w:rPr>
        <w:t>Indicatively</w:t>
      </w:r>
      <w:r w:rsidR="007646AC" w:rsidRPr="000A53C0">
        <w:rPr>
          <w:rFonts w:cs="Arial"/>
        </w:rPr>
        <w:t xml:space="preserve">, a </w:t>
      </w:r>
      <w:r w:rsidR="00216E88" w:rsidRPr="000A53C0">
        <w:rPr>
          <w:rFonts w:cs="Arial"/>
        </w:rPr>
        <w:t>screening program aimed at Queensland</w:t>
      </w:r>
      <w:r w:rsidR="000300C0" w:rsidRPr="000A53C0">
        <w:rPr>
          <w:rFonts w:cs="Arial"/>
        </w:rPr>
        <w:t xml:space="preserve">’s mine and quarry workers </w:t>
      </w:r>
      <w:r w:rsidR="00351823" w:rsidRPr="000A53C0">
        <w:rPr>
          <w:rFonts w:cs="Arial"/>
        </w:rPr>
        <w:t>saw a 2</w:t>
      </w:r>
      <w:r w:rsidR="009825E8" w:rsidRPr="000A53C0">
        <w:rPr>
          <w:rFonts w:cs="Arial"/>
        </w:rPr>
        <w:t>7</w:t>
      </w:r>
      <w:r w:rsidR="00351823" w:rsidRPr="000A53C0">
        <w:rPr>
          <w:rFonts w:cs="Arial"/>
        </w:rPr>
        <w:t xml:space="preserve">% increase in </w:t>
      </w:r>
      <w:r w:rsidR="00FD4612" w:rsidRPr="000A53C0">
        <w:rPr>
          <w:rFonts w:cs="Arial"/>
        </w:rPr>
        <w:t xml:space="preserve">diagnosed </w:t>
      </w:r>
      <w:r w:rsidR="00666B49" w:rsidRPr="000A53C0">
        <w:rPr>
          <w:rFonts w:cs="Arial"/>
        </w:rPr>
        <w:t xml:space="preserve">mine dust diseases, including but not limited to silicosis, </w:t>
      </w:r>
      <w:r w:rsidR="00FD4612" w:rsidRPr="000A53C0">
        <w:rPr>
          <w:rFonts w:cs="Arial"/>
        </w:rPr>
        <w:t>between the 2021</w:t>
      </w:r>
      <w:r w:rsidR="005844BE">
        <w:rPr>
          <w:rFonts w:cs="Arial"/>
        </w:rPr>
        <w:t>–</w:t>
      </w:r>
      <w:r w:rsidR="00FD4612" w:rsidRPr="000A53C0">
        <w:rPr>
          <w:rFonts w:cs="Arial"/>
        </w:rPr>
        <w:t>22 and 2022</w:t>
      </w:r>
      <w:r w:rsidR="005844BE">
        <w:rPr>
          <w:rFonts w:cs="Arial"/>
        </w:rPr>
        <w:t>–</w:t>
      </w:r>
      <w:r w:rsidR="00FD4612" w:rsidRPr="000A53C0">
        <w:rPr>
          <w:rFonts w:cs="Arial"/>
        </w:rPr>
        <w:t>23 financial years</w:t>
      </w:r>
      <w:r w:rsidR="00F069DE" w:rsidRPr="000A53C0">
        <w:rPr>
          <w:rFonts w:cs="Arial"/>
        </w:rPr>
        <w:t xml:space="preserve"> </w:t>
      </w:r>
      <w:sdt>
        <w:sdtPr>
          <w:rPr>
            <w:rFonts w:cs="Arial"/>
          </w:rPr>
          <w:id w:val="-2066101684"/>
          <w:citation/>
        </w:sdtPr>
        <w:sdtEndPr/>
        <w:sdtContent>
          <w:r w:rsidR="009825E8" w:rsidRPr="000A53C0">
            <w:rPr>
              <w:rFonts w:cs="Arial"/>
            </w:rPr>
            <w:fldChar w:fldCharType="begin"/>
          </w:r>
          <w:r w:rsidR="009825E8" w:rsidRPr="000A53C0">
            <w:rPr>
              <w:rFonts w:cs="Arial"/>
            </w:rPr>
            <w:instrText xml:space="preserve"> CITATION The23 \l 3081 </w:instrText>
          </w:r>
          <w:r w:rsidR="009825E8" w:rsidRPr="000A53C0">
            <w:rPr>
              <w:rFonts w:cs="Arial"/>
            </w:rPr>
            <w:fldChar w:fldCharType="separate"/>
          </w:r>
          <w:r w:rsidR="001F7BAA" w:rsidRPr="000A53C0">
            <w:rPr>
              <w:rFonts w:cs="Arial"/>
              <w:noProof/>
            </w:rPr>
            <w:t>(The Daily Telegraph 2023)</w:t>
          </w:r>
          <w:r w:rsidR="009825E8" w:rsidRPr="000A53C0">
            <w:rPr>
              <w:rFonts w:cs="Arial"/>
            </w:rPr>
            <w:fldChar w:fldCharType="end"/>
          </w:r>
        </w:sdtContent>
      </w:sdt>
      <w:r w:rsidR="0077068B" w:rsidRPr="000A53C0">
        <w:rPr>
          <w:rFonts w:cs="Arial"/>
        </w:rPr>
        <w:t xml:space="preserve">. </w:t>
      </w:r>
    </w:p>
    <w:p w14:paraId="39A8DE91" w14:textId="647C19B2" w:rsidR="00F8483F" w:rsidRPr="000A53C0" w:rsidRDefault="00F8483F" w:rsidP="00514CCB">
      <w:pPr>
        <w:pStyle w:val="Heading2numbered"/>
      </w:pPr>
      <w:bookmarkStart w:id="80" w:name="_Toc142991327"/>
      <w:r w:rsidRPr="000A53C0">
        <w:t>Problem statement summary</w:t>
      </w:r>
      <w:bookmarkEnd w:id="80"/>
    </w:p>
    <w:p w14:paraId="52E34CAE" w14:textId="3BC48B63" w:rsidR="00C7378D" w:rsidRPr="000A53C0" w:rsidRDefault="00862ECA" w:rsidP="009D6902">
      <w:pPr>
        <w:pStyle w:val="BodyText"/>
        <w:rPr>
          <w:rFonts w:cs="Arial"/>
        </w:rPr>
      </w:pPr>
      <w:r w:rsidRPr="000A53C0">
        <w:rPr>
          <w:rFonts w:cs="Arial"/>
        </w:rPr>
        <w:t>There is a dispropo</w:t>
      </w:r>
      <w:r w:rsidR="002F15DF" w:rsidRPr="000A53C0">
        <w:rPr>
          <w:rFonts w:cs="Arial"/>
        </w:rPr>
        <w:t xml:space="preserve">rtionate number of </w:t>
      </w:r>
      <w:r w:rsidR="00724303" w:rsidRPr="000A53C0">
        <w:rPr>
          <w:rFonts w:cs="Arial"/>
        </w:rPr>
        <w:t xml:space="preserve">cases of silicosis in </w:t>
      </w:r>
      <w:r w:rsidR="00C7378D" w:rsidRPr="000A53C0">
        <w:rPr>
          <w:rFonts w:cs="Arial"/>
        </w:rPr>
        <w:t xml:space="preserve">engineered stone workers. </w:t>
      </w:r>
    </w:p>
    <w:p w14:paraId="3D9CAE6E" w14:textId="2E2A0673" w:rsidR="00942E38" w:rsidRPr="000A53C0" w:rsidRDefault="00E45522" w:rsidP="009D6902">
      <w:pPr>
        <w:pStyle w:val="BodyText"/>
        <w:rPr>
          <w:rFonts w:cs="Arial"/>
        </w:rPr>
      </w:pPr>
      <w:r w:rsidRPr="000A53C0">
        <w:rPr>
          <w:rFonts w:cs="Arial"/>
        </w:rPr>
        <w:t>Silicosis in engineered st</w:t>
      </w:r>
      <w:r w:rsidR="009D6902" w:rsidRPr="000A53C0">
        <w:rPr>
          <w:rFonts w:cs="Arial"/>
        </w:rPr>
        <w:t>one</w:t>
      </w:r>
      <w:r w:rsidR="00946A73" w:rsidRPr="000A53C0">
        <w:rPr>
          <w:rFonts w:cs="Arial"/>
        </w:rPr>
        <w:t xml:space="preserve"> workers is characterised by </w:t>
      </w:r>
      <w:r w:rsidR="00B64FD8" w:rsidRPr="000A53C0">
        <w:rPr>
          <w:rFonts w:cs="Arial"/>
        </w:rPr>
        <w:t xml:space="preserve">a shorter </w:t>
      </w:r>
      <w:r w:rsidR="00946A73" w:rsidRPr="000A53C0">
        <w:rPr>
          <w:rFonts w:cs="Arial"/>
        </w:rPr>
        <w:t xml:space="preserve">time to disease </w:t>
      </w:r>
      <w:r w:rsidR="00B64FD8" w:rsidRPr="000A53C0">
        <w:rPr>
          <w:rFonts w:cs="Arial"/>
        </w:rPr>
        <w:t xml:space="preserve">onset and faster </w:t>
      </w:r>
      <w:r w:rsidR="005D2B16" w:rsidRPr="000A53C0">
        <w:rPr>
          <w:rFonts w:cs="Arial"/>
        </w:rPr>
        <w:t xml:space="preserve">disease </w:t>
      </w:r>
      <w:r w:rsidR="00B64FD8" w:rsidRPr="000A53C0">
        <w:rPr>
          <w:rFonts w:cs="Arial"/>
        </w:rPr>
        <w:t>progression</w:t>
      </w:r>
      <w:r w:rsidR="00946A73" w:rsidRPr="000A53C0">
        <w:rPr>
          <w:rFonts w:cs="Arial"/>
        </w:rPr>
        <w:t>.</w:t>
      </w:r>
    </w:p>
    <w:p w14:paraId="509DCCAA" w14:textId="0D22B68F" w:rsidR="009D6902" w:rsidRPr="000A53C0" w:rsidRDefault="00942E38" w:rsidP="009D6902">
      <w:pPr>
        <w:pStyle w:val="BodyText"/>
        <w:rPr>
          <w:rFonts w:cs="Arial"/>
        </w:rPr>
      </w:pPr>
      <w:r w:rsidRPr="000A53C0">
        <w:rPr>
          <w:rFonts w:cs="Arial"/>
        </w:rPr>
        <w:t>T</w:t>
      </w:r>
      <w:r w:rsidR="00B64FD8" w:rsidRPr="000A53C0">
        <w:rPr>
          <w:rFonts w:cs="Arial"/>
        </w:rPr>
        <w:t xml:space="preserve">his </w:t>
      </w:r>
      <w:r w:rsidR="006D0C43" w:rsidRPr="000A53C0">
        <w:rPr>
          <w:rFonts w:cs="Arial"/>
        </w:rPr>
        <w:t xml:space="preserve">is </w:t>
      </w:r>
      <w:r w:rsidR="00B64FD8" w:rsidRPr="000A53C0">
        <w:rPr>
          <w:rFonts w:cs="Arial"/>
        </w:rPr>
        <w:t xml:space="preserve">due </w:t>
      </w:r>
      <w:r w:rsidR="006D0C43" w:rsidRPr="000A53C0">
        <w:rPr>
          <w:rFonts w:cs="Arial"/>
        </w:rPr>
        <w:t>to combination of factors, including the unique hazards posed by engineered stone dust (</w:t>
      </w:r>
      <w:r w:rsidR="00B64FD8" w:rsidRPr="000A53C0">
        <w:rPr>
          <w:rFonts w:cs="Arial"/>
        </w:rPr>
        <w:t>RCS</w:t>
      </w:r>
      <w:r w:rsidR="003D477A" w:rsidRPr="000A53C0">
        <w:rPr>
          <w:rFonts w:cs="Arial"/>
        </w:rPr>
        <w:t>, as well as other hazardous substances</w:t>
      </w:r>
      <w:r w:rsidR="006D0C43" w:rsidRPr="000A53C0">
        <w:rPr>
          <w:rFonts w:cs="Arial"/>
        </w:rPr>
        <w:t xml:space="preserve">), </w:t>
      </w:r>
      <w:r w:rsidR="00536F0C" w:rsidRPr="000A53C0">
        <w:rPr>
          <w:rFonts w:cs="Arial"/>
        </w:rPr>
        <w:t xml:space="preserve">a </w:t>
      </w:r>
      <w:r w:rsidR="00891E59" w:rsidRPr="000A53C0">
        <w:rPr>
          <w:rFonts w:cs="Arial"/>
        </w:rPr>
        <w:t>lack of compliance with, and enforcement of, the WHS laws</w:t>
      </w:r>
      <w:r w:rsidR="006D0C43" w:rsidRPr="000A53C0">
        <w:rPr>
          <w:rFonts w:cs="Arial"/>
        </w:rPr>
        <w:t>, and t</w:t>
      </w:r>
      <w:bookmarkStart w:id="81" w:name="_Toc92958863"/>
      <w:bookmarkStart w:id="82" w:name="_Ref139550502"/>
      <w:bookmarkStart w:id="83" w:name="_Ref139550510"/>
      <w:bookmarkStart w:id="84" w:name="_Ref139550530"/>
      <w:bookmarkEnd w:id="63"/>
      <w:bookmarkEnd w:id="64"/>
      <w:r w:rsidR="006D7826" w:rsidRPr="000A53C0">
        <w:rPr>
          <w:rFonts w:cs="Arial"/>
        </w:rPr>
        <w:t>he nature of the engineered stone industry and workforce</w:t>
      </w:r>
      <w:r w:rsidR="006D0C43" w:rsidRPr="000A53C0">
        <w:rPr>
          <w:rFonts w:cs="Arial"/>
        </w:rPr>
        <w:t>.</w:t>
      </w:r>
    </w:p>
    <w:p w14:paraId="09C9F0F5" w14:textId="4F859AFC" w:rsidR="00077734" w:rsidRPr="000A53C0" w:rsidRDefault="009C05A3" w:rsidP="009D6902">
      <w:pPr>
        <w:pStyle w:val="BodyText"/>
        <w:rPr>
          <w:rFonts w:cs="Arial"/>
          <w:b/>
          <w:color w:val="014463" w:themeColor="text2"/>
          <w:sz w:val="60"/>
          <w:szCs w:val="60"/>
        </w:rPr>
      </w:pPr>
      <w:r w:rsidRPr="000A53C0">
        <w:rPr>
          <w:rFonts w:cs="Arial"/>
        </w:rPr>
        <w:t xml:space="preserve">Given </w:t>
      </w:r>
      <w:r w:rsidR="00137E5C" w:rsidRPr="000A53C0">
        <w:rPr>
          <w:rFonts w:cs="Arial"/>
        </w:rPr>
        <w:t>the</w:t>
      </w:r>
      <w:r w:rsidR="00E33BB3" w:rsidRPr="000A53C0">
        <w:rPr>
          <w:rFonts w:cs="Arial"/>
        </w:rPr>
        <w:t>se factors</w:t>
      </w:r>
      <w:r w:rsidR="00615F9B" w:rsidRPr="000A53C0">
        <w:rPr>
          <w:rFonts w:cs="Arial"/>
        </w:rPr>
        <w:t xml:space="preserve">, </w:t>
      </w:r>
      <w:r w:rsidR="00540046" w:rsidRPr="000A53C0">
        <w:rPr>
          <w:rFonts w:cs="Arial"/>
        </w:rPr>
        <w:t xml:space="preserve">Government intervention to prohibit </w:t>
      </w:r>
      <w:r w:rsidR="00210742" w:rsidRPr="000A53C0">
        <w:rPr>
          <w:rFonts w:cs="Arial"/>
        </w:rPr>
        <w:t>the use of engineered stone</w:t>
      </w:r>
      <w:r w:rsidR="00540046" w:rsidRPr="000A53C0">
        <w:rPr>
          <w:rFonts w:cs="Arial"/>
        </w:rPr>
        <w:t xml:space="preserve"> should be considered. </w:t>
      </w:r>
      <w:r w:rsidR="00077734" w:rsidRPr="000A53C0">
        <w:rPr>
          <w:rFonts w:cs="Arial"/>
        </w:rPr>
        <w:br w:type="page"/>
      </w:r>
    </w:p>
    <w:p w14:paraId="1B99CE0D" w14:textId="4045C6DF" w:rsidR="008E698E" w:rsidRPr="000A53C0" w:rsidRDefault="008E698E" w:rsidP="00C96920">
      <w:pPr>
        <w:pStyle w:val="Heading1numbered"/>
      </w:pPr>
      <w:bookmarkStart w:id="85" w:name="_Ref140226928"/>
      <w:bookmarkStart w:id="86" w:name="_Ref140226930"/>
      <w:bookmarkStart w:id="87" w:name="_Toc142991328"/>
      <w:r w:rsidRPr="000A53C0">
        <w:lastRenderedPageBreak/>
        <w:t xml:space="preserve">What policy options are </w:t>
      </w:r>
      <w:r w:rsidR="008314B7" w:rsidRPr="000A53C0">
        <w:t>being considered</w:t>
      </w:r>
      <w:r w:rsidRPr="000A53C0">
        <w:t>?</w:t>
      </w:r>
      <w:bookmarkEnd w:id="81"/>
      <w:bookmarkEnd w:id="82"/>
      <w:bookmarkEnd w:id="83"/>
      <w:bookmarkEnd w:id="84"/>
      <w:bookmarkEnd w:id="85"/>
      <w:bookmarkEnd w:id="86"/>
      <w:bookmarkEnd w:id="87"/>
    </w:p>
    <w:p w14:paraId="76828A35" w14:textId="6888EE33" w:rsidR="008E698E" w:rsidRPr="000A53C0" w:rsidRDefault="008E698E" w:rsidP="00514CCB">
      <w:pPr>
        <w:pStyle w:val="Heading2numbered"/>
      </w:pPr>
      <w:bookmarkStart w:id="88" w:name="_Toc92958864"/>
      <w:bookmarkStart w:id="89" w:name="_Toc142991329"/>
      <w:r w:rsidRPr="000A53C0">
        <w:t>Overview</w:t>
      </w:r>
      <w:bookmarkEnd w:id="88"/>
      <w:bookmarkEnd w:id="89"/>
    </w:p>
    <w:p w14:paraId="29EE8EB6" w14:textId="3597EF62" w:rsidR="00685178" w:rsidRPr="000A53C0" w:rsidRDefault="00685178" w:rsidP="00685178">
      <w:pPr>
        <w:pStyle w:val="BodyText"/>
        <w:rPr>
          <w:rFonts w:cs="Arial"/>
        </w:rPr>
      </w:pPr>
      <w:bookmarkStart w:id="90" w:name="_Ref92897966"/>
      <w:r w:rsidRPr="000A53C0">
        <w:rPr>
          <w:rFonts w:cs="Arial"/>
        </w:rPr>
        <w:t xml:space="preserve">Building on the impact analysis undertaken for the Silica Decision RIS, in March and April 2023, </w:t>
      </w:r>
      <w:r w:rsidR="005367C0" w:rsidRPr="000A53C0">
        <w:rPr>
          <w:rFonts w:cs="Arial"/>
        </w:rPr>
        <w:t>the Agency</w:t>
      </w:r>
      <w:r w:rsidR="002B3483" w:rsidRPr="000A53C0">
        <w:rPr>
          <w:rFonts w:cs="Arial"/>
        </w:rPr>
        <w:t xml:space="preserve"> consulted on </w:t>
      </w:r>
      <w:r w:rsidR="005F5A23">
        <w:rPr>
          <w:rFonts w:cs="Arial"/>
        </w:rPr>
        <w:t>3</w:t>
      </w:r>
      <w:r w:rsidR="002B3483" w:rsidRPr="000A53C0">
        <w:rPr>
          <w:rFonts w:cs="Arial"/>
        </w:rPr>
        <w:t xml:space="preserve"> </w:t>
      </w:r>
      <w:r w:rsidR="00FC5868" w:rsidRPr="000A53C0">
        <w:rPr>
          <w:rFonts w:cs="Arial"/>
        </w:rPr>
        <w:t xml:space="preserve">different </w:t>
      </w:r>
      <w:r w:rsidR="002B3483" w:rsidRPr="000A53C0">
        <w:rPr>
          <w:rFonts w:cs="Arial"/>
        </w:rPr>
        <w:t xml:space="preserve">options to </w:t>
      </w:r>
      <w:r w:rsidR="00FC5868" w:rsidRPr="000A53C0">
        <w:rPr>
          <w:rFonts w:cs="Arial"/>
        </w:rPr>
        <w:t>prohibit the use of engineered stone</w:t>
      </w:r>
      <w:r w:rsidRPr="000A53C0">
        <w:rPr>
          <w:rFonts w:cs="Arial"/>
        </w:rPr>
        <w:t xml:space="preserve">. These options are considered a revised base case, </w:t>
      </w:r>
      <w:r w:rsidR="00810112" w:rsidRPr="000A53C0">
        <w:rPr>
          <w:rFonts w:cs="Arial"/>
        </w:rPr>
        <w:t>which includes those recommendations from the Silica Decision RIS recently agreed to but not yet recommended</w:t>
      </w:r>
      <w:r w:rsidR="009A44FD" w:rsidRPr="000A53C0">
        <w:rPr>
          <w:rFonts w:cs="Arial"/>
        </w:rPr>
        <w:t xml:space="preserve">. </w:t>
      </w:r>
    </w:p>
    <w:p w14:paraId="18BA13F9" w14:textId="5C4AC23D" w:rsidR="007A3AC3" w:rsidRPr="000A53C0" w:rsidRDefault="00685178" w:rsidP="00685178">
      <w:pPr>
        <w:pStyle w:val="BodyText"/>
        <w:rPr>
          <w:rFonts w:cs="Arial"/>
        </w:rPr>
      </w:pPr>
      <w:r w:rsidRPr="000A53C0">
        <w:rPr>
          <w:rFonts w:cs="Arial"/>
        </w:rPr>
        <w:t xml:space="preserve">Non-regulatory options were considered as part of the Silica Decision RIS and agreed to by WHS </w:t>
      </w:r>
      <w:r w:rsidR="008766E0" w:rsidRPr="000A53C0">
        <w:rPr>
          <w:rFonts w:cs="Arial"/>
        </w:rPr>
        <w:t>ministers</w:t>
      </w:r>
      <w:r w:rsidRPr="000A53C0">
        <w:rPr>
          <w:rFonts w:cs="Arial"/>
        </w:rPr>
        <w:t xml:space="preserve">. </w:t>
      </w:r>
      <w:r w:rsidR="00A44BB8" w:rsidRPr="000A53C0">
        <w:rPr>
          <w:rFonts w:cs="Arial"/>
        </w:rPr>
        <w:t>Given this, n</w:t>
      </w:r>
      <w:r w:rsidRPr="000A53C0">
        <w:rPr>
          <w:rFonts w:cs="Arial"/>
        </w:rPr>
        <w:t>o further no</w:t>
      </w:r>
      <w:r w:rsidR="00A44BB8" w:rsidRPr="000A53C0">
        <w:rPr>
          <w:rFonts w:cs="Arial"/>
        </w:rPr>
        <w:t>n-</w:t>
      </w:r>
      <w:r w:rsidR="0079585E" w:rsidRPr="000A53C0">
        <w:rPr>
          <w:rFonts w:cs="Arial"/>
        </w:rPr>
        <w:t>regulatory</w:t>
      </w:r>
      <w:r w:rsidR="00A44BB8" w:rsidRPr="000A53C0">
        <w:rPr>
          <w:rFonts w:cs="Arial"/>
        </w:rPr>
        <w:t xml:space="preserve"> options were considered here. </w:t>
      </w:r>
    </w:p>
    <w:p w14:paraId="31A2BE83" w14:textId="076A3D31" w:rsidR="008E698E" w:rsidRPr="000A53C0" w:rsidRDefault="77513FF5" w:rsidP="00514CCB">
      <w:pPr>
        <w:pStyle w:val="Heading2numbered"/>
      </w:pPr>
      <w:bookmarkStart w:id="91" w:name="_Toc100240629"/>
      <w:bookmarkStart w:id="92" w:name="_Toc100240698"/>
      <w:bookmarkStart w:id="93" w:name="_Toc100323766"/>
      <w:bookmarkStart w:id="94" w:name="_Toc92885114"/>
      <w:bookmarkStart w:id="95" w:name="_Toc92958865"/>
      <w:bookmarkStart w:id="96" w:name="_Toc142991330"/>
      <w:bookmarkEnd w:id="90"/>
      <w:bookmarkEnd w:id="91"/>
      <w:bookmarkEnd w:id="92"/>
      <w:bookmarkEnd w:id="93"/>
      <w:r w:rsidRPr="000A53C0">
        <w:t>Base case</w:t>
      </w:r>
      <w:bookmarkEnd w:id="94"/>
      <w:bookmarkEnd w:id="95"/>
      <w:bookmarkEnd w:id="96"/>
    </w:p>
    <w:p w14:paraId="669FBB75" w14:textId="2692D919" w:rsidR="00AE6CB3" w:rsidRPr="000A53C0" w:rsidRDefault="00AE6CB3" w:rsidP="00AE6CB3">
      <w:pPr>
        <w:pStyle w:val="BodyText"/>
        <w:rPr>
          <w:rFonts w:cs="Arial"/>
        </w:rPr>
      </w:pPr>
      <w:bookmarkStart w:id="97" w:name="_Toc92885115"/>
      <w:bookmarkStart w:id="98" w:name="_Toc92958866"/>
      <w:r w:rsidRPr="000A53C0">
        <w:rPr>
          <w:rFonts w:cs="Arial"/>
        </w:rPr>
        <w:t>The base case represents the existing duties under the model WHS Act, the recently amended model WHS Regulations and relevant model Codes of Practice that are described in the Silica Decision RIS. It assumes compliance and enforcement activities of state and territory WHS regulators</w:t>
      </w:r>
      <w:r w:rsidR="00633334" w:rsidRPr="000A53C0">
        <w:rPr>
          <w:rFonts w:cs="Arial"/>
        </w:rPr>
        <w:t>,</w:t>
      </w:r>
      <w:r w:rsidRPr="000A53C0">
        <w:rPr>
          <w:rFonts w:cs="Arial"/>
        </w:rPr>
        <w:t xml:space="preserve"> and education and awareness activities undertaken by Safe Work Australia, state and territory governments and </w:t>
      </w:r>
      <w:r w:rsidR="00633334" w:rsidRPr="000A53C0">
        <w:rPr>
          <w:rFonts w:cs="Arial"/>
        </w:rPr>
        <w:t>non-government organisations,</w:t>
      </w:r>
      <w:r w:rsidRPr="000A53C0">
        <w:rPr>
          <w:rFonts w:cs="Arial"/>
        </w:rPr>
        <w:t xml:space="preserve"> will continue at current levels. </w:t>
      </w:r>
    </w:p>
    <w:p w14:paraId="18E762F4" w14:textId="77777777" w:rsidR="00AE6CB3" w:rsidRPr="000A53C0" w:rsidRDefault="00AE6CB3" w:rsidP="00AE6CB3">
      <w:pPr>
        <w:pStyle w:val="BodyText"/>
        <w:rPr>
          <w:rFonts w:cs="Arial"/>
        </w:rPr>
      </w:pPr>
      <w:r w:rsidRPr="000A53C0">
        <w:rPr>
          <w:rFonts w:cs="Arial"/>
        </w:rPr>
        <w:t>The base case also incorporates measures recommended in the Silica Decision RIS</w:t>
      </w:r>
      <w:r w:rsidRPr="000A53C0">
        <w:rPr>
          <w:rFonts w:cs="Arial"/>
          <w:i/>
          <w:iCs/>
        </w:rPr>
        <w:t xml:space="preserve">, </w:t>
      </w:r>
      <w:r w:rsidRPr="000A53C0">
        <w:rPr>
          <w:rFonts w:cs="Arial"/>
        </w:rPr>
        <w:t>and agreed to by WHS ministers at their meeting on 28 February 2023:</w:t>
      </w:r>
    </w:p>
    <w:p w14:paraId="7FCBF03F" w14:textId="4F03FE21" w:rsidR="00AE6CB3" w:rsidRPr="000A53C0" w:rsidRDefault="005032D2" w:rsidP="001B44C4">
      <w:pPr>
        <w:pStyle w:val="IAListbullet2"/>
        <w:rPr>
          <w:rFonts w:cs="Arial"/>
        </w:rPr>
      </w:pPr>
      <w:r>
        <w:rPr>
          <w:rFonts w:cs="Arial"/>
        </w:rPr>
        <w:t>O</w:t>
      </w:r>
      <w:r w:rsidR="00AE6CB3" w:rsidRPr="000A53C0">
        <w:rPr>
          <w:rFonts w:cs="Arial"/>
        </w:rPr>
        <w:t xml:space="preserve">ption 2 </w:t>
      </w:r>
      <w:r w:rsidR="006F4239">
        <w:rPr>
          <w:rFonts w:cs="Arial"/>
        </w:rPr>
        <w:t>–</w:t>
      </w:r>
      <w:r w:rsidR="00AE6CB3" w:rsidRPr="000A53C0">
        <w:rPr>
          <w:rFonts w:cs="Arial"/>
        </w:rPr>
        <w:t xml:space="preserve"> </w:t>
      </w:r>
      <w:r w:rsidR="00745E77">
        <w:rPr>
          <w:rFonts w:cs="Arial"/>
        </w:rPr>
        <w:t>n</w:t>
      </w:r>
      <w:r w:rsidR="00AE6CB3" w:rsidRPr="000A53C0">
        <w:rPr>
          <w:rFonts w:cs="Arial"/>
        </w:rPr>
        <w:t>ational awareness and behaviour change initiatives</w:t>
      </w:r>
      <w:r w:rsidR="005B33B0">
        <w:rPr>
          <w:rFonts w:cs="Arial"/>
        </w:rPr>
        <w:t>, and</w:t>
      </w:r>
    </w:p>
    <w:p w14:paraId="4DCC9746" w14:textId="14D7F365" w:rsidR="00AE6CB3" w:rsidRPr="000A53C0" w:rsidRDefault="005032D2" w:rsidP="001B44C4">
      <w:pPr>
        <w:pStyle w:val="IAListbullet2"/>
        <w:rPr>
          <w:rFonts w:cs="Arial"/>
        </w:rPr>
      </w:pPr>
      <w:r>
        <w:rPr>
          <w:rFonts w:cs="Arial"/>
        </w:rPr>
        <w:t>O</w:t>
      </w:r>
      <w:r w:rsidR="00AE6CB3" w:rsidRPr="000A53C0">
        <w:rPr>
          <w:rFonts w:cs="Arial"/>
        </w:rPr>
        <w:t xml:space="preserve">ption 5a </w:t>
      </w:r>
      <w:r w:rsidR="006F4239">
        <w:rPr>
          <w:rFonts w:cs="Arial"/>
        </w:rPr>
        <w:t>–</w:t>
      </w:r>
      <w:r w:rsidR="00AE6CB3" w:rsidRPr="000A53C0">
        <w:rPr>
          <w:rFonts w:cs="Arial"/>
        </w:rPr>
        <w:t xml:space="preserve"> </w:t>
      </w:r>
      <w:r w:rsidR="00745E77">
        <w:rPr>
          <w:rFonts w:cs="Arial"/>
        </w:rPr>
        <w:t>r</w:t>
      </w:r>
      <w:r w:rsidR="00AE6CB3" w:rsidRPr="000A53C0">
        <w:rPr>
          <w:rFonts w:cs="Arial"/>
        </w:rPr>
        <w:t xml:space="preserve">egulation of high-risk crystalline silica processes for all materials (including engineered stone) across all industries. </w:t>
      </w:r>
    </w:p>
    <w:p w14:paraId="3CD431F8" w14:textId="3183AE4A" w:rsidR="00AE6CB3" w:rsidRPr="000A53C0" w:rsidRDefault="00AE6CB3" w:rsidP="00AE6CB3">
      <w:pPr>
        <w:pStyle w:val="BodyText"/>
        <w:rPr>
          <w:rFonts w:cs="Arial"/>
        </w:rPr>
      </w:pPr>
      <w:r w:rsidRPr="000A53C0">
        <w:rPr>
          <w:rFonts w:cs="Arial"/>
        </w:rPr>
        <w:t xml:space="preserve">For </w:t>
      </w:r>
      <w:r w:rsidR="005032D2">
        <w:rPr>
          <w:rFonts w:cs="Arial"/>
        </w:rPr>
        <w:t>O</w:t>
      </w:r>
      <w:r w:rsidRPr="000A53C0">
        <w:rPr>
          <w:rFonts w:cs="Arial"/>
        </w:rPr>
        <w:t>ption 5a, this includes:</w:t>
      </w:r>
    </w:p>
    <w:p w14:paraId="338DD342" w14:textId="77777777" w:rsidR="00AE6CB3" w:rsidRPr="000A53C0" w:rsidRDefault="00AE6CB3" w:rsidP="001B44C4">
      <w:pPr>
        <w:pStyle w:val="IAListbullet2"/>
        <w:rPr>
          <w:rFonts w:cs="Arial"/>
        </w:rPr>
      </w:pPr>
      <w:r w:rsidRPr="000A53C0">
        <w:rPr>
          <w:rFonts w:cs="Arial"/>
        </w:rPr>
        <w:t xml:space="preserve">developing a silica risk control plan </w:t>
      </w:r>
    </w:p>
    <w:p w14:paraId="62EE4E7C" w14:textId="77777777" w:rsidR="00AE6CB3" w:rsidRPr="000A53C0" w:rsidRDefault="00AE6CB3" w:rsidP="001B44C4">
      <w:pPr>
        <w:pStyle w:val="IAListbullet2"/>
        <w:rPr>
          <w:rFonts w:cs="Arial"/>
        </w:rPr>
      </w:pPr>
      <w:r w:rsidRPr="000A53C0">
        <w:rPr>
          <w:rFonts w:cs="Arial"/>
        </w:rPr>
        <w:t>provision of information and training to workers</w:t>
      </w:r>
    </w:p>
    <w:p w14:paraId="6B45DE22" w14:textId="77777777" w:rsidR="00AE6CB3" w:rsidRPr="000A53C0" w:rsidRDefault="00AE6CB3" w:rsidP="001B44C4">
      <w:pPr>
        <w:pStyle w:val="IAListbullet2"/>
        <w:rPr>
          <w:rFonts w:cs="Arial"/>
        </w:rPr>
      </w:pPr>
      <w:r w:rsidRPr="000A53C0">
        <w:rPr>
          <w:rFonts w:cs="Arial"/>
        </w:rPr>
        <w:t>provision of health monitoring for workers, and</w:t>
      </w:r>
    </w:p>
    <w:p w14:paraId="7267BE8D" w14:textId="77777777" w:rsidR="00AE6CB3" w:rsidRPr="000A53C0" w:rsidRDefault="00AE6CB3" w:rsidP="001B44C4">
      <w:pPr>
        <w:pStyle w:val="IAListbullet2"/>
        <w:rPr>
          <w:rFonts w:cs="Arial"/>
        </w:rPr>
      </w:pPr>
      <w:r w:rsidRPr="000A53C0">
        <w:rPr>
          <w:rFonts w:cs="Arial"/>
        </w:rPr>
        <w:t xml:space="preserve">undertaking air monitoring and reporting WES exceedances to the WHS regulator. </w:t>
      </w:r>
    </w:p>
    <w:p w14:paraId="66B33887" w14:textId="070A52B8" w:rsidR="008E698E" w:rsidRPr="000A53C0" w:rsidRDefault="77513FF5" w:rsidP="00514CCB">
      <w:pPr>
        <w:pStyle w:val="Heading2numbered"/>
      </w:pPr>
      <w:bookmarkStart w:id="99" w:name="_Toc142991331"/>
      <w:r w:rsidRPr="000A53C0">
        <w:t xml:space="preserve">Option </w:t>
      </w:r>
      <w:bookmarkEnd w:id="97"/>
      <w:bookmarkEnd w:id="98"/>
      <w:r w:rsidR="00887063" w:rsidRPr="000A53C0">
        <w:t>1: Prohibition on the use of all engineered stone</w:t>
      </w:r>
      <w:bookmarkEnd w:id="99"/>
    </w:p>
    <w:p w14:paraId="5583ADB3" w14:textId="1397CD3D" w:rsidR="00374BFE" w:rsidRPr="000A53C0" w:rsidRDefault="00374BFE" w:rsidP="00374BFE">
      <w:pPr>
        <w:pStyle w:val="BodyText"/>
        <w:rPr>
          <w:rFonts w:cs="Arial"/>
        </w:rPr>
      </w:pPr>
      <w:bookmarkStart w:id="100" w:name="_Ref125124051"/>
      <w:bookmarkStart w:id="101" w:name="_Toc92885116"/>
      <w:bookmarkStart w:id="102" w:name="_Toc92958867"/>
      <w:r w:rsidRPr="000A53C0">
        <w:rPr>
          <w:rFonts w:cs="Arial"/>
        </w:rPr>
        <w:t>This option would prohibit the use of all engineered stone</w:t>
      </w:r>
      <w:r w:rsidR="00F069DE" w:rsidRPr="000A53C0">
        <w:rPr>
          <w:rFonts w:cs="Arial"/>
        </w:rPr>
        <w:t xml:space="preserve"> by PCBUs</w:t>
      </w:r>
      <w:r w:rsidRPr="000A53C0">
        <w:rPr>
          <w:rFonts w:cs="Arial"/>
        </w:rPr>
        <w:t xml:space="preserve">, irrespective of its silica content. </w:t>
      </w:r>
    </w:p>
    <w:p w14:paraId="37AB9394" w14:textId="03BA8093" w:rsidR="00374BFE" w:rsidRPr="000A53C0" w:rsidRDefault="00374BFE" w:rsidP="00374BFE">
      <w:pPr>
        <w:pStyle w:val="BodyText"/>
        <w:rPr>
          <w:rFonts w:cs="Arial"/>
        </w:rPr>
      </w:pPr>
      <w:r w:rsidRPr="000A53C0">
        <w:rPr>
          <w:rFonts w:cs="Arial"/>
        </w:rPr>
        <w:t xml:space="preserve">The prohibition on use of engineered stone would be similar to </w:t>
      </w:r>
      <w:r w:rsidR="00024509" w:rsidRPr="000A53C0">
        <w:rPr>
          <w:rFonts w:cs="Arial"/>
        </w:rPr>
        <w:t xml:space="preserve">but not the same as </w:t>
      </w:r>
      <w:r w:rsidRPr="000A53C0">
        <w:rPr>
          <w:rFonts w:cs="Arial"/>
        </w:rPr>
        <w:t>that for asbestos, as per Chapter 8 of the model WHS Regulations. A PCBU would be prohibited from carrying out, or directing or allowing a worker to carry out, work on engineered stone, including manufacture, supply, fabrication (cutting, shaping, polishing), installation or use.</w:t>
      </w:r>
    </w:p>
    <w:p w14:paraId="4C496FA7" w14:textId="77777777" w:rsidR="00374BFE" w:rsidRPr="000A53C0" w:rsidRDefault="00374BFE" w:rsidP="00374BFE">
      <w:pPr>
        <w:pStyle w:val="BodyText"/>
        <w:rPr>
          <w:rFonts w:cs="Arial"/>
        </w:rPr>
      </w:pPr>
      <w:r w:rsidRPr="000A53C0">
        <w:rPr>
          <w:rFonts w:cs="Arial"/>
        </w:rPr>
        <w:t xml:space="preserve">The prohibition would apply to any product meeting the definition of engineered stone in the model WHS Regulations. </w:t>
      </w:r>
    </w:p>
    <w:p w14:paraId="384D402C" w14:textId="77777777" w:rsidR="00374BFE" w:rsidRPr="000A53C0" w:rsidRDefault="00374BFE" w:rsidP="00374BFE">
      <w:pPr>
        <w:pStyle w:val="BodyText"/>
        <w:rPr>
          <w:rFonts w:cs="Arial"/>
        </w:rPr>
      </w:pPr>
      <w:r w:rsidRPr="000A53C0">
        <w:rPr>
          <w:rFonts w:cs="Arial"/>
        </w:rPr>
        <w:t xml:space="preserve">As for the asbestos regulations, exemptions to the prohibition would apply to certain work with engineered stone that was in place prior to the prohibition, such as removal, repair and minor modification. PCBUs wanting to undertake exempt work with engineered stone already in place (legacy products) would require a licence through the licensing framework for work with legacy products. </w:t>
      </w:r>
    </w:p>
    <w:p w14:paraId="06A39E0C" w14:textId="77777777" w:rsidR="00374BFE" w:rsidRPr="000A53C0" w:rsidRDefault="00374BFE" w:rsidP="00374BFE">
      <w:pPr>
        <w:pStyle w:val="BodyText"/>
        <w:keepNext/>
        <w:rPr>
          <w:rFonts w:cs="Arial"/>
        </w:rPr>
      </w:pPr>
      <w:r w:rsidRPr="000A53C0">
        <w:rPr>
          <w:rFonts w:cs="Arial"/>
          <w:b/>
        </w:rPr>
        <w:lastRenderedPageBreak/>
        <w:t xml:space="preserve">The requirements of </w:t>
      </w:r>
      <w:r w:rsidRPr="000A53C0">
        <w:rPr>
          <w:rFonts w:cs="Arial"/>
          <w:b/>
          <w:bCs/>
        </w:rPr>
        <w:t>a licensing framework for work with legacy products are consistent across each of the proposed options</w:t>
      </w:r>
      <w:r w:rsidRPr="000A53C0">
        <w:rPr>
          <w:rFonts w:cs="Arial"/>
        </w:rPr>
        <w:t xml:space="preserve">. </w:t>
      </w:r>
    </w:p>
    <w:p w14:paraId="4DF2DF77" w14:textId="5DB6A828" w:rsidR="00374BFE" w:rsidRPr="000A53C0" w:rsidRDefault="00374BFE" w:rsidP="00374BFE">
      <w:pPr>
        <w:pStyle w:val="BodyText"/>
        <w:rPr>
          <w:rFonts w:cs="Arial"/>
        </w:rPr>
      </w:pPr>
      <w:r w:rsidRPr="000A53C0">
        <w:rPr>
          <w:rFonts w:cs="Arial"/>
        </w:rPr>
        <w:t xml:space="preserve">Importantly, the licensing framework for work with legacy products </w:t>
      </w:r>
      <w:r w:rsidR="00512097" w:rsidRPr="000A53C0">
        <w:rPr>
          <w:rFonts w:cs="Arial"/>
        </w:rPr>
        <w:t xml:space="preserve">proposed </w:t>
      </w:r>
      <w:r w:rsidRPr="000A53C0">
        <w:rPr>
          <w:rFonts w:cs="Arial"/>
        </w:rPr>
        <w:t xml:space="preserve">is </w:t>
      </w:r>
      <w:r w:rsidR="00B42898" w:rsidRPr="000A53C0">
        <w:rPr>
          <w:rFonts w:cs="Arial"/>
        </w:rPr>
        <w:t xml:space="preserve">largely </w:t>
      </w:r>
      <w:r w:rsidR="001E52BA" w:rsidRPr="000A53C0">
        <w:rPr>
          <w:rFonts w:cs="Arial"/>
        </w:rPr>
        <w:t xml:space="preserve">an </w:t>
      </w:r>
      <w:r w:rsidR="00F82E3D" w:rsidRPr="000A53C0">
        <w:rPr>
          <w:rFonts w:cs="Arial"/>
        </w:rPr>
        <w:t xml:space="preserve">administrative </w:t>
      </w:r>
      <w:r w:rsidR="001E52BA" w:rsidRPr="000A53C0">
        <w:rPr>
          <w:rFonts w:cs="Arial"/>
        </w:rPr>
        <w:t>framework</w:t>
      </w:r>
      <w:r w:rsidR="00B42898" w:rsidRPr="000A53C0">
        <w:rPr>
          <w:rFonts w:cs="Arial"/>
        </w:rPr>
        <w:t xml:space="preserve"> that</w:t>
      </w:r>
      <w:r w:rsidR="00AA62F8" w:rsidRPr="000A53C0">
        <w:rPr>
          <w:rFonts w:cs="Arial"/>
        </w:rPr>
        <w:t xml:space="preserve"> ensures regulators are aware of which PCBUs are undertaking this work. This is because</w:t>
      </w:r>
      <w:r w:rsidRPr="000A53C0">
        <w:rPr>
          <w:rFonts w:cs="Arial"/>
        </w:rPr>
        <w:t xml:space="preserve"> existing regulations</w:t>
      </w:r>
      <w:r w:rsidR="001E52BA" w:rsidRPr="000A53C0">
        <w:rPr>
          <w:rFonts w:cs="Arial"/>
        </w:rPr>
        <w:t>,</w:t>
      </w:r>
      <w:r w:rsidRPr="000A53C0">
        <w:rPr>
          <w:rFonts w:cs="Arial"/>
        </w:rPr>
        <w:t xml:space="preserve"> including the prohibition of uncontrolled processing of engineered stone; and the additional requirements agreed </w:t>
      </w:r>
      <w:r w:rsidR="00F82E3D" w:rsidRPr="000A53C0">
        <w:rPr>
          <w:rFonts w:cs="Arial"/>
        </w:rPr>
        <w:t>for</w:t>
      </w:r>
      <w:r w:rsidRPr="000A53C0">
        <w:rPr>
          <w:rFonts w:cs="Arial"/>
        </w:rPr>
        <w:t xml:space="preserve"> </w:t>
      </w:r>
      <w:r w:rsidR="004741EF">
        <w:rPr>
          <w:rFonts w:cs="Arial"/>
        </w:rPr>
        <w:t>O</w:t>
      </w:r>
      <w:r w:rsidRPr="000A53C0">
        <w:rPr>
          <w:rFonts w:cs="Arial"/>
        </w:rPr>
        <w:t xml:space="preserve">ption 5a of the Silica Decision RIS </w:t>
      </w:r>
      <w:r w:rsidR="00F82E3D" w:rsidRPr="000A53C0">
        <w:rPr>
          <w:rFonts w:cs="Arial"/>
        </w:rPr>
        <w:t>(</w:t>
      </w:r>
      <w:r w:rsidRPr="000A53C0">
        <w:rPr>
          <w:rFonts w:cs="Arial"/>
        </w:rPr>
        <w:t>including requirements for risk control plans, training, air and health monitoring, and reporting)</w:t>
      </w:r>
      <w:r w:rsidR="00F82E3D" w:rsidRPr="000A53C0">
        <w:rPr>
          <w:rFonts w:cs="Arial"/>
        </w:rPr>
        <w:t xml:space="preserve"> would alrea</w:t>
      </w:r>
      <w:r w:rsidR="009B577D" w:rsidRPr="000A53C0">
        <w:rPr>
          <w:rFonts w:cs="Arial"/>
        </w:rPr>
        <w:t>dy apply</w:t>
      </w:r>
      <w:r w:rsidRPr="000A53C0">
        <w:rPr>
          <w:rFonts w:cs="Arial"/>
        </w:rPr>
        <w:t xml:space="preserve"> and </w:t>
      </w:r>
      <w:r w:rsidR="00B42898" w:rsidRPr="000A53C0">
        <w:rPr>
          <w:rFonts w:cs="Arial"/>
        </w:rPr>
        <w:t>no additional regulations</w:t>
      </w:r>
      <w:r w:rsidRPr="000A53C0">
        <w:rPr>
          <w:rFonts w:cs="Arial"/>
        </w:rPr>
        <w:t xml:space="preserve"> are </w:t>
      </w:r>
      <w:r w:rsidR="00B42898" w:rsidRPr="000A53C0">
        <w:rPr>
          <w:rFonts w:cs="Arial"/>
        </w:rPr>
        <w:t>proposed</w:t>
      </w:r>
      <w:r w:rsidRPr="000A53C0">
        <w:rPr>
          <w:rFonts w:cs="Arial"/>
        </w:rPr>
        <w:t xml:space="preserve">. </w:t>
      </w:r>
    </w:p>
    <w:p w14:paraId="56EB7937" w14:textId="2B671612" w:rsidR="008E698E" w:rsidRPr="000A53C0" w:rsidRDefault="77513FF5" w:rsidP="00514CCB">
      <w:pPr>
        <w:pStyle w:val="Heading2numbered"/>
      </w:pPr>
      <w:bookmarkStart w:id="103" w:name="_Toc142991332"/>
      <w:r w:rsidRPr="000A53C0">
        <w:t xml:space="preserve">Option </w:t>
      </w:r>
      <w:bookmarkEnd w:id="100"/>
      <w:r w:rsidR="00887063" w:rsidRPr="000A53C0">
        <w:t>2: Prohibition on the use of engineered stone containing 40% or more crystalline silica</w:t>
      </w:r>
      <w:bookmarkEnd w:id="103"/>
    </w:p>
    <w:p w14:paraId="20D34F8F" w14:textId="71242AD0" w:rsidR="0065539F" w:rsidRPr="000A53C0" w:rsidRDefault="0065539F" w:rsidP="0065539F">
      <w:pPr>
        <w:pStyle w:val="BodyText"/>
        <w:rPr>
          <w:rFonts w:cs="Arial"/>
        </w:rPr>
      </w:pPr>
      <w:r w:rsidRPr="000A53C0">
        <w:rPr>
          <w:rFonts w:cs="Arial"/>
        </w:rPr>
        <w:t xml:space="preserve">This option would limit the prohibition described for </w:t>
      </w:r>
      <w:r w:rsidR="009B7627">
        <w:rPr>
          <w:rFonts w:cs="Arial"/>
        </w:rPr>
        <w:t>O</w:t>
      </w:r>
      <w:r w:rsidRPr="000A53C0">
        <w:rPr>
          <w:rFonts w:cs="Arial"/>
        </w:rPr>
        <w:t xml:space="preserve">ption 1 to engineered stone containing 40% or more crystalline silica (higher silica engineered stone). </w:t>
      </w:r>
    </w:p>
    <w:p w14:paraId="659FF099" w14:textId="04D4CACF" w:rsidR="0065539F" w:rsidRPr="000A53C0" w:rsidRDefault="0065539F" w:rsidP="0065539F">
      <w:pPr>
        <w:pStyle w:val="BodyText"/>
        <w:rPr>
          <w:rFonts w:cs="Arial"/>
        </w:rPr>
      </w:pPr>
      <w:r w:rsidRPr="000A53C0">
        <w:rPr>
          <w:rFonts w:cs="Arial"/>
        </w:rPr>
        <w:t xml:space="preserve">The use of engineered stone containing less than 40% crystalline silica content would be subject to the additional regulation as described in </w:t>
      </w:r>
      <w:r w:rsidR="00D7515F">
        <w:rPr>
          <w:rFonts w:cs="Arial"/>
        </w:rPr>
        <w:t>O</w:t>
      </w:r>
      <w:r w:rsidRPr="000A53C0">
        <w:rPr>
          <w:rFonts w:cs="Arial"/>
        </w:rPr>
        <w:t>ption 5a of the Silica Decision RIS and agreed by WHS ministers.</w:t>
      </w:r>
    </w:p>
    <w:p w14:paraId="43DDFAA5" w14:textId="4E6C35F1" w:rsidR="0065539F" w:rsidRPr="000A53C0" w:rsidRDefault="0065539F" w:rsidP="0065539F">
      <w:pPr>
        <w:pStyle w:val="BodyText"/>
        <w:rPr>
          <w:rFonts w:cs="Arial"/>
        </w:rPr>
      </w:pPr>
      <w:r w:rsidRPr="000A53C0">
        <w:rPr>
          <w:rFonts w:cs="Arial"/>
        </w:rPr>
        <w:t xml:space="preserve">This option also includes a licensing framework for work with legacy products, as described for </w:t>
      </w:r>
      <w:r w:rsidR="007C0152">
        <w:rPr>
          <w:rFonts w:cs="Arial"/>
        </w:rPr>
        <w:t>O</w:t>
      </w:r>
      <w:r w:rsidRPr="000A53C0">
        <w:rPr>
          <w:rFonts w:cs="Arial"/>
        </w:rPr>
        <w:t xml:space="preserve">ption 1. Where the crystalline silica content of the legacy product is 40% or more, or where it cannot be determined, a PCBU would need to apply </w:t>
      </w:r>
      <w:r w:rsidR="00F069DE" w:rsidRPr="000A53C0">
        <w:rPr>
          <w:rFonts w:cs="Arial"/>
        </w:rPr>
        <w:t>for a licence to</w:t>
      </w:r>
      <w:r w:rsidRPr="000A53C0">
        <w:rPr>
          <w:rFonts w:cs="Arial"/>
        </w:rPr>
        <w:t xml:space="preserve"> work with legacy products to undertake removal, repair or modification work. </w:t>
      </w:r>
    </w:p>
    <w:p w14:paraId="06E2D8A0" w14:textId="6AD57887" w:rsidR="00F15CB5" w:rsidRPr="000A53C0" w:rsidRDefault="00F15CB5" w:rsidP="00514CCB">
      <w:pPr>
        <w:pStyle w:val="Heading2numbered"/>
      </w:pPr>
      <w:bookmarkStart w:id="104" w:name="_Toc142991333"/>
      <w:bookmarkEnd w:id="101"/>
      <w:bookmarkEnd w:id="102"/>
      <w:r w:rsidRPr="000A53C0">
        <w:t xml:space="preserve">Option 3: As for </w:t>
      </w:r>
      <w:r w:rsidR="00C233DA">
        <w:t>O</w:t>
      </w:r>
      <w:r w:rsidRPr="000A53C0">
        <w:t>ption 2, with an accompanying licensing scheme for PCBUs working with engineered stone containing less than 40% crystalline silica</w:t>
      </w:r>
      <w:bookmarkEnd w:id="104"/>
    </w:p>
    <w:p w14:paraId="479D2AFF" w14:textId="77777777" w:rsidR="00F15CB5" w:rsidRPr="000A53C0" w:rsidRDefault="00F15CB5" w:rsidP="00F15CB5">
      <w:pPr>
        <w:rPr>
          <w:rFonts w:cs="Arial"/>
        </w:rPr>
      </w:pPr>
      <w:r w:rsidRPr="000A53C0">
        <w:rPr>
          <w:rFonts w:cs="Arial"/>
        </w:rPr>
        <w:t>In addition to the prohibition on the use of higher silica engineered stone proposed in Option 2, Option 3 also outlines an additional licensing framework for PCBUs working with lower silica engineered stone (&lt; 40% crystalline silica content).</w:t>
      </w:r>
    </w:p>
    <w:p w14:paraId="73874D4E" w14:textId="6ED06F3A" w:rsidR="00F15CB5" w:rsidRPr="000A53C0" w:rsidRDefault="00F15CB5" w:rsidP="00F15CB5">
      <w:pPr>
        <w:rPr>
          <w:rFonts w:cs="Arial"/>
        </w:rPr>
      </w:pPr>
      <w:r w:rsidRPr="000A53C0">
        <w:rPr>
          <w:rFonts w:cs="Arial"/>
        </w:rPr>
        <w:t xml:space="preserve">This would result in </w:t>
      </w:r>
      <w:r w:rsidR="00D1493E">
        <w:rPr>
          <w:rFonts w:cs="Arial"/>
        </w:rPr>
        <w:t>2</w:t>
      </w:r>
      <w:r w:rsidRPr="000A53C0">
        <w:rPr>
          <w:rFonts w:cs="Arial"/>
        </w:rPr>
        <w:t xml:space="preserve"> separate licensing frameworks for PCBUs working with engineered stone:</w:t>
      </w:r>
    </w:p>
    <w:p w14:paraId="28AD8CEB" w14:textId="227C5654" w:rsidR="00F15CB5" w:rsidRPr="000A53C0" w:rsidRDefault="00D1493E" w:rsidP="00766916">
      <w:pPr>
        <w:pStyle w:val="ListParagraph"/>
        <w:numPr>
          <w:ilvl w:val="0"/>
          <w:numId w:val="43"/>
        </w:numPr>
        <w:rPr>
          <w:rFonts w:cs="Arial"/>
        </w:rPr>
      </w:pPr>
      <w:r>
        <w:rPr>
          <w:rFonts w:cs="Arial"/>
        </w:rPr>
        <w:t>t</w:t>
      </w:r>
      <w:r w:rsidR="00F15CB5" w:rsidRPr="000A53C0">
        <w:rPr>
          <w:rFonts w:cs="Arial"/>
        </w:rPr>
        <w:t>he previously described licensing framework for work with legacy products with higher, or unknown, silica content</w:t>
      </w:r>
      <w:r>
        <w:rPr>
          <w:rFonts w:cs="Arial"/>
        </w:rPr>
        <w:t>, and</w:t>
      </w:r>
    </w:p>
    <w:p w14:paraId="2503D649" w14:textId="00C126E8" w:rsidR="00F15CB5" w:rsidRPr="000A53C0" w:rsidRDefault="00D1493E" w:rsidP="00766916">
      <w:pPr>
        <w:pStyle w:val="ListParagraph"/>
        <w:numPr>
          <w:ilvl w:val="0"/>
          <w:numId w:val="43"/>
        </w:numPr>
        <w:rPr>
          <w:rFonts w:cs="Arial"/>
        </w:rPr>
      </w:pPr>
      <w:r>
        <w:rPr>
          <w:rFonts w:cs="Arial"/>
        </w:rPr>
        <w:t>a</w:t>
      </w:r>
      <w:r w:rsidR="00F15CB5" w:rsidRPr="000A53C0">
        <w:rPr>
          <w:rFonts w:cs="Arial"/>
        </w:rPr>
        <w:t xml:space="preserve"> licensing framework for work with lower silica engineered stone </w:t>
      </w:r>
      <w:r w:rsidR="00223732">
        <w:rPr>
          <w:rFonts w:cs="Arial"/>
        </w:rPr>
        <w:t>–</w:t>
      </w:r>
      <w:r w:rsidR="00F15CB5" w:rsidRPr="000A53C0">
        <w:rPr>
          <w:rFonts w:cs="Arial"/>
        </w:rPr>
        <w:t xml:space="preserve"> for those PCBUs who fabricate (cut, shape, polish etc) and/or install new engineered stone products that have a crystalline silica content below 40%. </w:t>
      </w:r>
    </w:p>
    <w:p w14:paraId="4C160123" w14:textId="07C76B01" w:rsidR="0018203F" w:rsidRPr="000A53C0" w:rsidRDefault="0018203F">
      <w:pPr>
        <w:spacing w:after="120" w:line="264" w:lineRule="auto"/>
        <w:rPr>
          <w:rFonts w:cs="Arial"/>
          <w:color w:val="262626" w:themeColor="text1" w:themeTint="D9"/>
        </w:rPr>
      </w:pPr>
      <w:r w:rsidRPr="000A53C0">
        <w:rPr>
          <w:rFonts w:cs="Arial"/>
        </w:rPr>
        <w:br w:type="page"/>
      </w:r>
    </w:p>
    <w:p w14:paraId="193F12BB" w14:textId="0A7B8B6C" w:rsidR="006F1AF7" w:rsidRPr="000A53C0" w:rsidRDefault="006F1AF7" w:rsidP="00811AA2">
      <w:pPr>
        <w:pStyle w:val="Heading1numbered"/>
      </w:pPr>
      <w:bookmarkStart w:id="105" w:name="_Toc100323772"/>
      <w:bookmarkStart w:id="106" w:name="_Toc100240635"/>
      <w:bookmarkStart w:id="107" w:name="_Toc100240704"/>
      <w:bookmarkStart w:id="108" w:name="_Toc100323773"/>
      <w:bookmarkStart w:id="109" w:name="_Ref124686999"/>
      <w:bookmarkStart w:id="110" w:name="_Toc142991334"/>
      <w:bookmarkEnd w:id="105"/>
      <w:bookmarkEnd w:id="106"/>
      <w:bookmarkEnd w:id="107"/>
      <w:bookmarkEnd w:id="108"/>
      <w:r w:rsidRPr="000A53C0">
        <w:lastRenderedPageBreak/>
        <w:t xml:space="preserve">What is the likely impact of </w:t>
      </w:r>
      <w:r w:rsidR="00E65D73" w:rsidRPr="000A53C0">
        <w:t xml:space="preserve">the </w:t>
      </w:r>
      <w:r w:rsidRPr="000A53C0">
        <w:t>option</w:t>
      </w:r>
      <w:r w:rsidR="00A200EF" w:rsidRPr="000A53C0">
        <w:t>s</w:t>
      </w:r>
      <w:r w:rsidRPr="000A53C0">
        <w:t>?</w:t>
      </w:r>
      <w:bookmarkEnd w:id="109"/>
      <w:bookmarkEnd w:id="110"/>
    </w:p>
    <w:p w14:paraId="51987BF8" w14:textId="77777777" w:rsidR="00C81E02" w:rsidRPr="000A53C0" w:rsidRDefault="00C81E02" w:rsidP="00514CCB">
      <w:pPr>
        <w:pStyle w:val="Heading2numbered"/>
      </w:pPr>
      <w:bookmarkStart w:id="111" w:name="_Toc142991335"/>
      <w:r w:rsidRPr="000A53C0">
        <w:t>Overview of approach</w:t>
      </w:r>
      <w:bookmarkEnd w:id="111"/>
    </w:p>
    <w:p w14:paraId="61D8BE78" w14:textId="341075DD" w:rsidR="00C81E02" w:rsidRPr="000A53C0" w:rsidRDefault="00C81E02" w:rsidP="00C81E02">
      <w:pPr>
        <w:pStyle w:val="BodyText"/>
        <w:rPr>
          <w:rFonts w:cs="Arial"/>
        </w:rPr>
      </w:pPr>
      <w:r w:rsidRPr="000A53C0">
        <w:rPr>
          <w:rFonts w:cs="Arial"/>
        </w:rPr>
        <w:t xml:space="preserve">This Decision RIS has taken the following approach to the </w:t>
      </w:r>
      <w:r w:rsidR="00C13A5C">
        <w:rPr>
          <w:rFonts w:cs="Arial"/>
        </w:rPr>
        <w:t>i</w:t>
      </w:r>
      <w:r w:rsidRPr="000A53C0">
        <w:rPr>
          <w:rFonts w:cs="Arial"/>
        </w:rPr>
        <w:t xml:space="preserve">mpact </w:t>
      </w:r>
      <w:r w:rsidR="00C13A5C">
        <w:rPr>
          <w:rFonts w:cs="Arial"/>
        </w:rPr>
        <w:t>a</w:t>
      </w:r>
      <w:r w:rsidRPr="000A53C0">
        <w:rPr>
          <w:rFonts w:cs="Arial"/>
        </w:rPr>
        <w:t>nalysis:</w:t>
      </w:r>
    </w:p>
    <w:p w14:paraId="530FF894" w14:textId="15C522F4" w:rsidR="00C81E02" w:rsidRPr="000A53C0" w:rsidRDefault="007C7DFE" w:rsidP="00766916">
      <w:pPr>
        <w:pStyle w:val="BodyText"/>
        <w:numPr>
          <w:ilvl w:val="0"/>
          <w:numId w:val="32"/>
        </w:numPr>
        <w:spacing w:after="200" w:line="260" w:lineRule="exact"/>
        <w:rPr>
          <w:rFonts w:cs="Arial"/>
        </w:rPr>
      </w:pPr>
      <w:r>
        <w:rPr>
          <w:rFonts w:cs="Arial"/>
        </w:rPr>
        <w:t>o</w:t>
      </w:r>
      <w:r w:rsidR="00C81E02" w:rsidRPr="000A53C0">
        <w:rPr>
          <w:rFonts w:cs="Arial"/>
        </w:rPr>
        <w:t>ptions have been assessed relative to the base case</w:t>
      </w:r>
    </w:p>
    <w:p w14:paraId="26C030B1" w14:textId="07C2F235" w:rsidR="00C81E02" w:rsidRPr="000A53C0" w:rsidRDefault="007C7DFE" w:rsidP="00766916">
      <w:pPr>
        <w:pStyle w:val="BodyText"/>
        <w:numPr>
          <w:ilvl w:val="0"/>
          <w:numId w:val="32"/>
        </w:numPr>
        <w:spacing w:after="200" w:line="260" w:lineRule="exact"/>
        <w:rPr>
          <w:rFonts w:cs="Arial"/>
        </w:rPr>
      </w:pPr>
      <w:r>
        <w:rPr>
          <w:rFonts w:cs="Arial"/>
        </w:rPr>
        <w:t>w</w:t>
      </w:r>
      <w:r w:rsidR="00C81E02" w:rsidRPr="000A53C0">
        <w:rPr>
          <w:rFonts w:cs="Arial"/>
        </w:rPr>
        <w:t>here information is available, costs to industry and government have been monetised</w:t>
      </w:r>
    </w:p>
    <w:p w14:paraId="3618B17F" w14:textId="34F724F0" w:rsidR="00C81E02" w:rsidRPr="000A53C0" w:rsidRDefault="007C7DFE" w:rsidP="00766916">
      <w:pPr>
        <w:pStyle w:val="BodyText"/>
        <w:numPr>
          <w:ilvl w:val="0"/>
          <w:numId w:val="32"/>
        </w:numPr>
        <w:spacing w:after="200" w:line="260" w:lineRule="exact"/>
        <w:rPr>
          <w:rFonts w:cs="Arial"/>
        </w:rPr>
      </w:pPr>
      <w:r>
        <w:rPr>
          <w:rFonts w:cs="Arial"/>
        </w:rPr>
        <w:t>h</w:t>
      </w:r>
      <w:r w:rsidR="00C81E02" w:rsidRPr="000A53C0">
        <w:rPr>
          <w:rFonts w:cs="Arial"/>
        </w:rPr>
        <w:t>ealth benefits have been qualitatively assessed for each option</w:t>
      </w:r>
      <w:r>
        <w:rPr>
          <w:rFonts w:cs="Arial"/>
        </w:rPr>
        <w:t>, and</w:t>
      </w:r>
    </w:p>
    <w:p w14:paraId="6C5E1BA4" w14:textId="26F81E6C" w:rsidR="00C81E02" w:rsidRPr="000A53C0" w:rsidRDefault="00ED7BEE" w:rsidP="00766916">
      <w:pPr>
        <w:pStyle w:val="BodyText"/>
        <w:numPr>
          <w:ilvl w:val="0"/>
          <w:numId w:val="32"/>
        </w:numPr>
        <w:spacing w:after="200" w:line="260" w:lineRule="exact"/>
        <w:rPr>
          <w:rFonts w:cs="Arial"/>
        </w:rPr>
      </w:pPr>
      <w:r>
        <w:rPr>
          <w:rFonts w:cs="Arial"/>
        </w:rPr>
        <w:t>b</w:t>
      </w:r>
      <w:r w:rsidR="00C81E02" w:rsidRPr="000A53C0">
        <w:rPr>
          <w:rFonts w:cs="Arial"/>
        </w:rPr>
        <w:t>reakeven analysis has been undertaken to show the number of avoided deaths and illnesses required to offset the costs of each option.</w:t>
      </w:r>
    </w:p>
    <w:p w14:paraId="71575FDB" w14:textId="2ACEE0D4" w:rsidR="00C81E02" w:rsidRPr="000A53C0" w:rsidRDefault="00C81E02" w:rsidP="00C81E02">
      <w:pPr>
        <w:pStyle w:val="BodyText"/>
        <w:rPr>
          <w:rFonts w:cs="Arial"/>
        </w:rPr>
      </w:pPr>
      <w:r w:rsidRPr="000A53C0">
        <w:rPr>
          <w:rFonts w:cs="Arial"/>
        </w:rPr>
        <w:t xml:space="preserve">A detailed methodology to the </w:t>
      </w:r>
      <w:r w:rsidR="0035508F">
        <w:rPr>
          <w:rFonts w:cs="Arial"/>
        </w:rPr>
        <w:t>i</w:t>
      </w:r>
      <w:r w:rsidRPr="000A53C0">
        <w:rPr>
          <w:rFonts w:cs="Arial"/>
        </w:rPr>
        <w:t xml:space="preserve">mpact </w:t>
      </w:r>
      <w:r w:rsidR="0035508F">
        <w:rPr>
          <w:rFonts w:cs="Arial"/>
        </w:rPr>
        <w:t>a</w:t>
      </w:r>
      <w:r w:rsidRPr="000A53C0">
        <w:rPr>
          <w:rFonts w:cs="Arial"/>
        </w:rPr>
        <w:t>nalysis can be found in</w:t>
      </w:r>
      <w:r w:rsidR="005A0B2D" w:rsidRPr="000A53C0">
        <w:rPr>
          <w:rFonts w:cs="Arial"/>
        </w:rPr>
        <w:t xml:space="preserve"> Appendix B</w:t>
      </w:r>
      <w:r w:rsidRPr="000A53C0">
        <w:rPr>
          <w:rFonts w:cs="Arial"/>
        </w:rPr>
        <w:t xml:space="preserve">. An overview of the approach used is provided in </w:t>
      </w:r>
      <w:r w:rsidR="009C0449" w:rsidRPr="000A53C0">
        <w:rPr>
          <w:rFonts w:cs="Arial"/>
        </w:rPr>
        <w:fldChar w:fldCharType="begin" w:fldLock="1"/>
      </w:r>
      <w:r w:rsidR="009C0449" w:rsidRPr="000A53C0">
        <w:rPr>
          <w:rFonts w:cs="Arial"/>
        </w:rPr>
        <w:instrText xml:space="preserve"> REF _Ref139635405 \h </w:instrText>
      </w:r>
      <w:r w:rsidR="000A53C0">
        <w:rPr>
          <w:rFonts w:cs="Arial"/>
        </w:rPr>
        <w:instrText xml:space="preserve"> \* MERGEFORMAT </w:instrText>
      </w:r>
      <w:r w:rsidR="009C0449" w:rsidRPr="000A53C0">
        <w:rPr>
          <w:rFonts w:cs="Arial"/>
        </w:rPr>
      </w:r>
      <w:r w:rsidR="009C0449" w:rsidRPr="000A53C0">
        <w:rPr>
          <w:rFonts w:cs="Arial"/>
        </w:rPr>
        <w:fldChar w:fldCharType="separate"/>
      </w:r>
      <w:r w:rsidR="00D16271" w:rsidRPr="00D16271">
        <w:rPr>
          <w:rFonts w:cs="Arial"/>
        </w:rPr>
        <w:t xml:space="preserve">Table </w:t>
      </w:r>
      <w:r w:rsidR="00D16271" w:rsidRPr="00D16271">
        <w:rPr>
          <w:rFonts w:cs="Arial"/>
          <w:noProof/>
        </w:rPr>
        <w:t>4</w:t>
      </w:r>
      <w:r w:rsidR="009C0449" w:rsidRPr="000A53C0">
        <w:rPr>
          <w:rFonts w:cs="Arial"/>
        </w:rPr>
        <w:fldChar w:fldCharType="end"/>
      </w:r>
      <w:r w:rsidRPr="000A53C0">
        <w:rPr>
          <w:rFonts w:cs="Arial"/>
        </w:rPr>
        <w:t>.</w:t>
      </w:r>
    </w:p>
    <w:p w14:paraId="4005495F" w14:textId="50612288" w:rsidR="00C81E02" w:rsidRPr="000A53C0" w:rsidRDefault="00D426B2" w:rsidP="00CB1198">
      <w:pPr>
        <w:pStyle w:val="Caption"/>
        <w:rPr>
          <w:rFonts w:cs="Arial"/>
        </w:rPr>
      </w:pPr>
      <w:bookmarkStart w:id="112" w:name="_Ref139635405"/>
      <w:r w:rsidRPr="00A64278">
        <w:rPr>
          <w:rFonts w:cs="Arial"/>
          <w:b/>
          <w:bCs/>
        </w:rPr>
        <w:t xml:space="preserve">Table </w:t>
      </w:r>
      <w:r w:rsidRPr="00A64278">
        <w:rPr>
          <w:rFonts w:cs="Arial"/>
          <w:b/>
          <w:bCs/>
        </w:rPr>
        <w:fldChar w:fldCharType="begin"/>
      </w:r>
      <w:r w:rsidRPr="00A64278">
        <w:rPr>
          <w:rFonts w:cs="Arial"/>
          <w:b/>
          <w:bCs/>
        </w:rPr>
        <w:instrText>SEQ Table \* ARABIC</w:instrText>
      </w:r>
      <w:r w:rsidRPr="00A64278">
        <w:rPr>
          <w:rFonts w:cs="Arial"/>
          <w:b/>
          <w:bCs/>
        </w:rPr>
        <w:fldChar w:fldCharType="separate"/>
      </w:r>
      <w:r w:rsidR="00D16271">
        <w:rPr>
          <w:rFonts w:cs="Arial"/>
          <w:b/>
          <w:bCs/>
          <w:noProof/>
        </w:rPr>
        <w:t>4</w:t>
      </w:r>
      <w:r w:rsidRPr="00A64278">
        <w:rPr>
          <w:rFonts w:cs="Arial"/>
          <w:b/>
          <w:bCs/>
        </w:rPr>
        <w:fldChar w:fldCharType="end"/>
      </w:r>
      <w:bookmarkEnd w:id="112"/>
      <w:r w:rsidR="00C81E02" w:rsidRPr="000A53C0">
        <w:rPr>
          <w:rFonts w:cs="Arial"/>
        </w:rPr>
        <w:t xml:space="preserve"> Impact </w:t>
      </w:r>
      <w:r w:rsidR="00143228">
        <w:rPr>
          <w:rFonts w:cs="Arial"/>
        </w:rPr>
        <w:t>a</w:t>
      </w:r>
      <w:r w:rsidR="00C81E02" w:rsidRPr="000A53C0">
        <w:rPr>
          <w:rFonts w:cs="Arial"/>
        </w:rPr>
        <w:t xml:space="preserve">nalysis </w:t>
      </w:r>
      <w:r w:rsidR="00143228">
        <w:rPr>
          <w:rFonts w:cs="Arial"/>
        </w:rPr>
        <w:t>a</w:t>
      </w:r>
      <w:r w:rsidR="00C81E02" w:rsidRPr="000A53C0">
        <w:rPr>
          <w:rFonts w:cs="Arial"/>
        </w:rPr>
        <w:t>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8399"/>
      </w:tblGrid>
      <w:tr w:rsidR="00C81E02" w:rsidRPr="000A53C0" w14:paraId="3A30067B" w14:textId="77777777" w:rsidTr="00A64278">
        <w:trPr>
          <w:trHeight w:val="571"/>
        </w:trPr>
        <w:tc>
          <w:tcPr>
            <w:tcW w:w="1795" w:type="dxa"/>
            <w:shd w:val="clear" w:color="auto" w:fill="E81D32"/>
            <w:vAlign w:val="center"/>
          </w:tcPr>
          <w:p w14:paraId="25DCA23F" w14:textId="77777777" w:rsidR="00C81E02" w:rsidRPr="00A64278" w:rsidRDefault="00C81E02" w:rsidP="00A64278">
            <w:pPr>
              <w:spacing w:after="0"/>
              <w:rPr>
                <w:rFonts w:cs="Arial"/>
                <w:b/>
                <w:bCs/>
                <w:color w:val="FFFFFF" w:themeColor="background1"/>
                <w:sz w:val="20"/>
                <w:szCs w:val="20"/>
              </w:rPr>
            </w:pPr>
            <w:r w:rsidRPr="00A64278">
              <w:rPr>
                <w:rFonts w:cs="Arial"/>
                <w:b/>
                <w:bCs/>
                <w:color w:val="FFFFFF" w:themeColor="background1"/>
                <w:sz w:val="20"/>
                <w:szCs w:val="20"/>
              </w:rPr>
              <w:t>Stages</w:t>
            </w:r>
          </w:p>
        </w:tc>
        <w:tc>
          <w:tcPr>
            <w:tcW w:w="8399" w:type="dxa"/>
            <w:shd w:val="clear" w:color="auto" w:fill="E81D32"/>
            <w:vAlign w:val="center"/>
          </w:tcPr>
          <w:p w14:paraId="1C491179" w14:textId="77777777" w:rsidR="00C81E02" w:rsidRPr="00A64278" w:rsidRDefault="00C81E02" w:rsidP="00A64278">
            <w:pPr>
              <w:spacing w:after="0"/>
              <w:rPr>
                <w:rFonts w:cs="Arial"/>
                <w:b/>
                <w:bCs/>
                <w:color w:val="FFFFFF" w:themeColor="background1"/>
                <w:sz w:val="20"/>
                <w:szCs w:val="20"/>
              </w:rPr>
            </w:pPr>
            <w:r w:rsidRPr="00A64278">
              <w:rPr>
                <w:rFonts w:cs="Arial"/>
                <w:b/>
                <w:bCs/>
                <w:color w:val="FFFFFF" w:themeColor="background1"/>
                <w:sz w:val="20"/>
                <w:szCs w:val="20"/>
              </w:rPr>
              <w:t>Description</w:t>
            </w:r>
          </w:p>
        </w:tc>
      </w:tr>
      <w:tr w:rsidR="00C81E02" w:rsidRPr="000A53C0" w14:paraId="6299EAB7" w14:textId="77777777">
        <w:tc>
          <w:tcPr>
            <w:tcW w:w="1795" w:type="dxa"/>
            <w:tcBorders>
              <w:bottom w:val="single" w:sz="4" w:space="0" w:color="D1D1D1" w:themeColor="background2"/>
            </w:tcBorders>
          </w:tcPr>
          <w:p w14:paraId="5F756703" w14:textId="77777777" w:rsidR="00C81E02" w:rsidRPr="000A53C0" w:rsidRDefault="00C81E02">
            <w:pPr>
              <w:spacing w:before="40" w:after="40"/>
              <w:rPr>
                <w:rFonts w:cs="Arial"/>
                <w:sz w:val="18"/>
                <w:szCs w:val="18"/>
              </w:rPr>
            </w:pPr>
            <w:r w:rsidRPr="000A53C0">
              <w:rPr>
                <w:rFonts w:cs="Arial"/>
                <w:sz w:val="18"/>
                <w:szCs w:val="18"/>
              </w:rPr>
              <w:t>Define the market</w:t>
            </w:r>
          </w:p>
        </w:tc>
        <w:tc>
          <w:tcPr>
            <w:tcW w:w="8399" w:type="dxa"/>
            <w:tcBorders>
              <w:bottom w:val="single" w:sz="4" w:space="0" w:color="D1D1D1" w:themeColor="background2"/>
            </w:tcBorders>
          </w:tcPr>
          <w:p w14:paraId="35FDBF1F" w14:textId="5BF532B2"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 xml:space="preserve">Conduct a current state analysis of the engineered stone industry – identifying the number of PCBUs by size (e.g. sole trader), the number of </w:t>
            </w:r>
            <w:r w:rsidR="00F069DE" w:rsidRPr="000A53C0">
              <w:rPr>
                <w:rFonts w:cs="Arial"/>
                <w:sz w:val="18"/>
                <w:szCs w:val="18"/>
              </w:rPr>
              <w:t xml:space="preserve">workers </w:t>
            </w:r>
            <w:r w:rsidRPr="000A53C0">
              <w:rPr>
                <w:rFonts w:cs="Arial"/>
                <w:sz w:val="18"/>
                <w:szCs w:val="18"/>
              </w:rPr>
              <w:t xml:space="preserve">working with engineered stone, uses of engineered stone and alternative products to engineered stone available to consumers. </w:t>
            </w:r>
          </w:p>
        </w:tc>
      </w:tr>
      <w:tr w:rsidR="00C81E02" w:rsidRPr="000A53C0" w14:paraId="0A88FD6E" w14:textId="77777777">
        <w:tc>
          <w:tcPr>
            <w:tcW w:w="1795" w:type="dxa"/>
            <w:tcBorders>
              <w:top w:val="single" w:sz="4" w:space="0" w:color="D1D1D1" w:themeColor="background2"/>
              <w:bottom w:val="single" w:sz="4" w:space="0" w:color="D1D1D1" w:themeColor="background2"/>
            </w:tcBorders>
          </w:tcPr>
          <w:p w14:paraId="45CE623F" w14:textId="0D0470D8" w:rsidR="00C81E02" w:rsidRPr="000A53C0" w:rsidRDefault="00C81E02">
            <w:pPr>
              <w:spacing w:before="40" w:after="40"/>
              <w:rPr>
                <w:rFonts w:cs="Arial"/>
                <w:sz w:val="18"/>
                <w:szCs w:val="18"/>
              </w:rPr>
            </w:pPr>
            <w:r w:rsidRPr="000A53C0">
              <w:rPr>
                <w:rFonts w:cs="Arial"/>
                <w:sz w:val="18"/>
                <w:szCs w:val="18"/>
              </w:rPr>
              <w:t xml:space="preserve">Identify </w:t>
            </w:r>
            <w:r w:rsidR="00154CA6">
              <w:rPr>
                <w:rFonts w:cs="Arial"/>
                <w:sz w:val="18"/>
                <w:szCs w:val="18"/>
              </w:rPr>
              <w:t>i</w:t>
            </w:r>
            <w:r w:rsidRPr="000A53C0">
              <w:rPr>
                <w:rFonts w:cs="Arial"/>
                <w:sz w:val="18"/>
                <w:szCs w:val="18"/>
              </w:rPr>
              <w:t>mpacts</w:t>
            </w:r>
          </w:p>
        </w:tc>
        <w:tc>
          <w:tcPr>
            <w:tcW w:w="8399" w:type="dxa"/>
            <w:tcBorders>
              <w:top w:val="single" w:sz="4" w:space="0" w:color="D1D1D1" w:themeColor="background2"/>
              <w:bottom w:val="single" w:sz="4" w:space="0" w:color="D1D1D1" w:themeColor="background2"/>
            </w:tcBorders>
          </w:tcPr>
          <w:p w14:paraId="199BD6B8" w14:textId="77777777"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 xml:space="preserve">Determine the decisions the engineered stone industry is expected to make (specifically PCBUs and workers) as a consequence of each prohibition option. </w:t>
            </w:r>
          </w:p>
        </w:tc>
      </w:tr>
      <w:tr w:rsidR="00C81E02" w:rsidRPr="000A53C0" w14:paraId="5C606DB2" w14:textId="77777777">
        <w:tc>
          <w:tcPr>
            <w:tcW w:w="1795" w:type="dxa"/>
            <w:tcBorders>
              <w:top w:val="single" w:sz="4" w:space="0" w:color="D1D1D1" w:themeColor="background2"/>
              <w:bottom w:val="single" w:sz="4" w:space="0" w:color="D1D1D1" w:themeColor="background2"/>
            </w:tcBorders>
          </w:tcPr>
          <w:p w14:paraId="446F1B5C" w14:textId="3A2853C0" w:rsidR="00C81E02" w:rsidRPr="000A53C0" w:rsidRDefault="00C81E02">
            <w:pPr>
              <w:spacing w:before="40" w:after="40"/>
              <w:rPr>
                <w:rFonts w:cs="Arial"/>
                <w:sz w:val="18"/>
                <w:szCs w:val="18"/>
              </w:rPr>
            </w:pPr>
            <w:r w:rsidRPr="000A53C0">
              <w:rPr>
                <w:rFonts w:cs="Arial"/>
                <w:sz w:val="18"/>
                <w:szCs w:val="18"/>
              </w:rPr>
              <w:t xml:space="preserve">Identify </w:t>
            </w:r>
            <w:r w:rsidR="00154CA6">
              <w:rPr>
                <w:rFonts w:cs="Arial"/>
                <w:sz w:val="18"/>
                <w:szCs w:val="18"/>
              </w:rPr>
              <w:t>c</w:t>
            </w:r>
            <w:r w:rsidRPr="000A53C0">
              <w:rPr>
                <w:rFonts w:cs="Arial"/>
                <w:sz w:val="18"/>
                <w:szCs w:val="18"/>
              </w:rPr>
              <w:t>osts</w:t>
            </w:r>
          </w:p>
        </w:tc>
        <w:tc>
          <w:tcPr>
            <w:tcW w:w="8399" w:type="dxa"/>
            <w:tcBorders>
              <w:top w:val="single" w:sz="4" w:space="0" w:color="D1D1D1" w:themeColor="background2"/>
              <w:bottom w:val="single" w:sz="4" w:space="0" w:color="D1D1D1" w:themeColor="background2"/>
            </w:tcBorders>
          </w:tcPr>
          <w:p w14:paraId="75796D50" w14:textId="5998F021"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Conduct analysis to identify the costs to PCBUs and workers from a prohibition on engineered stone (e.g.</w:t>
            </w:r>
            <w:r w:rsidR="001E24D4" w:rsidRPr="000A53C0">
              <w:rPr>
                <w:rFonts w:cs="Arial"/>
                <w:sz w:val="18"/>
                <w:szCs w:val="18"/>
              </w:rPr>
              <w:t> </w:t>
            </w:r>
            <w:r w:rsidRPr="000A53C0">
              <w:rPr>
                <w:rFonts w:cs="Arial"/>
                <w:sz w:val="18"/>
                <w:szCs w:val="18"/>
              </w:rPr>
              <w:t>costs of complying with license requirements and business closure costs)</w:t>
            </w:r>
            <w:r w:rsidR="00926E4D">
              <w:rPr>
                <w:rFonts w:cs="Arial"/>
                <w:sz w:val="18"/>
                <w:szCs w:val="18"/>
              </w:rPr>
              <w:t>.</w:t>
            </w:r>
          </w:p>
          <w:p w14:paraId="4E638E8C" w14:textId="5F863071"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 xml:space="preserve">Define the cost to government associated with a prohibition on the use of engineered stone including costs to implement a licensing framework, processing of licensing applications and compliance audits. </w:t>
            </w:r>
          </w:p>
        </w:tc>
      </w:tr>
      <w:tr w:rsidR="00C81E02" w:rsidRPr="000A53C0" w14:paraId="50E0B148" w14:textId="77777777">
        <w:tc>
          <w:tcPr>
            <w:tcW w:w="1795" w:type="dxa"/>
            <w:tcBorders>
              <w:top w:val="single" w:sz="4" w:space="0" w:color="D1D1D1" w:themeColor="background2"/>
              <w:bottom w:val="single" w:sz="4" w:space="0" w:color="D1D1D1" w:themeColor="background2"/>
            </w:tcBorders>
          </w:tcPr>
          <w:p w14:paraId="7A5D2186" w14:textId="028D2360" w:rsidR="00C81E02" w:rsidRPr="000A53C0" w:rsidRDefault="00C81E02">
            <w:pPr>
              <w:spacing w:before="40" w:after="40"/>
              <w:rPr>
                <w:rFonts w:cs="Arial"/>
                <w:sz w:val="18"/>
                <w:szCs w:val="18"/>
              </w:rPr>
            </w:pPr>
            <w:r w:rsidRPr="000A53C0">
              <w:rPr>
                <w:rFonts w:cs="Arial"/>
                <w:sz w:val="18"/>
                <w:szCs w:val="18"/>
              </w:rPr>
              <w:t xml:space="preserve">Assess </w:t>
            </w:r>
            <w:r w:rsidR="00154CA6">
              <w:rPr>
                <w:rFonts w:cs="Arial"/>
                <w:sz w:val="18"/>
                <w:szCs w:val="18"/>
              </w:rPr>
              <w:t>c</w:t>
            </w:r>
            <w:r w:rsidRPr="000A53C0">
              <w:rPr>
                <w:rFonts w:cs="Arial"/>
                <w:sz w:val="18"/>
                <w:szCs w:val="18"/>
              </w:rPr>
              <w:t>osts</w:t>
            </w:r>
          </w:p>
        </w:tc>
        <w:tc>
          <w:tcPr>
            <w:tcW w:w="8399" w:type="dxa"/>
            <w:tcBorders>
              <w:top w:val="single" w:sz="4" w:space="0" w:color="D1D1D1" w:themeColor="background2"/>
              <w:bottom w:val="single" w:sz="4" w:space="0" w:color="D1D1D1" w:themeColor="background2"/>
            </w:tcBorders>
          </w:tcPr>
          <w:p w14:paraId="61DC060B" w14:textId="77777777"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Estimate the costs to PCBUs, workers and government associated with each proposed prohibition option.</w:t>
            </w:r>
          </w:p>
        </w:tc>
      </w:tr>
      <w:tr w:rsidR="00C81E02" w:rsidRPr="000A53C0" w14:paraId="745A0761" w14:textId="77777777">
        <w:tc>
          <w:tcPr>
            <w:tcW w:w="1795" w:type="dxa"/>
            <w:tcBorders>
              <w:top w:val="single" w:sz="4" w:space="0" w:color="D1D1D1" w:themeColor="background2"/>
              <w:bottom w:val="single" w:sz="12" w:space="0" w:color="D1D1D1" w:themeColor="background2"/>
            </w:tcBorders>
          </w:tcPr>
          <w:p w14:paraId="56FDF677" w14:textId="77777777" w:rsidR="00C81E02" w:rsidRPr="000A53C0" w:rsidRDefault="00C81E02">
            <w:pPr>
              <w:spacing w:before="40" w:after="40"/>
              <w:rPr>
                <w:rFonts w:cs="Arial"/>
                <w:sz w:val="18"/>
                <w:szCs w:val="18"/>
              </w:rPr>
            </w:pPr>
            <w:r w:rsidRPr="000A53C0">
              <w:rPr>
                <w:rFonts w:cs="Arial"/>
                <w:sz w:val="18"/>
                <w:szCs w:val="18"/>
              </w:rPr>
              <w:t>Undertake breakeven analysis</w:t>
            </w:r>
          </w:p>
        </w:tc>
        <w:tc>
          <w:tcPr>
            <w:tcW w:w="8399" w:type="dxa"/>
            <w:tcBorders>
              <w:top w:val="single" w:sz="4" w:space="0" w:color="D1D1D1" w:themeColor="background2"/>
              <w:bottom w:val="single" w:sz="12" w:space="0" w:color="D1D1D1" w:themeColor="background2"/>
            </w:tcBorders>
          </w:tcPr>
          <w:p w14:paraId="67E50EDE" w14:textId="77777777"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Calculate the level of monetary benefits required for each of the options to break even.</w:t>
            </w:r>
          </w:p>
          <w:p w14:paraId="59783A1B" w14:textId="77777777" w:rsidR="00C81E02" w:rsidRPr="000A53C0" w:rsidRDefault="00C81E02" w:rsidP="00766916">
            <w:pPr>
              <w:pStyle w:val="ListParagraph"/>
              <w:numPr>
                <w:ilvl w:val="0"/>
                <w:numId w:val="33"/>
              </w:numPr>
              <w:spacing w:before="40" w:after="40"/>
              <w:ind w:left="343" w:hanging="270"/>
              <w:contextualSpacing w:val="0"/>
              <w:rPr>
                <w:rFonts w:cs="Arial"/>
                <w:sz w:val="18"/>
                <w:szCs w:val="18"/>
              </w:rPr>
            </w:pPr>
            <w:r w:rsidRPr="000A53C0">
              <w:rPr>
                <w:rFonts w:cs="Arial"/>
                <w:sz w:val="18"/>
                <w:szCs w:val="18"/>
              </w:rPr>
              <w:t>Convert the monetary benefits into the required avoided number of deaths and illness to provide a meaningful comparison.</w:t>
            </w:r>
          </w:p>
        </w:tc>
      </w:tr>
    </w:tbl>
    <w:p w14:paraId="3CDA11D2" w14:textId="77777777" w:rsidR="00C81E02" w:rsidRPr="000A53C0" w:rsidRDefault="00C81E02" w:rsidP="00C81E02">
      <w:pPr>
        <w:pStyle w:val="BodyText"/>
        <w:rPr>
          <w:rFonts w:cs="Arial"/>
        </w:rPr>
      </w:pPr>
    </w:p>
    <w:p w14:paraId="181BF2B7" w14:textId="690DAA5B" w:rsidR="00C81E02" w:rsidRPr="000A53C0" w:rsidRDefault="00C81E02" w:rsidP="00514CCB">
      <w:pPr>
        <w:pStyle w:val="Heading3numbered"/>
      </w:pPr>
      <w:r w:rsidRPr="000A53C0">
        <w:t xml:space="preserve">Impact </w:t>
      </w:r>
      <w:r w:rsidR="006E7F27">
        <w:t>a</w:t>
      </w:r>
      <w:r w:rsidRPr="000A53C0">
        <w:t xml:space="preserve">nalysis </w:t>
      </w:r>
      <w:r w:rsidR="006E7F27">
        <w:t>f</w:t>
      </w:r>
      <w:r w:rsidRPr="000A53C0">
        <w:t>ramework</w:t>
      </w:r>
    </w:p>
    <w:p w14:paraId="033B041E" w14:textId="19E88136" w:rsidR="00C81E02" w:rsidRPr="000A53C0" w:rsidRDefault="76ACFE44" w:rsidP="52273BA0">
      <w:pPr>
        <w:pStyle w:val="BodyText"/>
        <w:rPr>
          <w:rFonts w:cs="Arial"/>
        </w:rPr>
      </w:pPr>
      <w:bookmarkStart w:id="113" w:name="_Ref136258273"/>
      <w:r w:rsidRPr="000A53C0">
        <w:rPr>
          <w:rFonts w:cs="Arial"/>
        </w:rPr>
        <w:t xml:space="preserve">Guiding the </w:t>
      </w:r>
      <w:r w:rsidR="006E7F27">
        <w:rPr>
          <w:rFonts w:cs="Arial"/>
        </w:rPr>
        <w:t>i</w:t>
      </w:r>
      <w:r w:rsidRPr="000A53C0">
        <w:rPr>
          <w:rFonts w:cs="Arial"/>
        </w:rPr>
        <w:t xml:space="preserve">mpact </w:t>
      </w:r>
      <w:r w:rsidR="006E7F27">
        <w:rPr>
          <w:rFonts w:cs="Arial"/>
        </w:rPr>
        <w:t>a</w:t>
      </w:r>
      <w:r w:rsidRPr="000A53C0">
        <w:rPr>
          <w:rFonts w:cs="Arial"/>
        </w:rPr>
        <w:t xml:space="preserve">nalysis, the framework at </w:t>
      </w:r>
      <w:r w:rsidR="00C81E02" w:rsidRPr="000A53C0">
        <w:rPr>
          <w:rFonts w:cs="Arial"/>
        </w:rPr>
        <w:fldChar w:fldCharType="begin" w:fldLock="1"/>
      </w:r>
      <w:r w:rsidR="00C81E02" w:rsidRPr="000A53C0">
        <w:rPr>
          <w:rFonts w:cs="Arial"/>
        </w:rPr>
        <w:instrText xml:space="preserve"> REF _Ref136279584 \h  \* MERGEFORMAT </w:instrText>
      </w:r>
      <w:r w:rsidR="00C81E02" w:rsidRPr="000A53C0">
        <w:rPr>
          <w:rFonts w:cs="Arial"/>
        </w:rPr>
      </w:r>
      <w:r w:rsidR="00C81E02" w:rsidRPr="000A53C0">
        <w:rPr>
          <w:rFonts w:cs="Arial"/>
        </w:rPr>
        <w:fldChar w:fldCharType="separate"/>
      </w:r>
      <w:r w:rsidR="00D16271" w:rsidRPr="00D16271">
        <w:rPr>
          <w:rFonts w:cs="Arial"/>
        </w:rPr>
        <w:t>Figure 4</w:t>
      </w:r>
      <w:r w:rsidR="00C81E02" w:rsidRPr="000A53C0">
        <w:rPr>
          <w:rFonts w:cs="Arial"/>
        </w:rPr>
        <w:fldChar w:fldCharType="end"/>
      </w:r>
      <w:r w:rsidRPr="000A53C0">
        <w:rPr>
          <w:rFonts w:cs="Arial"/>
        </w:rPr>
        <w:t xml:space="preserve"> summarises the impacts of a potential prohibition</w:t>
      </w:r>
      <w:r w:rsidRPr="000A53C0" w:rsidDel="00243FBB">
        <w:rPr>
          <w:rFonts w:cs="Arial"/>
        </w:rPr>
        <w:t xml:space="preserve"> </w:t>
      </w:r>
      <w:r w:rsidRPr="000A53C0">
        <w:rPr>
          <w:rFonts w:cs="Arial"/>
        </w:rPr>
        <w:t>across all sectors of the economy – including PCBU</w:t>
      </w:r>
      <w:r w:rsidR="63E7F1E2" w:rsidRPr="000A53C0">
        <w:rPr>
          <w:rFonts w:cs="Arial"/>
        </w:rPr>
        <w:t>s</w:t>
      </w:r>
      <w:r w:rsidRPr="000A53C0">
        <w:rPr>
          <w:rFonts w:cs="Arial"/>
        </w:rPr>
        <w:t xml:space="preserve">, workers, consumers, government and the broader community. For each group, the framework shows the direct and indirect benefits and costs, and measures of those impacts, including whether those impacts were subject to qualitative, quantitative or breakeven analysis. </w:t>
      </w:r>
    </w:p>
    <w:p w14:paraId="0A1997C4" w14:textId="5C4C2AF1" w:rsidR="00C81E02" w:rsidRPr="000A53C0" w:rsidRDefault="00C81E02" w:rsidP="00CB1198">
      <w:pPr>
        <w:pStyle w:val="Caption"/>
        <w:rPr>
          <w:rFonts w:cs="Arial"/>
        </w:rPr>
      </w:pPr>
      <w:bookmarkStart w:id="114" w:name="_Ref136279584"/>
      <w:bookmarkStart w:id="115" w:name="_Toc141694448"/>
      <w:r w:rsidRPr="00655E5E">
        <w:rPr>
          <w:rFonts w:cs="Arial"/>
          <w:b/>
          <w:bCs/>
        </w:rPr>
        <w:lastRenderedPageBreak/>
        <w:t xml:space="preserve">Figure </w:t>
      </w:r>
      <w:r w:rsidRPr="00655E5E">
        <w:rPr>
          <w:rFonts w:cs="Arial"/>
          <w:b/>
          <w:bCs/>
        </w:rPr>
        <w:fldChar w:fldCharType="begin"/>
      </w:r>
      <w:r w:rsidRPr="00655E5E">
        <w:rPr>
          <w:rFonts w:cs="Arial"/>
          <w:b/>
          <w:bCs/>
        </w:rPr>
        <w:instrText>SEQ Figure \* ARABIC</w:instrText>
      </w:r>
      <w:r w:rsidRPr="00655E5E">
        <w:rPr>
          <w:rFonts w:cs="Arial"/>
          <w:b/>
          <w:bCs/>
        </w:rPr>
        <w:fldChar w:fldCharType="separate"/>
      </w:r>
      <w:r w:rsidR="00D16271">
        <w:rPr>
          <w:rFonts w:cs="Arial"/>
          <w:b/>
          <w:bCs/>
          <w:noProof/>
        </w:rPr>
        <w:t>4</w:t>
      </w:r>
      <w:r w:rsidRPr="00655E5E">
        <w:rPr>
          <w:rFonts w:cs="Arial"/>
          <w:b/>
          <w:bCs/>
        </w:rPr>
        <w:fldChar w:fldCharType="end"/>
      </w:r>
      <w:bookmarkEnd w:id="114"/>
      <w:r w:rsidRPr="000A53C0">
        <w:rPr>
          <w:rFonts w:cs="Arial"/>
        </w:rPr>
        <w:t xml:space="preserve"> Impact </w:t>
      </w:r>
      <w:r w:rsidR="00655E5E">
        <w:rPr>
          <w:rFonts w:cs="Arial"/>
        </w:rPr>
        <w:t>a</w:t>
      </w:r>
      <w:r w:rsidRPr="000A53C0">
        <w:rPr>
          <w:rFonts w:cs="Arial"/>
        </w:rPr>
        <w:t xml:space="preserve">nalysis </w:t>
      </w:r>
      <w:r w:rsidR="00655E5E">
        <w:rPr>
          <w:rFonts w:cs="Arial"/>
        </w:rPr>
        <w:t>f</w:t>
      </w:r>
      <w:r w:rsidRPr="000A53C0">
        <w:rPr>
          <w:rFonts w:cs="Arial"/>
        </w:rPr>
        <w:t>ramework</w:t>
      </w:r>
      <w:bookmarkEnd w:id="113"/>
      <w:bookmarkEnd w:id="115"/>
    </w:p>
    <w:p w14:paraId="12DFFBC5" w14:textId="3C702309" w:rsidR="00C81E02" w:rsidRPr="000A53C0" w:rsidRDefault="00B23A06" w:rsidP="00C81E02">
      <w:pPr>
        <w:rPr>
          <w:rFonts w:cs="Arial"/>
        </w:rPr>
      </w:pPr>
      <w:r w:rsidRPr="000A53C0">
        <w:rPr>
          <w:rFonts w:cs="Arial"/>
          <w:noProof/>
          <w:lang w:eastAsia="en-AU"/>
        </w:rPr>
        <w:drawing>
          <wp:inline distT="0" distB="0" distL="0" distR="0" wp14:anchorId="34FCF1C1" wp14:editId="08150198">
            <wp:extent cx="6213600" cy="4644000"/>
            <wp:effectExtent l="0" t="0" r="0" b="0"/>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3600" cy="4644000"/>
                    </a:xfrm>
                    <a:prstGeom prst="rect">
                      <a:avLst/>
                    </a:prstGeom>
                  </pic:spPr>
                </pic:pic>
              </a:graphicData>
            </a:graphic>
          </wp:inline>
        </w:drawing>
      </w:r>
    </w:p>
    <w:p w14:paraId="34198042" w14:textId="6A65E8E4" w:rsidR="00C81E02" w:rsidRPr="000A53C0" w:rsidRDefault="00C81E02" w:rsidP="00C81E02">
      <w:pPr>
        <w:pStyle w:val="BodyText"/>
        <w:rPr>
          <w:rFonts w:cs="Arial"/>
        </w:rPr>
      </w:pPr>
      <w:r w:rsidRPr="000A53C0">
        <w:rPr>
          <w:rFonts w:cs="Arial"/>
        </w:rPr>
        <w:t xml:space="preserve">The key direct benefit sought through the prohibition of engineered stone is to improve the health and quality of life outcomes of those who work with </w:t>
      </w:r>
      <w:r w:rsidR="00023F54" w:rsidRPr="000A53C0">
        <w:rPr>
          <w:rFonts w:cs="Arial"/>
        </w:rPr>
        <w:t>engineered stone products</w:t>
      </w:r>
      <w:r w:rsidRPr="000A53C0">
        <w:rPr>
          <w:rFonts w:cs="Arial"/>
        </w:rPr>
        <w:t>. Given the health benefits are difficult to assess quantitatively</w:t>
      </w:r>
      <w:r w:rsidR="009B4193" w:rsidRPr="000A53C0">
        <w:rPr>
          <w:rFonts w:cs="Arial"/>
        </w:rPr>
        <w:t xml:space="preserve"> for the prohibition option</w:t>
      </w:r>
      <w:r w:rsidR="00C112BA" w:rsidRPr="000A53C0">
        <w:rPr>
          <w:rFonts w:cs="Arial"/>
        </w:rPr>
        <w:t>s</w:t>
      </w:r>
      <w:r w:rsidRPr="000A53C0">
        <w:rPr>
          <w:rFonts w:cs="Arial"/>
        </w:rPr>
        <w:t>, a breakeven analysis has been undertaken. This</w:t>
      </w:r>
      <w:r w:rsidRPr="000A53C0" w:rsidDel="009A44E7">
        <w:rPr>
          <w:rFonts w:cs="Arial"/>
        </w:rPr>
        <w:t xml:space="preserve"> </w:t>
      </w:r>
      <w:r w:rsidRPr="000A53C0">
        <w:rPr>
          <w:rFonts w:cs="Arial"/>
        </w:rPr>
        <w:t xml:space="preserve">shows the reduction in premature deaths due to silicosis and silica-related disease, as well as a reduction in the number of people living with silicosis or silica-related diseases, that must be avoided to offset the costs of the options. </w:t>
      </w:r>
    </w:p>
    <w:p w14:paraId="515A4156" w14:textId="77777777" w:rsidR="00C81E02" w:rsidRPr="000A53C0" w:rsidRDefault="00C81E02" w:rsidP="00C81E02">
      <w:pPr>
        <w:pStyle w:val="BodyText"/>
        <w:rPr>
          <w:rFonts w:cs="Arial"/>
        </w:rPr>
      </w:pPr>
      <w:r w:rsidRPr="000A53C0">
        <w:rPr>
          <w:rFonts w:cs="Arial"/>
        </w:rPr>
        <w:t xml:space="preserve">There are also indirect benefits to PCBUs, government and the broader community resulting from the improved health benefits of the prohibition options, which have not been monetised to avoid double counting or because it has not been possible to monetise them (see following sections for more information). These indirect benefits include avoided government costs of hospitalisations and out-patient care, improved worker productivity and participation, avoided costs to PCBUs due to fewer workplace compensation claims and improved health and quality of life to families and friends of workers. </w:t>
      </w:r>
    </w:p>
    <w:p w14:paraId="0E896686" w14:textId="77777777" w:rsidR="00C81E02" w:rsidRPr="000A53C0" w:rsidRDefault="00C81E02" w:rsidP="00C81E02">
      <w:pPr>
        <w:pStyle w:val="BodyText"/>
        <w:rPr>
          <w:rFonts w:cs="Arial"/>
        </w:rPr>
      </w:pPr>
      <w:r w:rsidRPr="000A53C0">
        <w:rPr>
          <w:rFonts w:cs="Arial"/>
        </w:rPr>
        <w:t xml:space="preserve">Direct costs to PCBUs resulting from the prohibition of engineered stone and associated changes in regulation include costs of complying with new regulations and costs to transition to alternative products, while for government it includes implementing and operating licensing frameworks. </w:t>
      </w:r>
    </w:p>
    <w:p w14:paraId="482ED3D5" w14:textId="77777777" w:rsidR="00C81E02" w:rsidRPr="000A53C0" w:rsidRDefault="00C81E02" w:rsidP="00C81E02">
      <w:pPr>
        <w:pStyle w:val="BodyText"/>
        <w:rPr>
          <w:rFonts w:cs="Arial"/>
        </w:rPr>
      </w:pPr>
      <w:r w:rsidRPr="000A53C0">
        <w:rPr>
          <w:rFonts w:cs="Arial"/>
        </w:rPr>
        <w:t xml:space="preserve">Moreover, the increase in regulatory burden may bring about indirect costs such as financial loss and business closure for PCBUs, resulting job loss for workers, and an associated increase in income support and training support payments for government. These costs have been monetised. </w:t>
      </w:r>
    </w:p>
    <w:p w14:paraId="47817236" w14:textId="012A4AA8" w:rsidR="00C81E02" w:rsidRPr="000A53C0" w:rsidRDefault="00C81E02" w:rsidP="00C81E02">
      <w:pPr>
        <w:pStyle w:val="BodyText"/>
        <w:rPr>
          <w:rFonts w:cs="Arial"/>
        </w:rPr>
      </w:pPr>
      <w:r w:rsidRPr="000A53C0">
        <w:rPr>
          <w:rFonts w:cs="Arial"/>
        </w:rPr>
        <w:lastRenderedPageBreak/>
        <w:t xml:space="preserve">Cost recovery for licensing schemes has not been considered in this </w:t>
      </w:r>
      <w:r w:rsidR="007C6007">
        <w:rPr>
          <w:rFonts w:cs="Arial"/>
        </w:rPr>
        <w:t>i</w:t>
      </w:r>
      <w:r w:rsidRPr="000A53C0">
        <w:rPr>
          <w:rFonts w:cs="Arial"/>
        </w:rPr>
        <w:t xml:space="preserve">mpact </w:t>
      </w:r>
      <w:r w:rsidR="007C6007">
        <w:rPr>
          <w:rFonts w:cs="Arial"/>
        </w:rPr>
        <w:t>a</w:t>
      </w:r>
      <w:r w:rsidRPr="000A53C0">
        <w:rPr>
          <w:rFonts w:cs="Arial"/>
        </w:rPr>
        <w:t xml:space="preserve">nalysis, as any decision to offset government costs of administering a </w:t>
      </w:r>
      <w:r w:rsidR="00164B43" w:rsidRPr="000A53C0">
        <w:rPr>
          <w:rFonts w:cs="Arial"/>
        </w:rPr>
        <w:t xml:space="preserve">licensing framework </w:t>
      </w:r>
      <w:r w:rsidRPr="000A53C0">
        <w:rPr>
          <w:rFonts w:cs="Arial"/>
        </w:rPr>
        <w:t xml:space="preserve">through a fee structure would be a policy decision for each jurisdiction to make. </w:t>
      </w:r>
    </w:p>
    <w:p w14:paraId="4C0767AB" w14:textId="603CA78A" w:rsidR="00C81E02" w:rsidRPr="000A53C0" w:rsidRDefault="00C81E02" w:rsidP="00C81E02">
      <w:pPr>
        <w:pStyle w:val="BodyText"/>
        <w:rPr>
          <w:rFonts w:cs="Arial"/>
        </w:rPr>
      </w:pPr>
      <w:r w:rsidRPr="000A53C0">
        <w:rPr>
          <w:rFonts w:cs="Arial"/>
        </w:rPr>
        <w:t>If governments choose to pass the costs of a licensing framework on</w:t>
      </w:r>
      <w:r w:rsidR="00F069DE" w:rsidRPr="000A53C0">
        <w:rPr>
          <w:rFonts w:cs="Arial"/>
        </w:rPr>
        <w:t xml:space="preserve"> </w:t>
      </w:r>
      <w:r w:rsidRPr="000A53C0">
        <w:rPr>
          <w:rFonts w:cs="Arial"/>
        </w:rPr>
        <w:t>to PCBUs, this may in turn be passed on to consumers with an increase in costs for goods and services related to engineered stone, including increased costs associated with the removal or repair of already installed stone, as well as an increase in costs for engineered stone and substitute products. There may also be environmental costs to the community associated with the disposal of unused stock of engineered stone in landfill.</w:t>
      </w:r>
    </w:p>
    <w:p w14:paraId="5320F418" w14:textId="0D441653" w:rsidR="00C81E02" w:rsidRPr="000A53C0" w:rsidRDefault="00C81E02" w:rsidP="00514CCB">
      <w:pPr>
        <w:pStyle w:val="Heading3numbered"/>
      </w:pPr>
      <w:r w:rsidRPr="000A53C0">
        <w:t>Time period for appraisal</w:t>
      </w:r>
    </w:p>
    <w:p w14:paraId="324128EB" w14:textId="62518480" w:rsidR="00C81E02" w:rsidRPr="000A53C0" w:rsidRDefault="00C81E02" w:rsidP="00C81E02">
      <w:pPr>
        <w:pStyle w:val="BodyText"/>
        <w:rPr>
          <w:rFonts w:cs="Arial"/>
        </w:rPr>
      </w:pPr>
      <w:r w:rsidRPr="000A53C0">
        <w:rPr>
          <w:rFonts w:cs="Arial"/>
        </w:rPr>
        <w:t xml:space="preserve">This </w:t>
      </w:r>
      <w:r w:rsidR="00A12CBD">
        <w:rPr>
          <w:rFonts w:cs="Arial"/>
        </w:rPr>
        <w:t>i</w:t>
      </w:r>
      <w:r w:rsidRPr="000A53C0">
        <w:rPr>
          <w:rFonts w:cs="Arial"/>
        </w:rPr>
        <w:t xml:space="preserve">mpact </w:t>
      </w:r>
      <w:r w:rsidR="00A12CBD">
        <w:rPr>
          <w:rFonts w:cs="Arial"/>
        </w:rPr>
        <w:t>a</w:t>
      </w:r>
      <w:r w:rsidRPr="000A53C0">
        <w:rPr>
          <w:rFonts w:cs="Arial"/>
        </w:rPr>
        <w:t>nalysis considers the costs and benefits of the prohibition options over the implementation period and a 10-year operational period</w:t>
      </w:r>
      <w:r w:rsidR="009D1988" w:rsidRPr="000A53C0">
        <w:rPr>
          <w:rFonts w:cs="Arial"/>
        </w:rPr>
        <w:t>, referred to as the appraisal period throughout</w:t>
      </w:r>
      <w:r w:rsidRPr="000A53C0">
        <w:rPr>
          <w:rFonts w:cs="Arial"/>
        </w:rPr>
        <w:t>.</w:t>
      </w:r>
    </w:p>
    <w:p w14:paraId="08CB7DF1" w14:textId="436177F7" w:rsidR="00C81E02" w:rsidRPr="000A53C0" w:rsidRDefault="00C81E02" w:rsidP="00514CCB">
      <w:pPr>
        <w:pStyle w:val="Heading3numbered"/>
      </w:pPr>
      <w:r w:rsidRPr="000A53C0">
        <w:t>Avoiding double counting and financial transfers</w:t>
      </w:r>
    </w:p>
    <w:p w14:paraId="01AB2D5E" w14:textId="54BFC729" w:rsidR="00C81E02" w:rsidRPr="000A53C0" w:rsidRDefault="00C81E02" w:rsidP="00C81E02">
      <w:pPr>
        <w:pStyle w:val="BodyText"/>
        <w:rPr>
          <w:rFonts w:cs="Arial"/>
        </w:rPr>
      </w:pPr>
      <w:r w:rsidRPr="000A53C0">
        <w:rPr>
          <w:rFonts w:cs="Arial"/>
        </w:rPr>
        <w:t xml:space="preserve">The </w:t>
      </w:r>
      <w:r w:rsidR="00A12CBD">
        <w:rPr>
          <w:rFonts w:cs="Arial"/>
        </w:rPr>
        <w:t>i</w:t>
      </w:r>
      <w:r w:rsidRPr="000A53C0">
        <w:rPr>
          <w:rFonts w:cs="Arial"/>
        </w:rPr>
        <w:t xml:space="preserve">mpact </w:t>
      </w:r>
      <w:r w:rsidR="00A12CBD">
        <w:rPr>
          <w:rFonts w:cs="Arial"/>
        </w:rPr>
        <w:t>a</w:t>
      </w:r>
      <w:r w:rsidRPr="000A53C0">
        <w:rPr>
          <w:rFonts w:cs="Arial"/>
        </w:rPr>
        <w:t>nalysis avoids counting the same costs and benefits multiple times as they move through the economy by attributing impacts to the group directly impacted. For example, higher production and licensing fees are assigned to PCBUs, though the costs may eventually be passed onto consumers through higher prices for goods and services. Direct financial transfers between different groups are also excluded (e.g. licensing fees from PCBUs to governments), as these do not lead to a net change in costs or benefits to society.</w:t>
      </w:r>
    </w:p>
    <w:p w14:paraId="1EF82613" w14:textId="598E4E5F" w:rsidR="00C81E02" w:rsidRPr="000A53C0" w:rsidRDefault="00C81E02" w:rsidP="00514CCB">
      <w:pPr>
        <w:pStyle w:val="Heading3numbered"/>
      </w:pPr>
      <w:r w:rsidRPr="000A53C0">
        <w:t>Data sources</w:t>
      </w:r>
    </w:p>
    <w:p w14:paraId="30D95FDA" w14:textId="77777777" w:rsidR="00C81E02" w:rsidRPr="000A53C0" w:rsidRDefault="00C81E02" w:rsidP="00C81E02">
      <w:pPr>
        <w:spacing w:after="120" w:line="264" w:lineRule="auto"/>
        <w:rPr>
          <w:rFonts w:cs="Arial"/>
        </w:rPr>
      </w:pPr>
      <w:r w:rsidRPr="000A53C0">
        <w:rPr>
          <w:rFonts w:cs="Arial"/>
        </w:rPr>
        <w:t>The cost estimates developed for this Prohibition Decision RIS are based on information on costs collected through:</w:t>
      </w:r>
    </w:p>
    <w:p w14:paraId="1E3EFA7A" w14:textId="7D4734F1" w:rsidR="00C81E02" w:rsidRPr="000A53C0" w:rsidRDefault="00336F06" w:rsidP="00766916">
      <w:pPr>
        <w:pStyle w:val="BodyText"/>
        <w:numPr>
          <w:ilvl w:val="0"/>
          <w:numId w:val="32"/>
        </w:numPr>
        <w:spacing w:after="200" w:line="260" w:lineRule="exact"/>
        <w:rPr>
          <w:rFonts w:cs="Arial"/>
          <w:color w:val="auto"/>
        </w:rPr>
      </w:pPr>
      <w:r>
        <w:rPr>
          <w:rFonts w:cs="Arial"/>
          <w:color w:val="auto"/>
        </w:rPr>
        <w:t>t</w:t>
      </w:r>
      <w:r w:rsidR="00C81E02" w:rsidRPr="000A53C0">
        <w:rPr>
          <w:rFonts w:cs="Arial"/>
          <w:color w:val="auto"/>
        </w:rPr>
        <w:t xml:space="preserve">he </w:t>
      </w:r>
      <w:r w:rsidR="00C81E02" w:rsidRPr="000A53C0">
        <w:rPr>
          <w:rFonts w:cs="Arial"/>
          <w:i/>
          <w:color w:val="auto"/>
        </w:rPr>
        <w:t>Decision Regulation Impact Statement for Managing the Risks of Respirable Crystalline Silica at Work</w:t>
      </w:r>
      <w:r w:rsidR="00C81E02" w:rsidRPr="000A53C0">
        <w:rPr>
          <w:rFonts w:cs="Arial"/>
          <w:color w:val="auto"/>
        </w:rPr>
        <w:t xml:space="preserve"> published in February 2023 (Silica Decision RIS</w:t>
      </w:r>
      <w:r w:rsidR="00C16474" w:rsidRPr="000A53C0">
        <w:rPr>
          <w:rFonts w:cs="Arial"/>
          <w:color w:val="auto"/>
        </w:rPr>
        <w:t xml:space="preserve">; </w:t>
      </w:r>
      <w:r w:rsidR="00C81E02" w:rsidRPr="000A53C0">
        <w:rPr>
          <w:rFonts w:cs="Arial"/>
          <w:color w:val="auto"/>
        </w:rPr>
        <w:t>SWA, 2023)</w:t>
      </w:r>
    </w:p>
    <w:p w14:paraId="711BCA59" w14:textId="6B030AB5" w:rsidR="00C81E02" w:rsidRPr="000A53C0" w:rsidRDefault="00336F06" w:rsidP="00766916">
      <w:pPr>
        <w:pStyle w:val="BodyText"/>
        <w:numPr>
          <w:ilvl w:val="0"/>
          <w:numId w:val="32"/>
        </w:numPr>
        <w:spacing w:after="200" w:line="260" w:lineRule="exact"/>
        <w:rPr>
          <w:rFonts w:cs="Arial"/>
          <w:color w:val="auto"/>
        </w:rPr>
      </w:pPr>
      <w:r>
        <w:rPr>
          <w:rFonts w:cs="Arial"/>
          <w:color w:val="auto"/>
        </w:rPr>
        <w:t>p</w:t>
      </w:r>
      <w:r w:rsidR="00C81E02" w:rsidRPr="000A53C0">
        <w:rPr>
          <w:rFonts w:cs="Arial"/>
          <w:color w:val="auto"/>
        </w:rPr>
        <w:t xml:space="preserve">ublic consultation on prohibition on the use of engineered stone undertaken in March and </w:t>
      </w:r>
      <w:r w:rsidR="00C81E02" w:rsidRPr="000A53C0" w:rsidDel="00FA5CB4">
        <w:rPr>
          <w:rFonts w:cs="Arial"/>
          <w:color w:val="auto"/>
        </w:rPr>
        <w:t>April</w:t>
      </w:r>
      <w:r w:rsidR="00C81E02" w:rsidRPr="000A53C0">
        <w:rPr>
          <w:rFonts w:cs="Arial"/>
          <w:color w:val="auto"/>
        </w:rPr>
        <w:t> 2023 (consultation to inform the Prohibition Decision RIS</w:t>
      </w:r>
      <w:r w:rsidR="00C16474" w:rsidRPr="000A53C0">
        <w:rPr>
          <w:rFonts w:cs="Arial"/>
          <w:color w:val="auto"/>
        </w:rPr>
        <w:t xml:space="preserve">; </w:t>
      </w:r>
      <w:r w:rsidR="00C81E02" w:rsidRPr="000A53C0">
        <w:rPr>
          <w:rFonts w:cs="Arial"/>
          <w:color w:val="auto"/>
        </w:rPr>
        <w:t>SWA, 2023)</w:t>
      </w:r>
      <w:r>
        <w:rPr>
          <w:rFonts w:cs="Arial"/>
          <w:color w:val="auto"/>
        </w:rPr>
        <w:t>, and</w:t>
      </w:r>
    </w:p>
    <w:p w14:paraId="522EA2BB" w14:textId="43D039D7" w:rsidR="00C81E02" w:rsidRPr="000A53C0" w:rsidRDefault="00C517E1" w:rsidP="00766916">
      <w:pPr>
        <w:pStyle w:val="BodyText"/>
        <w:numPr>
          <w:ilvl w:val="0"/>
          <w:numId w:val="32"/>
        </w:numPr>
        <w:spacing w:after="200" w:line="260" w:lineRule="exact"/>
        <w:rPr>
          <w:rFonts w:cs="Arial"/>
          <w:color w:val="auto"/>
        </w:rPr>
      </w:pPr>
      <w:r>
        <w:rPr>
          <w:rFonts w:cs="Arial"/>
          <w:color w:val="auto"/>
        </w:rPr>
        <w:t>t</w:t>
      </w:r>
      <w:r w:rsidR="00C81E02" w:rsidRPr="000A53C0">
        <w:rPr>
          <w:rFonts w:cs="Arial"/>
          <w:color w:val="auto"/>
        </w:rPr>
        <w:t xml:space="preserve">argeted desktop analysis where there were gaps in information. </w:t>
      </w:r>
    </w:p>
    <w:p w14:paraId="6225B713" w14:textId="69A0D633" w:rsidR="00C81E02" w:rsidRPr="000A53C0" w:rsidRDefault="00C81E02" w:rsidP="00514CCB">
      <w:pPr>
        <w:pStyle w:val="Heading3numbered"/>
      </w:pPr>
      <w:r w:rsidRPr="000A53C0">
        <w:t>Dealing with uncertainty</w:t>
      </w:r>
    </w:p>
    <w:p w14:paraId="5BED3742" w14:textId="327226C3" w:rsidR="00C81E02" w:rsidRPr="000A53C0" w:rsidRDefault="00C81E02" w:rsidP="00C81E02">
      <w:pPr>
        <w:keepNext/>
        <w:spacing w:after="120" w:line="264" w:lineRule="auto"/>
        <w:rPr>
          <w:rFonts w:cs="Arial"/>
        </w:rPr>
      </w:pPr>
      <w:r w:rsidRPr="000A53C0">
        <w:rPr>
          <w:rFonts w:cs="Arial"/>
        </w:rPr>
        <w:t xml:space="preserve">A paucity of data has meant the modelling of the costs of the prohibition options were based on assumptions in several instances, documented </w:t>
      </w:r>
      <w:r w:rsidR="005A0B2D" w:rsidRPr="000A53C0">
        <w:rPr>
          <w:rFonts w:cs="Arial"/>
        </w:rPr>
        <w:t>in Appendix B</w:t>
      </w:r>
      <w:r w:rsidRPr="000A53C0">
        <w:rPr>
          <w:rFonts w:cs="Arial"/>
        </w:rPr>
        <w:t xml:space="preserve">. </w:t>
      </w:r>
    </w:p>
    <w:p w14:paraId="366DB346" w14:textId="512DEB18" w:rsidR="00C81E02" w:rsidRPr="000A53C0" w:rsidRDefault="00C81E02" w:rsidP="00514CCB">
      <w:pPr>
        <w:pStyle w:val="Heading3numbered"/>
      </w:pPr>
      <w:r w:rsidRPr="000A53C0">
        <w:t>Base case</w:t>
      </w:r>
    </w:p>
    <w:p w14:paraId="2983452B" w14:textId="77777777" w:rsidR="00C81E02" w:rsidRPr="000A53C0" w:rsidRDefault="00C81E02" w:rsidP="00C81E02">
      <w:pPr>
        <w:spacing w:after="120" w:line="264" w:lineRule="auto"/>
        <w:rPr>
          <w:rFonts w:cs="Arial"/>
        </w:rPr>
      </w:pPr>
      <w:r w:rsidRPr="000A53C0">
        <w:rPr>
          <w:rFonts w:cs="Arial"/>
        </w:rPr>
        <w:t xml:space="preserve">The impacts of the prohibition options have been assessed against the base case. The base case represents the status quo or continued operation of the regulatory environment as is, including committed policy decisions. </w:t>
      </w:r>
    </w:p>
    <w:p w14:paraId="2C015A10" w14:textId="0D194646" w:rsidR="00C81E02" w:rsidRPr="000A53C0" w:rsidRDefault="00C81E02" w:rsidP="00C81E02">
      <w:pPr>
        <w:spacing w:after="120" w:line="264" w:lineRule="auto"/>
        <w:rPr>
          <w:rFonts w:cs="Arial"/>
        </w:rPr>
      </w:pPr>
      <w:r w:rsidRPr="000A53C0">
        <w:rPr>
          <w:rFonts w:cs="Arial"/>
        </w:rPr>
        <w:t>The base case</w:t>
      </w:r>
      <w:r w:rsidRPr="000A53C0" w:rsidDel="00F97E33">
        <w:rPr>
          <w:rFonts w:cs="Arial"/>
        </w:rPr>
        <w:t xml:space="preserve"> </w:t>
      </w:r>
      <w:r w:rsidRPr="000A53C0">
        <w:rPr>
          <w:rFonts w:cs="Arial"/>
        </w:rPr>
        <w:t xml:space="preserve">includes the existing duties under the model WHS Act, model WHS Regulations and relevant model Codes of Practice. It assumes compliance and enforcement activities of state and territory WHS regulators and education and awareness activities undertaken by governments and industry groups will continue at current levels. It is anticipated that such activities will continue regardless of what option may be chosen by decision makers. </w:t>
      </w:r>
    </w:p>
    <w:p w14:paraId="4AE8F0AD" w14:textId="6BAFC174" w:rsidR="00C81E02" w:rsidRPr="000A53C0" w:rsidRDefault="00C81E02" w:rsidP="00C81E02">
      <w:pPr>
        <w:spacing w:after="120" w:line="264" w:lineRule="auto"/>
        <w:rPr>
          <w:rFonts w:cs="Arial"/>
        </w:rPr>
      </w:pPr>
      <w:r w:rsidRPr="000A53C0">
        <w:rPr>
          <w:rFonts w:cs="Arial"/>
        </w:rPr>
        <w:lastRenderedPageBreak/>
        <w:t>The base case also includes the measures agreed to by WHS ministers at their meeting on 28 February</w:t>
      </w:r>
      <w:r w:rsidR="00DD2A9A">
        <w:rPr>
          <w:rFonts w:cs="Arial"/>
        </w:rPr>
        <w:t> </w:t>
      </w:r>
      <w:r w:rsidRPr="000A53C0">
        <w:rPr>
          <w:rFonts w:cs="Arial"/>
        </w:rPr>
        <w:t>2023 on the Silica Decision RIS including implementation of:</w:t>
      </w:r>
    </w:p>
    <w:p w14:paraId="65660705" w14:textId="2CB6C157" w:rsidR="00C81E02" w:rsidRPr="000A53C0" w:rsidRDefault="00C81E02" w:rsidP="00766916">
      <w:pPr>
        <w:pStyle w:val="BodyText"/>
        <w:numPr>
          <w:ilvl w:val="0"/>
          <w:numId w:val="32"/>
        </w:numPr>
        <w:spacing w:after="200" w:line="260" w:lineRule="exact"/>
        <w:rPr>
          <w:rFonts w:cs="Arial"/>
        </w:rPr>
      </w:pPr>
      <w:r w:rsidRPr="000A53C0">
        <w:rPr>
          <w:rFonts w:cs="Arial"/>
        </w:rPr>
        <w:t xml:space="preserve">Option 2: </w:t>
      </w:r>
      <w:r w:rsidR="00A62080">
        <w:rPr>
          <w:rFonts w:cs="Arial"/>
        </w:rPr>
        <w:t>n</w:t>
      </w:r>
      <w:r w:rsidRPr="000A53C0">
        <w:rPr>
          <w:rFonts w:cs="Arial"/>
        </w:rPr>
        <w:t>ational awareness and behaviour change initiatives</w:t>
      </w:r>
      <w:r w:rsidR="009E5C08">
        <w:rPr>
          <w:rFonts w:cs="Arial"/>
        </w:rPr>
        <w:t>,</w:t>
      </w:r>
      <w:r w:rsidRPr="000A53C0">
        <w:rPr>
          <w:rFonts w:cs="Arial"/>
        </w:rPr>
        <w:t xml:space="preserve"> and</w:t>
      </w:r>
    </w:p>
    <w:p w14:paraId="1628336B" w14:textId="53917B70" w:rsidR="00C81E02" w:rsidRPr="000A53C0" w:rsidRDefault="00C81E02" w:rsidP="00766916">
      <w:pPr>
        <w:pStyle w:val="BodyText"/>
        <w:numPr>
          <w:ilvl w:val="0"/>
          <w:numId w:val="32"/>
        </w:numPr>
        <w:spacing w:after="200" w:line="260" w:lineRule="exact"/>
        <w:rPr>
          <w:rFonts w:cs="Arial"/>
        </w:rPr>
      </w:pPr>
      <w:r w:rsidRPr="000A53C0">
        <w:rPr>
          <w:rFonts w:cs="Arial"/>
        </w:rPr>
        <w:t xml:space="preserve">Option 5a: </w:t>
      </w:r>
      <w:r w:rsidR="00A62080">
        <w:rPr>
          <w:rFonts w:cs="Arial"/>
        </w:rPr>
        <w:t>r</w:t>
      </w:r>
      <w:r w:rsidRPr="000A53C0">
        <w:rPr>
          <w:rFonts w:cs="Arial"/>
        </w:rPr>
        <w:t>egulation of high-risk crystalline silica processes for all materials (including engineered stone).</w:t>
      </w:r>
    </w:p>
    <w:p w14:paraId="5BF0D93D" w14:textId="7B521DCE" w:rsidR="00C81E02" w:rsidRPr="000A53C0" w:rsidRDefault="002C2854" w:rsidP="00C81E02">
      <w:pPr>
        <w:spacing w:after="120" w:line="264" w:lineRule="auto"/>
        <w:rPr>
          <w:rFonts w:cs="Arial"/>
        </w:rPr>
      </w:pPr>
      <w:r w:rsidRPr="000A53C0">
        <w:rPr>
          <w:rFonts w:cs="Arial"/>
        </w:rPr>
        <w:t>As such, the</w:t>
      </w:r>
      <w:r w:rsidR="00C81E02" w:rsidRPr="000A53C0">
        <w:rPr>
          <w:rFonts w:cs="Arial"/>
        </w:rPr>
        <w:t xml:space="preserve"> costs to PCBUs associated with the additional requirements agreed for Option 5a have not been included in this Impact Analysis. These include costs for undertaking/preparing risk assessments and risk control plans, training of workers, undertaking any additional air and health monitoring, and reporting of any exceedances of the RCS exposure standard to the WHS regulator. </w:t>
      </w:r>
    </w:p>
    <w:p w14:paraId="41CAEAD4" w14:textId="70859EE7" w:rsidR="00C81E02" w:rsidRPr="000A53C0" w:rsidDel="00AE4C12" w:rsidRDefault="00C81E02" w:rsidP="00514CCB">
      <w:pPr>
        <w:pStyle w:val="Heading2numbered"/>
      </w:pPr>
      <w:bookmarkStart w:id="116" w:name="_Ref140676032"/>
      <w:bookmarkStart w:id="117" w:name="_Ref140676097"/>
      <w:bookmarkStart w:id="118" w:name="_Toc142991336"/>
      <w:r w:rsidRPr="000A53C0">
        <w:t>Overview of industry</w:t>
      </w:r>
      <w:bookmarkEnd w:id="116"/>
      <w:bookmarkEnd w:id="117"/>
      <w:bookmarkEnd w:id="118"/>
      <w:r w:rsidRPr="000A53C0">
        <w:t xml:space="preserve"> </w:t>
      </w:r>
    </w:p>
    <w:p w14:paraId="209F8F8C" w14:textId="77777777" w:rsidR="00C81E02" w:rsidRPr="000A53C0" w:rsidRDefault="00C81E02" w:rsidP="00C81E02">
      <w:pPr>
        <w:pStyle w:val="BodyText"/>
        <w:rPr>
          <w:rFonts w:cs="Arial"/>
        </w:rPr>
      </w:pPr>
      <w:r w:rsidRPr="000A53C0">
        <w:rPr>
          <w:rFonts w:cs="Arial"/>
        </w:rPr>
        <w:t>Almost all engineered stone in Australia is manufactured overseas and imported from countries such as China, Spain, Israel and the United States. Given this Decision RIS does not cover impacts outside of the domestic market, manufacturers are not a focus of this Impact Analysis.</w:t>
      </w:r>
    </w:p>
    <w:p w14:paraId="2452C11B" w14:textId="6CF422B9" w:rsidR="00C81E02" w:rsidRPr="000A53C0" w:rsidRDefault="00C81E02" w:rsidP="00C81E02">
      <w:pPr>
        <w:pStyle w:val="BodyText"/>
        <w:rPr>
          <w:rFonts w:cs="Arial"/>
        </w:rPr>
      </w:pPr>
      <w:r w:rsidRPr="000A53C0">
        <w:rPr>
          <w:rFonts w:cs="Arial"/>
        </w:rPr>
        <w:t>A relatively small number of wholesalers (around 12) import engineered stone from overseas.</w:t>
      </w:r>
      <w:r w:rsidRPr="000A53C0">
        <w:rPr>
          <w:rStyle w:val="FootnoteReference"/>
          <w:rFonts w:cs="Arial"/>
        </w:rPr>
        <w:footnoteReference w:id="6"/>
      </w:r>
      <w:r w:rsidRPr="000A53C0">
        <w:rPr>
          <w:rFonts w:cs="Arial"/>
        </w:rPr>
        <w:t xml:space="preserve"> They sell the stone to </w:t>
      </w:r>
      <w:r w:rsidR="00CB070F" w:rsidRPr="000A53C0">
        <w:rPr>
          <w:rFonts w:cs="Arial"/>
        </w:rPr>
        <w:t xml:space="preserve">businesses </w:t>
      </w:r>
      <w:r w:rsidRPr="000A53C0">
        <w:rPr>
          <w:rFonts w:cs="Arial"/>
        </w:rPr>
        <w:t>who process (or fabricate) slabs into finished products</w:t>
      </w:r>
      <w:r w:rsidR="00C163B1" w:rsidRPr="000A53C0">
        <w:rPr>
          <w:rFonts w:cs="Arial"/>
        </w:rPr>
        <w:t xml:space="preserve"> and </w:t>
      </w:r>
      <w:r w:rsidR="001D100F" w:rsidRPr="000A53C0">
        <w:rPr>
          <w:rFonts w:cs="Arial"/>
        </w:rPr>
        <w:t>install them</w:t>
      </w:r>
      <w:r w:rsidRPr="000A53C0">
        <w:rPr>
          <w:rFonts w:cs="Arial"/>
        </w:rPr>
        <w:t xml:space="preserve"> (hereafter referred to as engineered stone PCBUs). Other tradespersons, such as builders, electricians, tilers, and carpenters, may also work with engineered stone products (referred to as other industry PCBUs throughout</w:t>
      </w:r>
      <w:r w:rsidRPr="000A53C0" w:rsidDel="00A7137D">
        <w:rPr>
          <w:rFonts w:cs="Arial"/>
        </w:rPr>
        <w:t xml:space="preserve"> this </w:t>
      </w:r>
      <w:r w:rsidRPr="000A53C0">
        <w:rPr>
          <w:rFonts w:cs="Arial"/>
        </w:rPr>
        <w:t>document).</w:t>
      </w:r>
      <w:r w:rsidRPr="000A53C0" w:rsidDel="00A7137D">
        <w:rPr>
          <w:rFonts w:cs="Arial"/>
        </w:rPr>
        <w:t xml:space="preserve"> </w:t>
      </w:r>
    </w:p>
    <w:p w14:paraId="15C6FB15" w14:textId="1F53BBF4" w:rsidR="00C81E02" w:rsidRPr="000A53C0" w:rsidRDefault="00C81E02" w:rsidP="00C81E02">
      <w:pPr>
        <w:pStyle w:val="BodyText"/>
        <w:rPr>
          <w:rFonts w:cs="Arial"/>
        </w:rPr>
      </w:pPr>
      <w:r w:rsidRPr="000A53C0">
        <w:rPr>
          <w:rFonts w:cs="Arial"/>
        </w:rPr>
        <w:t xml:space="preserve">The </w:t>
      </w:r>
      <w:r w:rsidR="00FB058C">
        <w:rPr>
          <w:rFonts w:cs="Arial"/>
        </w:rPr>
        <w:t>2</w:t>
      </w:r>
      <w:r w:rsidRPr="000A53C0">
        <w:rPr>
          <w:rFonts w:cs="Arial"/>
        </w:rPr>
        <w:t xml:space="preserve"> key cohorts</w:t>
      </w:r>
      <w:r w:rsidR="00015C82" w:rsidRPr="000A53C0">
        <w:rPr>
          <w:rFonts w:cs="Arial"/>
        </w:rPr>
        <w:t xml:space="preserve">, </w:t>
      </w:r>
      <w:r w:rsidR="00092A1F" w:rsidRPr="000A53C0">
        <w:rPr>
          <w:rFonts w:cs="Arial"/>
        </w:rPr>
        <w:t>engineered stone PCBUs and other industry PCBUs</w:t>
      </w:r>
      <w:r w:rsidR="00015C82" w:rsidRPr="000A53C0">
        <w:rPr>
          <w:rFonts w:cs="Arial"/>
        </w:rPr>
        <w:t>,</w:t>
      </w:r>
      <w:r w:rsidR="00092A1F" w:rsidRPr="000A53C0">
        <w:rPr>
          <w:rFonts w:cs="Arial"/>
        </w:rPr>
        <w:t xml:space="preserve"> </w:t>
      </w:r>
      <w:r w:rsidRPr="000A53C0">
        <w:rPr>
          <w:rFonts w:cs="Arial"/>
        </w:rPr>
        <w:t>are expected to be most significantly impacted through the prohibition of engineered stone, and are the focus of this Decision RIS:</w:t>
      </w:r>
    </w:p>
    <w:p w14:paraId="0D9B190B" w14:textId="77777777" w:rsidR="00C81E02" w:rsidRPr="000A53C0" w:rsidRDefault="00C81E02" w:rsidP="00766916">
      <w:pPr>
        <w:pStyle w:val="BodyText"/>
        <w:numPr>
          <w:ilvl w:val="0"/>
          <w:numId w:val="32"/>
        </w:numPr>
        <w:spacing w:after="200" w:line="260" w:lineRule="exact"/>
        <w:rPr>
          <w:rFonts w:cs="Arial"/>
        </w:rPr>
      </w:pPr>
      <w:r w:rsidRPr="000A53C0">
        <w:rPr>
          <w:rFonts w:cs="Arial"/>
        </w:rPr>
        <w:t>Engineered stone PCBUs comprise businesses that</w:t>
      </w:r>
      <w:r w:rsidRPr="000A53C0" w:rsidDel="00B65932">
        <w:rPr>
          <w:rFonts w:cs="Arial"/>
        </w:rPr>
        <w:t xml:space="preserve"> </w:t>
      </w:r>
      <w:r w:rsidRPr="000A53C0">
        <w:rPr>
          <w:rFonts w:cs="Arial"/>
        </w:rPr>
        <w:t>fabricate (i.e. cut, shape, polish) and install new engineered stone</w:t>
      </w:r>
      <w:r w:rsidRPr="000A53C0">
        <w:rPr>
          <w:rStyle w:val="FootnoteReference"/>
          <w:rFonts w:cs="Arial"/>
        </w:rPr>
        <w:footnoteReference w:id="7"/>
      </w:r>
      <w:r w:rsidRPr="000A53C0">
        <w:rPr>
          <w:rFonts w:cs="Arial"/>
        </w:rPr>
        <w:t xml:space="preserve">. </w:t>
      </w:r>
    </w:p>
    <w:p w14:paraId="121C6842" w14:textId="48F272E8" w:rsidR="00C81E02" w:rsidRPr="000A53C0" w:rsidRDefault="00C81E02" w:rsidP="00766916">
      <w:pPr>
        <w:pStyle w:val="BodyText"/>
        <w:numPr>
          <w:ilvl w:val="1"/>
          <w:numId w:val="32"/>
        </w:numPr>
        <w:spacing w:after="200" w:line="260" w:lineRule="exact"/>
        <w:rPr>
          <w:rFonts w:cs="Arial"/>
        </w:rPr>
      </w:pPr>
      <w:r w:rsidRPr="000A53C0">
        <w:rPr>
          <w:rFonts w:cs="Arial"/>
        </w:rPr>
        <w:t xml:space="preserve">There are 750 </w:t>
      </w:r>
      <w:r w:rsidR="00521945" w:rsidRPr="000A53C0">
        <w:rPr>
          <w:rFonts w:cs="Arial"/>
        </w:rPr>
        <w:t>to</w:t>
      </w:r>
      <w:r w:rsidR="00255D2A" w:rsidRPr="000A53C0">
        <w:rPr>
          <w:rFonts w:cs="Arial"/>
        </w:rPr>
        <w:t xml:space="preserve"> </w:t>
      </w:r>
      <w:r w:rsidRPr="000A53C0">
        <w:rPr>
          <w:rFonts w:cs="Arial"/>
        </w:rPr>
        <w:t>1</w:t>
      </w:r>
      <w:r w:rsidR="00D55594">
        <w:rPr>
          <w:rFonts w:cs="Arial"/>
        </w:rPr>
        <w:t>,</w:t>
      </w:r>
      <w:r w:rsidRPr="000A53C0">
        <w:rPr>
          <w:rFonts w:cs="Arial"/>
        </w:rPr>
        <w:t xml:space="preserve">250 engineered stone PCBUs, 44% of which are sole traders, 42% are small businesses (1 to 20 employees) and 14% are medium businesses (21–200 employees). </w:t>
      </w:r>
    </w:p>
    <w:p w14:paraId="66D8545C" w14:textId="77777777" w:rsidR="00C81E02" w:rsidRPr="000A53C0" w:rsidRDefault="00C81E02" w:rsidP="00766916">
      <w:pPr>
        <w:pStyle w:val="BodyText"/>
        <w:numPr>
          <w:ilvl w:val="1"/>
          <w:numId w:val="32"/>
        </w:numPr>
        <w:spacing w:after="200" w:line="260" w:lineRule="exact"/>
        <w:rPr>
          <w:rFonts w:cs="Arial"/>
        </w:rPr>
      </w:pPr>
      <w:r w:rsidRPr="000A53C0">
        <w:rPr>
          <w:rFonts w:cs="Arial"/>
        </w:rPr>
        <w:t xml:space="preserve">Processing and installing engineered stone is their primary activity (along with natural stone for some businesses). </w:t>
      </w:r>
    </w:p>
    <w:p w14:paraId="142949F5" w14:textId="686F5BC3" w:rsidR="00C81E02" w:rsidRPr="000A53C0" w:rsidRDefault="00C81E02" w:rsidP="00766916">
      <w:pPr>
        <w:pStyle w:val="BodyText"/>
        <w:numPr>
          <w:ilvl w:val="1"/>
          <w:numId w:val="32"/>
        </w:numPr>
        <w:spacing w:after="200" w:line="260" w:lineRule="exact"/>
        <w:rPr>
          <w:rFonts w:cs="Arial"/>
        </w:rPr>
      </w:pPr>
      <w:r w:rsidRPr="000A53C0">
        <w:rPr>
          <w:rFonts w:cs="Arial"/>
        </w:rPr>
        <w:t xml:space="preserve">Workers in this cohort have the highest exposure to </w:t>
      </w:r>
      <w:r w:rsidR="004E5183" w:rsidRPr="000A53C0">
        <w:rPr>
          <w:rFonts w:cs="Arial"/>
        </w:rPr>
        <w:t>RCS</w:t>
      </w:r>
      <w:r w:rsidRPr="000A53C0">
        <w:rPr>
          <w:rFonts w:cs="Arial"/>
        </w:rPr>
        <w:t xml:space="preserve"> produced from engineered stone, and consequently the greatest health risks.</w:t>
      </w:r>
    </w:p>
    <w:p w14:paraId="0F06EB23" w14:textId="77777777" w:rsidR="00C81E02" w:rsidRPr="000A53C0" w:rsidRDefault="00C81E02" w:rsidP="00766916">
      <w:pPr>
        <w:pStyle w:val="BodyText"/>
        <w:numPr>
          <w:ilvl w:val="0"/>
          <w:numId w:val="32"/>
        </w:numPr>
        <w:spacing w:after="200" w:line="260" w:lineRule="exact"/>
        <w:rPr>
          <w:rFonts w:cs="Arial"/>
        </w:rPr>
      </w:pPr>
      <w:r w:rsidRPr="000A53C0">
        <w:rPr>
          <w:rFonts w:cs="Arial"/>
        </w:rPr>
        <w:t>In the course of their primary activities,</w:t>
      </w:r>
      <w:r w:rsidRPr="000A53C0" w:rsidDel="009E3982">
        <w:rPr>
          <w:rFonts w:cs="Arial"/>
        </w:rPr>
        <w:t xml:space="preserve"> </w:t>
      </w:r>
      <w:r w:rsidRPr="000A53C0">
        <w:rPr>
          <w:rFonts w:cs="Arial"/>
        </w:rPr>
        <w:t>other industry PCBUs may work with engineered stone that has previously been installed (legacy engineered stone) For example, cutting an existing benchtop to fit an electrical outlet, replacing a cooktop, repairing</w:t>
      </w:r>
      <w:r w:rsidRPr="000A53C0" w:rsidDel="00272A4B">
        <w:rPr>
          <w:rFonts w:cs="Arial"/>
        </w:rPr>
        <w:t xml:space="preserve"> or </w:t>
      </w:r>
      <w:r w:rsidRPr="000A53C0">
        <w:rPr>
          <w:rFonts w:cs="Arial"/>
        </w:rPr>
        <w:t xml:space="preserve">modifying plumbing, or removing a benchtop. </w:t>
      </w:r>
    </w:p>
    <w:p w14:paraId="17775ADC" w14:textId="77777777" w:rsidR="00C81E02" w:rsidRPr="000A53C0" w:rsidRDefault="00C81E02" w:rsidP="00766916">
      <w:pPr>
        <w:pStyle w:val="BodyText"/>
        <w:numPr>
          <w:ilvl w:val="1"/>
          <w:numId w:val="32"/>
        </w:numPr>
        <w:spacing w:after="200" w:line="260" w:lineRule="exact"/>
        <w:rPr>
          <w:rFonts w:cs="Arial"/>
        </w:rPr>
      </w:pPr>
      <w:r w:rsidRPr="000A53C0">
        <w:rPr>
          <w:rFonts w:cs="Arial"/>
        </w:rPr>
        <w:t xml:space="preserve">The estimated number of other industry PCBUs working with legacy engineered stone is 179,750, of which 55% of which are sole traders, 44% are small businesses (1 to 19 </w:t>
      </w:r>
      <w:r w:rsidRPr="000A53C0">
        <w:rPr>
          <w:rFonts w:cs="Arial"/>
        </w:rPr>
        <w:lastRenderedPageBreak/>
        <w:t xml:space="preserve">employees) and 1% are medium-large businesses (more than 20 employees). (ABS, 2022) </w:t>
      </w:r>
    </w:p>
    <w:p w14:paraId="05606EC2" w14:textId="5DC8843A" w:rsidR="002611CA" w:rsidRPr="000A53C0" w:rsidRDefault="002611CA" w:rsidP="00514CCB">
      <w:pPr>
        <w:pStyle w:val="Heading2numbered"/>
      </w:pPr>
      <w:bookmarkStart w:id="119" w:name="_Toc142991337"/>
      <w:bookmarkStart w:id="120" w:name="_Ref138333578"/>
      <w:bookmarkStart w:id="121" w:name="_Hlk138348181"/>
      <w:r w:rsidRPr="000A53C0">
        <w:t>Overview of monetised costs</w:t>
      </w:r>
      <w:bookmarkEnd w:id="119"/>
    </w:p>
    <w:p w14:paraId="5F85C9E3" w14:textId="5984FC1B" w:rsidR="002611CA" w:rsidRPr="00500EAC" w:rsidRDefault="002611CA" w:rsidP="00514CCB">
      <w:pPr>
        <w:pStyle w:val="Heading3numbered"/>
      </w:pPr>
      <w:r w:rsidRPr="00500EAC">
        <w:t>Summary costs by option</w:t>
      </w:r>
    </w:p>
    <w:p w14:paraId="2A9EF942" w14:textId="79CA475D" w:rsidR="002611CA" w:rsidRPr="000A53C0" w:rsidRDefault="009C0636" w:rsidP="002611CA">
      <w:pPr>
        <w:pStyle w:val="BodyText"/>
        <w:rPr>
          <w:rFonts w:cs="Arial"/>
        </w:rPr>
      </w:pPr>
      <w:r w:rsidRPr="000A53C0">
        <w:rPr>
          <w:rFonts w:cs="Arial"/>
        </w:rPr>
        <w:fldChar w:fldCharType="begin" w:fldLock="1"/>
      </w:r>
      <w:r w:rsidRPr="000A53C0">
        <w:rPr>
          <w:rFonts w:cs="Arial"/>
        </w:rPr>
        <w:instrText xml:space="preserve"> REF _Ref139636065 \h </w:instrText>
      </w:r>
      <w:r w:rsid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 xml:space="preserve">Table </w:t>
      </w:r>
      <w:r w:rsidR="00D16271" w:rsidRPr="00D16271">
        <w:rPr>
          <w:rFonts w:cs="Arial"/>
          <w:noProof/>
        </w:rPr>
        <w:t>5</w:t>
      </w:r>
      <w:r w:rsidRPr="000A53C0">
        <w:rPr>
          <w:rFonts w:cs="Arial"/>
        </w:rPr>
        <w:fldChar w:fldCharType="end"/>
      </w:r>
      <w:r w:rsidRPr="000A53C0">
        <w:rPr>
          <w:rFonts w:cs="Arial"/>
        </w:rPr>
        <w:t xml:space="preserve"> </w:t>
      </w:r>
      <w:r w:rsidR="002611CA" w:rsidRPr="000A53C0">
        <w:rPr>
          <w:rFonts w:cs="Arial"/>
        </w:rPr>
        <w:t xml:space="preserve">summarises the estimated net present cost to PCBUs, governments, and workers from each option. </w:t>
      </w:r>
    </w:p>
    <w:p w14:paraId="2FCD331E" w14:textId="5F756E01" w:rsidR="002611CA" w:rsidRPr="000A53C0" w:rsidRDefault="00D426B2" w:rsidP="00CB1198">
      <w:pPr>
        <w:pStyle w:val="Caption"/>
        <w:rPr>
          <w:rFonts w:cs="Arial"/>
        </w:rPr>
      </w:pPr>
      <w:bookmarkStart w:id="122" w:name="_Ref139636065"/>
      <w:r w:rsidRPr="0045645C">
        <w:rPr>
          <w:rFonts w:cs="Arial"/>
          <w:b/>
          <w:bCs/>
        </w:rPr>
        <w:t xml:space="preserve">Table </w:t>
      </w:r>
      <w:r w:rsidRPr="0045645C">
        <w:rPr>
          <w:rFonts w:cs="Arial"/>
          <w:b/>
          <w:bCs/>
        </w:rPr>
        <w:fldChar w:fldCharType="begin"/>
      </w:r>
      <w:r w:rsidRPr="0045645C">
        <w:rPr>
          <w:rFonts w:cs="Arial"/>
          <w:b/>
          <w:bCs/>
        </w:rPr>
        <w:instrText>SEQ Table \* ARABIC</w:instrText>
      </w:r>
      <w:r w:rsidRPr="0045645C">
        <w:rPr>
          <w:rFonts w:cs="Arial"/>
          <w:b/>
          <w:bCs/>
        </w:rPr>
        <w:fldChar w:fldCharType="separate"/>
      </w:r>
      <w:r w:rsidR="00D16271">
        <w:rPr>
          <w:rFonts w:cs="Arial"/>
          <w:b/>
          <w:bCs/>
          <w:noProof/>
        </w:rPr>
        <w:t>5</w:t>
      </w:r>
      <w:r w:rsidRPr="0045645C">
        <w:rPr>
          <w:rFonts w:cs="Arial"/>
          <w:b/>
          <w:bCs/>
        </w:rPr>
        <w:fldChar w:fldCharType="end"/>
      </w:r>
      <w:bookmarkEnd w:id="122"/>
      <w:r w:rsidR="002611CA" w:rsidRPr="000A53C0">
        <w:rPr>
          <w:rFonts w:cs="Arial"/>
        </w:rPr>
        <w:t xml:space="preserve"> Comparison of the estimated cost for Prohibition Options</w:t>
      </w:r>
      <w:r w:rsidR="009911A4" w:rsidRPr="000A53C0">
        <w:rPr>
          <w:rFonts w:cs="Arial"/>
        </w:rPr>
        <w:t>,</w:t>
      </w:r>
      <w:r w:rsidR="002611CA" w:rsidRPr="000A53C0">
        <w:rPr>
          <w:rFonts w:cs="Arial"/>
        </w:rPr>
        <w:t xml:space="preserve"> over </w:t>
      </w:r>
      <w:r w:rsidR="00AA6200" w:rsidRPr="000A53C0">
        <w:rPr>
          <w:rFonts w:cs="Arial"/>
        </w:rPr>
        <w:t>appraisal</w:t>
      </w:r>
      <w:r w:rsidR="002611CA" w:rsidRPr="000A53C0">
        <w:rPr>
          <w:rFonts w:cs="Arial"/>
        </w:rPr>
        <w:t xml:space="preserve"> period ($m)</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8"/>
        <w:gridCol w:w="2548"/>
        <w:gridCol w:w="2549"/>
        <w:gridCol w:w="2549"/>
      </w:tblGrid>
      <w:tr w:rsidR="002611CA" w:rsidRPr="000A53C0" w14:paraId="7A92F202" w14:textId="77777777" w:rsidTr="00BC17B2">
        <w:trPr>
          <w:trHeight w:val="491"/>
          <w:tblHeader/>
        </w:trPr>
        <w:tc>
          <w:tcPr>
            <w:tcW w:w="1250" w:type="pct"/>
            <w:shd w:val="clear" w:color="auto" w:fill="E81D32"/>
            <w:vAlign w:val="center"/>
          </w:tcPr>
          <w:p w14:paraId="6E2ECD14" w14:textId="77777777" w:rsidR="002611CA" w:rsidRPr="00BC17B2" w:rsidRDefault="002611CA" w:rsidP="00BC17B2">
            <w:pPr>
              <w:pStyle w:val="TableHeading"/>
              <w:spacing w:before="0" w:after="0"/>
              <w:rPr>
                <w:rFonts w:ascii="Arial" w:hAnsi="Arial" w:cs="Arial"/>
                <w:color w:val="FFFFFF" w:themeColor="background1"/>
              </w:rPr>
            </w:pPr>
            <w:r w:rsidRPr="00BC17B2">
              <w:rPr>
                <w:rFonts w:ascii="Arial" w:hAnsi="Arial" w:cs="Arial"/>
                <w:color w:val="FFFFFF" w:themeColor="background1"/>
              </w:rPr>
              <w:t>Criterion</w:t>
            </w:r>
          </w:p>
        </w:tc>
        <w:tc>
          <w:tcPr>
            <w:tcW w:w="1250" w:type="pct"/>
            <w:shd w:val="clear" w:color="auto" w:fill="E81D32"/>
            <w:vAlign w:val="center"/>
          </w:tcPr>
          <w:p w14:paraId="147E678A" w14:textId="77777777" w:rsidR="002611CA" w:rsidRPr="00BC17B2" w:rsidRDefault="002611CA" w:rsidP="00BC17B2">
            <w:pPr>
              <w:pStyle w:val="TableHeading"/>
              <w:spacing w:before="0" w:after="0"/>
              <w:jc w:val="center"/>
              <w:rPr>
                <w:rFonts w:ascii="Arial" w:hAnsi="Arial" w:cs="Arial"/>
                <w:color w:val="FFFFFF" w:themeColor="background1"/>
              </w:rPr>
            </w:pPr>
            <w:r w:rsidRPr="00BC17B2">
              <w:rPr>
                <w:rFonts w:ascii="Arial" w:hAnsi="Arial" w:cs="Arial"/>
                <w:color w:val="FFFFFF" w:themeColor="background1"/>
              </w:rPr>
              <w:t>Option 1</w:t>
            </w:r>
          </w:p>
        </w:tc>
        <w:tc>
          <w:tcPr>
            <w:tcW w:w="1250" w:type="pct"/>
            <w:shd w:val="clear" w:color="auto" w:fill="E81D32"/>
            <w:vAlign w:val="center"/>
          </w:tcPr>
          <w:p w14:paraId="5056C291" w14:textId="77777777" w:rsidR="002611CA" w:rsidRPr="00BC17B2" w:rsidRDefault="002611CA" w:rsidP="00BC17B2">
            <w:pPr>
              <w:pStyle w:val="TableHeading"/>
              <w:spacing w:before="0" w:after="0"/>
              <w:jc w:val="center"/>
              <w:rPr>
                <w:rFonts w:ascii="Arial" w:hAnsi="Arial" w:cs="Arial"/>
                <w:color w:val="FFFFFF" w:themeColor="background1"/>
              </w:rPr>
            </w:pPr>
            <w:r w:rsidRPr="00BC17B2">
              <w:rPr>
                <w:rFonts w:ascii="Arial" w:hAnsi="Arial" w:cs="Arial"/>
                <w:color w:val="FFFFFF" w:themeColor="background1"/>
              </w:rPr>
              <w:t>Option 2</w:t>
            </w:r>
          </w:p>
        </w:tc>
        <w:tc>
          <w:tcPr>
            <w:tcW w:w="1250" w:type="pct"/>
            <w:shd w:val="clear" w:color="auto" w:fill="E81D32"/>
            <w:vAlign w:val="center"/>
          </w:tcPr>
          <w:p w14:paraId="2B731FAD" w14:textId="77777777" w:rsidR="002611CA" w:rsidRPr="00BC17B2" w:rsidRDefault="002611CA" w:rsidP="00BC17B2">
            <w:pPr>
              <w:pStyle w:val="TableHeading"/>
              <w:spacing w:before="0" w:after="0"/>
              <w:jc w:val="center"/>
              <w:rPr>
                <w:rFonts w:ascii="Arial" w:hAnsi="Arial" w:cs="Arial"/>
                <w:color w:val="FFFFFF" w:themeColor="background1"/>
              </w:rPr>
            </w:pPr>
            <w:r w:rsidRPr="00BC17B2">
              <w:rPr>
                <w:rFonts w:ascii="Arial" w:hAnsi="Arial" w:cs="Arial"/>
                <w:color w:val="FFFFFF" w:themeColor="background1"/>
              </w:rPr>
              <w:t>Option 3</w:t>
            </w:r>
          </w:p>
        </w:tc>
      </w:tr>
      <w:tr w:rsidR="002611CA" w:rsidRPr="000A53C0" w14:paraId="2EDDA0CE" w14:textId="77777777">
        <w:trPr>
          <w:trHeight w:val="355"/>
        </w:trPr>
        <w:tc>
          <w:tcPr>
            <w:tcW w:w="1250" w:type="pct"/>
            <w:vAlign w:val="center"/>
          </w:tcPr>
          <w:p w14:paraId="725B1F79" w14:textId="77777777" w:rsidR="002611CA" w:rsidRPr="000A53C0" w:rsidRDefault="002611CA">
            <w:pPr>
              <w:pStyle w:val="TableBody"/>
              <w:rPr>
                <w:rFonts w:cs="Arial"/>
                <w:szCs w:val="18"/>
              </w:rPr>
            </w:pPr>
            <w:r w:rsidRPr="000A53C0">
              <w:rPr>
                <w:rFonts w:cs="Arial"/>
                <w:szCs w:val="18"/>
              </w:rPr>
              <w:t>Cost to PCBUs</w:t>
            </w:r>
          </w:p>
        </w:tc>
        <w:tc>
          <w:tcPr>
            <w:tcW w:w="1250" w:type="pct"/>
          </w:tcPr>
          <w:p w14:paraId="2CD362C3" w14:textId="77777777" w:rsidR="002611CA" w:rsidRPr="000A53C0" w:rsidRDefault="002611CA">
            <w:pPr>
              <w:pStyle w:val="TableBody"/>
              <w:jc w:val="center"/>
              <w:rPr>
                <w:rFonts w:cs="Arial"/>
                <w:color w:val="000000"/>
                <w:szCs w:val="18"/>
              </w:rPr>
            </w:pPr>
            <w:r w:rsidRPr="000A53C0">
              <w:rPr>
                <w:rFonts w:cs="Arial"/>
              </w:rPr>
              <w:t>$139.9</w:t>
            </w:r>
          </w:p>
        </w:tc>
        <w:tc>
          <w:tcPr>
            <w:tcW w:w="1250" w:type="pct"/>
            <w:tcBorders>
              <w:top w:val="nil"/>
              <w:left w:val="nil"/>
              <w:bottom w:val="single" w:sz="8" w:space="0" w:color="F2F2F2"/>
            </w:tcBorders>
            <w:shd w:val="clear" w:color="auto" w:fill="auto"/>
          </w:tcPr>
          <w:p w14:paraId="4480ABC8" w14:textId="77777777" w:rsidR="002611CA" w:rsidRPr="000A53C0" w:rsidRDefault="002611CA">
            <w:pPr>
              <w:pStyle w:val="TableBody"/>
              <w:jc w:val="center"/>
              <w:rPr>
                <w:rFonts w:cs="Arial"/>
                <w:color w:val="000000"/>
                <w:szCs w:val="18"/>
              </w:rPr>
            </w:pPr>
            <w:r w:rsidRPr="000A53C0">
              <w:rPr>
                <w:rFonts w:cs="Arial"/>
              </w:rPr>
              <w:t>$133.0</w:t>
            </w:r>
          </w:p>
        </w:tc>
        <w:tc>
          <w:tcPr>
            <w:tcW w:w="1250" w:type="pct"/>
          </w:tcPr>
          <w:p w14:paraId="174AE270" w14:textId="77777777" w:rsidR="002611CA" w:rsidRPr="000A53C0" w:rsidRDefault="002611CA">
            <w:pPr>
              <w:pStyle w:val="TableBody"/>
              <w:jc w:val="center"/>
              <w:rPr>
                <w:rFonts w:cs="Arial"/>
                <w:color w:val="000000"/>
                <w:szCs w:val="18"/>
              </w:rPr>
            </w:pPr>
            <w:r w:rsidRPr="000A53C0">
              <w:rPr>
                <w:rFonts w:cs="Arial"/>
              </w:rPr>
              <w:t>$137.1</w:t>
            </w:r>
          </w:p>
        </w:tc>
      </w:tr>
      <w:tr w:rsidR="002611CA" w:rsidRPr="000A53C0" w14:paraId="5E0BEEAD" w14:textId="77777777">
        <w:trPr>
          <w:trHeight w:val="355"/>
        </w:trPr>
        <w:tc>
          <w:tcPr>
            <w:tcW w:w="1250" w:type="pct"/>
            <w:shd w:val="clear" w:color="auto" w:fill="auto"/>
            <w:vAlign w:val="center"/>
          </w:tcPr>
          <w:p w14:paraId="076EC892" w14:textId="77777777" w:rsidR="002611CA" w:rsidRPr="000A53C0" w:rsidRDefault="002611CA">
            <w:pPr>
              <w:pStyle w:val="TableBody"/>
              <w:rPr>
                <w:rFonts w:cs="Arial"/>
                <w:szCs w:val="18"/>
              </w:rPr>
            </w:pPr>
            <w:r w:rsidRPr="000A53C0">
              <w:rPr>
                <w:rFonts w:cs="Arial"/>
                <w:szCs w:val="18"/>
              </w:rPr>
              <w:t>Cost to government</w:t>
            </w:r>
          </w:p>
        </w:tc>
        <w:tc>
          <w:tcPr>
            <w:tcW w:w="1250" w:type="pct"/>
          </w:tcPr>
          <w:p w14:paraId="40113253" w14:textId="77777777" w:rsidR="002611CA" w:rsidRPr="000A53C0" w:rsidRDefault="002611CA">
            <w:pPr>
              <w:pStyle w:val="TableBody"/>
              <w:jc w:val="center"/>
              <w:rPr>
                <w:rFonts w:cs="Arial"/>
                <w:color w:val="000000"/>
                <w:szCs w:val="18"/>
              </w:rPr>
            </w:pPr>
            <w:r w:rsidRPr="000A53C0">
              <w:rPr>
                <w:rFonts w:cs="Arial"/>
              </w:rPr>
              <w:t>$108.2</w:t>
            </w:r>
          </w:p>
        </w:tc>
        <w:tc>
          <w:tcPr>
            <w:tcW w:w="1250" w:type="pct"/>
            <w:tcBorders>
              <w:top w:val="nil"/>
              <w:left w:val="nil"/>
              <w:bottom w:val="single" w:sz="8" w:space="0" w:color="F2F2F2"/>
            </w:tcBorders>
            <w:shd w:val="clear" w:color="auto" w:fill="auto"/>
          </w:tcPr>
          <w:p w14:paraId="6EC47736" w14:textId="77777777" w:rsidR="002611CA" w:rsidRPr="000A53C0" w:rsidRDefault="002611CA">
            <w:pPr>
              <w:pStyle w:val="TableBody"/>
              <w:jc w:val="center"/>
              <w:rPr>
                <w:rFonts w:cs="Arial"/>
                <w:color w:val="000000"/>
                <w:szCs w:val="18"/>
              </w:rPr>
            </w:pPr>
            <w:r w:rsidRPr="000A53C0">
              <w:rPr>
                <w:rFonts w:cs="Arial"/>
              </w:rPr>
              <w:t>$107.5</w:t>
            </w:r>
          </w:p>
        </w:tc>
        <w:tc>
          <w:tcPr>
            <w:tcW w:w="1250" w:type="pct"/>
          </w:tcPr>
          <w:p w14:paraId="021E4363" w14:textId="77777777" w:rsidR="002611CA" w:rsidRPr="000A53C0" w:rsidRDefault="002611CA">
            <w:pPr>
              <w:pStyle w:val="TableBody"/>
              <w:jc w:val="center"/>
              <w:rPr>
                <w:rFonts w:cs="Arial"/>
                <w:color w:val="000000"/>
                <w:szCs w:val="18"/>
              </w:rPr>
            </w:pPr>
            <w:r w:rsidRPr="000A53C0">
              <w:rPr>
                <w:rFonts w:cs="Arial"/>
              </w:rPr>
              <w:t>$111.1</w:t>
            </w:r>
          </w:p>
        </w:tc>
      </w:tr>
      <w:tr w:rsidR="002611CA" w:rsidRPr="000A53C0" w14:paraId="15686FF7" w14:textId="77777777">
        <w:trPr>
          <w:trHeight w:val="355"/>
        </w:trPr>
        <w:tc>
          <w:tcPr>
            <w:tcW w:w="1250" w:type="pct"/>
            <w:shd w:val="clear" w:color="auto" w:fill="auto"/>
            <w:vAlign w:val="center"/>
          </w:tcPr>
          <w:p w14:paraId="0AD04828" w14:textId="77777777" w:rsidR="002611CA" w:rsidRPr="000A53C0" w:rsidRDefault="002611CA">
            <w:pPr>
              <w:pStyle w:val="TableBody"/>
              <w:rPr>
                <w:rFonts w:cs="Arial"/>
                <w:szCs w:val="18"/>
              </w:rPr>
            </w:pPr>
            <w:r w:rsidRPr="000A53C0">
              <w:rPr>
                <w:rFonts w:cs="Arial"/>
                <w:szCs w:val="18"/>
              </w:rPr>
              <w:t>Costs to workers</w:t>
            </w:r>
          </w:p>
        </w:tc>
        <w:tc>
          <w:tcPr>
            <w:tcW w:w="1250" w:type="pct"/>
          </w:tcPr>
          <w:p w14:paraId="736CE0D3" w14:textId="77777777" w:rsidR="002611CA" w:rsidRPr="000A53C0" w:rsidRDefault="002611CA">
            <w:pPr>
              <w:pStyle w:val="TableBody"/>
              <w:jc w:val="center"/>
              <w:rPr>
                <w:rFonts w:cs="Arial"/>
                <w:color w:val="000000"/>
                <w:szCs w:val="18"/>
              </w:rPr>
            </w:pPr>
            <w:r w:rsidRPr="000A53C0">
              <w:rPr>
                <w:rFonts w:cs="Arial"/>
              </w:rPr>
              <w:t>$3.1</w:t>
            </w:r>
          </w:p>
        </w:tc>
        <w:tc>
          <w:tcPr>
            <w:tcW w:w="1250" w:type="pct"/>
            <w:tcBorders>
              <w:top w:val="nil"/>
              <w:left w:val="nil"/>
              <w:bottom w:val="single" w:sz="8" w:space="0" w:color="F2F2F2"/>
            </w:tcBorders>
            <w:shd w:val="clear" w:color="auto" w:fill="auto"/>
          </w:tcPr>
          <w:p w14:paraId="32F9E4A2" w14:textId="77777777" w:rsidR="002611CA" w:rsidRPr="000A53C0" w:rsidRDefault="002611CA">
            <w:pPr>
              <w:pStyle w:val="TableBody"/>
              <w:jc w:val="center"/>
              <w:rPr>
                <w:rFonts w:cs="Arial"/>
                <w:color w:val="000000"/>
                <w:szCs w:val="18"/>
              </w:rPr>
            </w:pPr>
            <w:r w:rsidRPr="000A53C0">
              <w:rPr>
                <w:rFonts w:cs="Arial"/>
              </w:rPr>
              <w:t>$0.0</w:t>
            </w:r>
          </w:p>
        </w:tc>
        <w:tc>
          <w:tcPr>
            <w:tcW w:w="1250" w:type="pct"/>
          </w:tcPr>
          <w:p w14:paraId="37C4D692" w14:textId="77777777" w:rsidR="002611CA" w:rsidRPr="000A53C0" w:rsidRDefault="002611CA">
            <w:pPr>
              <w:pStyle w:val="TableBody"/>
              <w:jc w:val="center"/>
              <w:rPr>
                <w:rFonts w:cs="Arial"/>
                <w:color w:val="000000"/>
                <w:szCs w:val="18"/>
              </w:rPr>
            </w:pPr>
            <w:r w:rsidRPr="000A53C0">
              <w:rPr>
                <w:rFonts w:cs="Arial"/>
              </w:rPr>
              <w:t>$1.5</w:t>
            </w:r>
          </w:p>
        </w:tc>
      </w:tr>
      <w:tr w:rsidR="002611CA" w:rsidRPr="000A53C0" w14:paraId="0A3DFF71" w14:textId="77777777">
        <w:trPr>
          <w:trHeight w:val="355"/>
        </w:trPr>
        <w:tc>
          <w:tcPr>
            <w:tcW w:w="1250" w:type="pct"/>
            <w:shd w:val="clear" w:color="auto" w:fill="D9D9D9" w:themeFill="background1" w:themeFillShade="D9"/>
            <w:vAlign w:val="center"/>
          </w:tcPr>
          <w:p w14:paraId="629C10CC" w14:textId="77777777" w:rsidR="002611CA" w:rsidRPr="000A53C0" w:rsidRDefault="002611CA">
            <w:pPr>
              <w:pStyle w:val="TableBody"/>
              <w:rPr>
                <w:rFonts w:cs="Arial"/>
                <w:b/>
              </w:rPr>
            </w:pPr>
            <w:r w:rsidRPr="000A53C0">
              <w:rPr>
                <w:rFonts w:cs="Arial"/>
                <w:b/>
                <w:szCs w:val="18"/>
              </w:rPr>
              <w:t>Total</w:t>
            </w:r>
          </w:p>
        </w:tc>
        <w:tc>
          <w:tcPr>
            <w:tcW w:w="1250" w:type="pct"/>
            <w:shd w:val="clear" w:color="auto" w:fill="D9D9D9" w:themeFill="background1" w:themeFillShade="D9"/>
          </w:tcPr>
          <w:p w14:paraId="183D598C" w14:textId="77777777" w:rsidR="002611CA" w:rsidRPr="000A53C0" w:rsidRDefault="002611CA">
            <w:pPr>
              <w:pStyle w:val="TableBody"/>
              <w:jc w:val="center"/>
              <w:rPr>
                <w:rFonts w:cs="Arial"/>
                <w:b/>
                <w:color w:val="000000"/>
                <w:szCs w:val="18"/>
              </w:rPr>
            </w:pPr>
            <w:r w:rsidRPr="000A53C0">
              <w:rPr>
                <w:rFonts w:cs="Arial"/>
                <w:b/>
              </w:rPr>
              <w:t>$251</w:t>
            </w:r>
            <w:r w:rsidRPr="000A53C0">
              <w:rPr>
                <w:rFonts w:cs="Arial"/>
                <w:b/>
                <w:bCs/>
              </w:rPr>
              <w:t>.1</w:t>
            </w:r>
          </w:p>
        </w:tc>
        <w:tc>
          <w:tcPr>
            <w:tcW w:w="1250" w:type="pct"/>
            <w:tcBorders>
              <w:top w:val="nil"/>
              <w:left w:val="nil"/>
              <w:bottom w:val="single" w:sz="8" w:space="0" w:color="F2F2F2"/>
            </w:tcBorders>
            <w:shd w:val="clear" w:color="000000" w:fill="D9D9D9"/>
          </w:tcPr>
          <w:p w14:paraId="04A117DF" w14:textId="77777777" w:rsidR="002611CA" w:rsidRPr="000A53C0" w:rsidRDefault="002611CA">
            <w:pPr>
              <w:pStyle w:val="TableBody"/>
              <w:jc w:val="center"/>
              <w:rPr>
                <w:rFonts w:cs="Arial"/>
                <w:b/>
                <w:color w:val="000000"/>
                <w:szCs w:val="18"/>
              </w:rPr>
            </w:pPr>
            <w:r w:rsidRPr="000A53C0">
              <w:rPr>
                <w:rFonts w:cs="Arial"/>
                <w:b/>
                <w:bCs/>
              </w:rPr>
              <w:t>$240.5</w:t>
            </w:r>
          </w:p>
        </w:tc>
        <w:tc>
          <w:tcPr>
            <w:tcW w:w="1250" w:type="pct"/>
            <w:shd w:val="clear" w:color="auto" w:fill="D9D9D9" w:themeFill="background1" w:themeFillShade="D9"/>
          </w:tcPr>
          <w:p w14:paraId="331D687B" w14:textId="77777777" w:rsidR="002611CA" w:rsidRPr="000A53C0" w:rsidRDefault="002611CA">
            <w:pPr>
              <w:pStyle w:val="TableBody"/>
              <w:jc w:val="center"/>
              <w:rPr>
                <w:rFonts w:cs="Arial"/>
                <w:b/>
                <w:color w:val="000000"/>
                <w:szCs w:val="18"/>
              </w:rPr>
            </w:pPr>
            <w:r w:rsidRPr="000A53C0">
              <w:rPr>
                <w:rFonts w:cs="Arial"/>
                <w:b/>
                <w:bCs/>
              </w:rPr>
              <w:t>$249.7</w:t>
            </w:r>
          </w:p>
        </w:tc>
      </w:tr>
    </w:tbl>
    <w:p w14:paraId="0FC0829D" w14:textId="77777777" w:rsidR="00A3073F" w:rsidRPr="000A53C0" w:rsidRDefault="00A3073F" w:rsidP="002C3224">
      <w:pPr>
        <w:rPr>
          <w:rFonts w:cs="Arial"/>
        </w:rPr>
      </w:pPr>
      <w:bookmarkStart w:id="123" w:name="_Ref138330065"/>
    </w:p>
    <w:p w14:paraId="37125DFA" w14:textId="6B7A9A79" w:rsidR="002611CA" w:rsidRPr="000A53C0" w:rsidRDefault="002611CA" w:rsidP="00514CCB">
      <w:pPr>
        <w:pStyle w:val="Heading3numbered"/>
      </w:pPr>
      <w:bookmarkStart w:id="124" w:name="_Ref139637617"/>
      <w:bookmarkEnd w:id="123"/>
      <w:r w:rsidRPr="000A53C0">
        <w:t>Costs of a licensing framework for work with legacy products</w:t>
      </w:r>
      <w:bookmarkEnd w:id="124"/>
    </w:p>
    <w:p w14:paraId="56AC0C2C" w14:textId="132031CB" w:rsidR="002611CA" w:rsidRPr="000A53C0" w:rsidRDefault="002611CA" w:rsidP="002611CA">
      <w:pPr>
        <w:pStyle w:val="BodyText"/>
        <w:keepNext/>
        <w:rPr>
          <w:rFonts w:cs="Arial"/>
        </w:rPr>
      </w:pPr>
      <w:r w:rsidRPr="000A53C0">
        <w:rPr>
          <w:rFonts w:cs="Arial"/>
        </w:rPr>
        <w:t xml:space="preserve">When WHS ministers requested </w:t>
      </w:r>
      <w:r w:rsidR="00AF108D" w:rsidRPr="000A53C0">
        <w:rPr>
          <w:rFonts w:cs="Arial"/>
        </w:rPr>
        <w:t>the Agency</w:t>
      </w:r>
      <w:r w:rsidRPr="000A53C0">
        <w:rPr>
          <w:rFonts w:cs="Arial"/>
        </w:rPr>
        <w:t xml:space="preserve"> undertake further consultation and analysis on the impacts of a potential prohibition on the use of engineered stone, they asked that this include a licensing system for</w:t>
      </w:r>
      <w:r w:rsidR="00DB18AC" w:rsidRPr="000A53C0">
        <w:rPr>
          <w:rFonts w:cs="Arial"/>
        </w:rPr>
        <w:t xml:space="preserve"> wor</w:t>
      </w:r>
      <w:r w:rsidR="00314BA4" w:rsidRPr="000A53C0">
        <w:rPr>
          <w:rFonts w:cs="Arial"/>
        </w:rPr>
        <w:t>k</w:t>
      </w:r>
      <w:r w:rsidR="00DB18AC" w:rsidRPr="000A53C0">
        <w:rPr>
          <w:rFonts w:cs="Arial"/>
        </w:rPr>
        <w:t xml:space="preserve"> with</w:t>
      </w:r>
      <w:r w:rsidRPr="000A53C0">
        <w:rPr>
          <w:rFonts w:cs="Arial"/>
        </w:rPr>
        <w:t xml:space="preserve"> legacy products – that is, for example, removal, repair and minor modification of engineered stone installed in homes and </w:t>
      </w:r>
      <w:r w:rsidR="006163D7" w:rsidRPr="000A53C0">
        <w:rPr>
          <w:rFonts w:cs="Arial"/>
        </w:rPr>
        <w:t xml:space="preserve">other </w:t>
      </w:r>
      <w:r w:rsidR="00A30949" w:rsidRPr="000A53C0">
        <w:rPr>
          <w:rFonts w:cs="Arial"/>
        </w:rPr>
        <w:t xml:space="preserve">premises </w:t>
      </w:r>
      <w:r w:rsidRPr="000A53C0">
        <w:rPr>
          <w:rFonts w:cs="Arial"/>
        </w:rPr>
        <w:t xml:space="preserve">prior to the prohibition. </w:t>
      </w:r>
    </w:p>
    <w:p w14:paraId="215BD159" w14:textId="77777777" w:rsidR="002611CA" w:rsidRPr="000A53C0" w:rsidRDefault="002611CA" w:rsidP="002611CA">
      <w:pPr>
        <w:pStyle w:val="BodyText"/>
        <w:keepNext/>
        <w:rPr>
          <w:rFonts w:cs="Arial"/>
        </w:rPr>
      </w:pPr>
      <w:r w:rsidRPr="000A53C0">
        <w:rPr>
          <w:rFonts w:cs="Arial"/>
        </w:rPr>
        <w:t xml:space="preserve">To enable the modelling underlying this Impact Analysis, an assumption was made that such work would likely be undertaken by a different group of PCBUs (other industry PCBUs) to those undertaking the fabrication and installation of engineered stone (engineered stone PCBUs). </w:t>
      </w:r>
    </w:p>
    <w:p w14:paraId="3129D1B9" w14:textId="30758FC0" w:rsidR="00B77AC0" w:rsidRPr="000A53C0" w:rsidRDefault="002611CA" w:rsidP="002611CA">
      <w:pPr>
        <w:pStyle w:val="BodyText"/>
        <w:keepNext/>
        <w:rPr>
          <w:rFonts w:cs="Arial"/>
        </w:rPr>
      </w:pPr>
      <w:r w:rsidRPr="000A53C0">
        <w:rPr>
          <w:rFonts w:cs="Arial"/>
          <w:b/>
        </w:rPr>
        <w:t xml:space="preserve">The costs of </w:t>
      </w:r>
      <w:r w:rsidRPr="000A53C0">
        <w:rPr>
          <w:rFonts w:cs="Arial"/>
          <w:b/>
          <w:bCs/>
        </w:rPr>
        <w:t xml:space="preserve">a licensing framework for work with legacy products are consistent across each of the options presented </w:t>
      </w:r>
      <w:r w:rsidR="00B77AC0" w:rsidRPr="000A53C0">
        <w:rPr>
          <w:rFonts w:cs="Arial"/>
          <w:b/>
          <w:bCs/>
        </w:rPr>
        <w:t>in this document</w:t>
      </w:r>
      <w:r w:rsidRPr="000A53C0">
        <w:rPr>
          <w:rFonts w:cs="Arial"/>
        </w:rPr>
        <w:t xml:space="preserve">. </w:t>
      </w:r>
    </w:p>
    <w:p w14:paraId="5A7B033F" w14:textId="15F34850" w:rsidR="002611CA" w:rsidRPr="000A53C0" w:rsidRDefault="002611CA" w:rsidP="002611CA">
      <w:pPr>
        <w:pStyle w:val="BodyText"/>
        <w:keepNext/>
        <w:rPr>
          <w:rFonts w:cs="Arial"/>
        </w:rPr>
      </w:pPr>
      <w:r w:rsidRPr="000A53C0">
        <w:rPr>
          <w:rFonts w:cs="Arial"/>
        </w:rPr>
        <w:t>For PCBUs, these costs include:</w:t>
      </w:r>
    </w:p>
    <w:p w14:paraId="3C385F67" w14:textId="257C1DD8" w:rsidR="002611CA" w:rsidRPr="000A53C0" w:rsidRDefault="002611CA" w:rsidP="001B44C4">
      <w:pPr>
        <w:pStyle w:val="IAListbullet2"/>
        <w:rPr>
          <w:rFonts w:cs="Arial"/>
        </w:rPr>
      </w:pPr>
      <w:r w:rsidRPr="000A53C0">
        <w:rPr>
          <w:rFonts w:cs="Arial"/>
        </w:rPr>
        <w:t xml:space="preserve">labour costs associated with licence application </w:t>
      </w:r>
    </w:p>
    <w:p w14:paraId="59B0D240" w14:textId="77777777" w:rsidR="002611CA" w:rsidRPr="000A53C0" w:rsidRDefault="002611CA" w:rsidP="001B44C4">
      <w:pPr>
        <w:pStyle w:val="IAListbullet2"/>
        <w:rPr>
          <w:rFonts w:cs="Arial"/>
        </w:rPr>
      </w:pPr>
      <w:r w:rsidRPr="000A53C0">
        <w:rPr>
          <w:rFonts w:cs="Arial"/>
        </w:rPr>
        <w:t xml:space="preserve">labour costs associated with licence renewal every five years, and </w:t>
      </w:r>
    </w:p>
    <w:p w14:paraId="6F7EC74D" w14:textId="77777777" w:rsidR="002611CA" w:rsidRPr="000A53C0" w:rsidRDefault="002611CA" w:rsidP="001B44C4">
      <w:pPr>
        <w:pStyle w:val="IAListbullet2"/>
        <w:rPr>
          <w:rFonts w:cs="Arial"/>
        </w:rPr>
      </w:pPr>
      <w:r w:rsidRPr="000A53C0">
        <w:rPr>
          <w:rFonts w:cs="Arial"/>
        </w:rPr>
        <w:t xml:space="preserve">preparation and participation in licence compliance audits. </w:t>
      </w:r>
    </w:p>
    <w:p w14:paraId="6DB0BDF2" w14:textId="5D14296F" w:rsidR="002611CA" w:rsidRPr="000A53C0" w:rsidRDefault="002611CA" w:rsidP="002611CA">
      <w:pPr>
        <w:pStyle w:val="BodyText"/>
        <w:rPr>
          <w:rFonts w:cs="Arial"/>
        </w:rPr>
      </w:pPr>
      <w:r w:rsidRPr="000A53C0">
        <w:rPr>
          <w:rFonts w:cs="Arial"/>
        </w:rPr>
        <w:t xml:space="preserve">The licensing framework </w:t>
      </w:r>
      <w:r w:rsidR="003A0A4C" w:rsidRPr="000A53C0">
        <w:rPr>
          <w:rFonts w:cs="Arial"/>
        </w:rPr>
        <w:t xml:space="preserve">for work with legacy products will involve </w:t>
      </w:r>
      <w:r w:rsidR="00C86616" w:rsidRPr="000A53C0">
        <w:rPr>
          <w:rFonts w:cs="Arial"/>
        </w:rPr>
        <w:t>changes to the model WHS l</w:t>
      </w:r>
      <w:r w:rsidR="00DD2A9A">
        <w:rPr>
          <w:rFonts w:cs="Arial"/>
        </w:rPr>
        <w:t>aws</w:t>
      </w:r>
      <w:r w:rsidR="00C86616" w:rsidRPr="000A53C0">
        <w:rPr>
          <w:rFonts w:cs="Arial"/>
        </w:rPr>
        <w:t xml:space="preserve"> but</w:t>
      </w:r>
      <w:r w:rsidRPr="000A53C0">
        <w:rPr>
          <w:rFonts w:cs="Arial"/>
        </w:rPr>
        <w:t xml:space="preserve"> is not </w:t>
      </w:r>
      <w:r w:rsidR="00C86616" w:rsidRPr="000A53C0">
        <w:rPr>
          <w:rFonts w:cs="Arial"/>
        </w:rPr>
        <w:t>proposed</w:t>
      </w:r>
      <w:r w:rsidRPr="000A53C0">
        <w:rPr>
          <w:rFonts w:cs="Arial"/>
        </w:rPr>
        <w:t xml:space="preserve"> to </w:t>
      </w:r>
      <w:r w:rsidR="004015C1" w:rsidRPr="000A53C0">
        <w:rPr>
          <w:rFonts w:cs="Arial"/>
        </w:rPr>
        <w:t xml:space="preserve">be accompanied by </w:t>
      </w:r>
      <w:r w:rsidR="00704172" w:rsidRPr="000A53C0">
        <w:rPr>
          <w:rFonts w:cs="Arial"/>
        </w:rPr>
        <w:t xml:space="preserve">any </w:t>
      </w:r>
      <w:r w:rsidR="004015C1" w:rsidRPr="000A53C0">
        <w:rPr>
          <w:rFonts w:cs="Arial"/>
        </w:rPr>
        <w:t xml:space="preserve">additional </w:t>
      </w:r>
      <w:r w:rsidR="00C86616" w:rsidRPr="000A53C0">
        <w:rPr>
          <w:rFonts w:cs="Arial"/>
        </w:rPr>
        <w:t>regulatory</w:t>
      </w:r>
      <w:r w:rsidRPr="000A53C0">
        <w:rPr>
          <w:rFonts w:cs="Arial"/>
        </w:rPr>
        <w:t xml:space="preserve"> requirements</w:t>
      </w:r>
      <w:r w:rsidR="00704172" w:rsidRPr="000A53C0">
        <w:rPr>
          <w:rFonts w:cs="Arial"/>
        </w:rPr>
        <w:t>. In accordance with the base case</w:t>
      </w:r>
      <w:r w:rsidR="000C1BA7" w:rsidRPr="000A53C0">
        <w:rPr>
          <w:rFonts w:cs="Arial"/>
        </w:rPr>
        <w:t>,</w:t>
      </w:r>
      <w:r w:rsidR="00CC6DB7" w:rsidRPr="000A53C0">
        <w:rPr>
          <w:rFonts w:cs="Arial"/>
        </w:rPr>
        <w:t xml:space="preserve"> </w:t>
      </w:r>
      <w:r w:rsidR="006520C1" w:rsidRPr="000A53C0">
        <w:rPr>
          <w:rFonts w:cs="Arial"/>
        </w:rPr>
        <w:t>PCBUs will need to comply with existing</w:t>
      </w:r>
      <w:r w:rsidRPr="000A53C0">
        <w:rPr>
          <w:rFonts w:cs="Arial"/>
        </w:rPr>
        <w:t xml:space="preserve"> regulations including the prohibition of uncontrolled processing of engineered stone; and the additional requirements agreed to under Option 5a of the Silica Decision RIS including requirements for risk control plans, training, air and health monitoring, and reporting). </w:t>
      </w:r>
    </w:p>
    <w:p w14:paraId="3073D930" w14:textId="4D17E508" w:rsidR="002611CA" w:rsidRPr="000A53C0" w:rsidRDefault="002611CA" w:rsidP="002611CA">
      <w:pPr>
        <w:pStyle w:val="BodyText"/>
        <w:keepNext/>
        <w:rPr>
          <w:rFonts w:cs="Arial"/>
        </w:rPr>
      </w:pPr>
      <w:r w:rsidRPr="000A53C0">
        <w:rPr>
          <w:rFonts w:cs="Arial"/>
        </w:rPr>
        <w:t>Costs to government for a licensing framework for work with legacy products</w:t>
      </w:r>
      <w:r w:rsidR="00D156BE" w:rsidRPr="000A53C0">
        <w:rPr>
          <w:rFonts w:cs="Arial"/>
        </w:rPr>
        <w:t xml:space="preserve"> </w:t>
      </w:r>
      <w:r w:rsidRPr="000A53C0">
        <w:rPr>
          <w:rFonts w:cs="Arial"/>
        </w:rPr>
        <w:t>include</w:t>
      </w:r>
      <w:r w:rsidR="00D6591A" w:rsidRPr="000A53C0">
        <w:rPr>
          <w:rFonts w:cs="Arial"/>
        </w:rPr>
        <w:t>:</w:t>
      </w:r>
    </w:p>
    <w:p w14:paraId="675FCC0B" w14:textId="5522E614" w:rsidR="002611CA" w:rsidRPr="000A53C0" w:rsidRDefault="002611CA" w:rsidP="001B44C4">
      <w:pPr>
        <w:pStyle w:val="IAListbullet2"/>
        <w:rPr>
          <w:rFonts w:cs="Arial"/>
        </w:rPr>
      </w:pPr>
      <w:r w:rsidRPr="000A53C0">
        <w:rPr>
          <w:rFonts w:cs="Arial"/>
        </w:rPr>
        <w:t xml:space="preserve">drafting of relevant legislation </w:t>
      </w:r>
    </w:p>
    <w:p w14:paraId="6123B862" w14:textId="77777777" w:rsidR="002611CA" w:rsidRPr="000A53C0" w:rsidRDefault="002611CA" w:rsidP="001B44C4">
      <w:pPr>
        <w:pStyle w:val="IAListbullet2"/>
        <w:rPr>
          <w:rFonts w:cs="Arial"/>
        </w:rPr>
      </w:pPr>
      <w:r w:rsidRPr="000A53C0">
        <w:rPr>
          <w:rFonts w:cs="Arial"/>
        </w:rPr>
        <w:lastRenderedPageBreak/>
        <w:t xml:space="preserve">licence administration costs such as purchasing licensing software, processing licence applications, and monitoring and compliance activities, and </w:t>
      </w:r>
    </w:p>
    <w:p w14:paraId="32656124" w14:textId="77777777" w:rsidR="002611CA" w:rsidRPr="000A53C0" w:rsidRDefault="002611CA" w:rsidP="001B44C4">
      <w:pPr>
        <w:pStyle w:val="IAListbullet2"/>
        <w:rPr>
          <w:rFonts w:cs="Arial"/>
        </w:rPr>
      </w:pPr>
      <w:r w:rsidRPr="000A53C0">
        <w:rPr>
          <w:rFonts w:cs="Arial"/>
        </w:rPr>
        <w:t xml:space="preserve">costs associated with communications activities. </w:t>
      </w:r>
    </w:p>
    <w:p w14:paraId="764C7E3D" w14:textId="43684C7E" w:rsidR="002611CA" w:rsidRPr="000A53C0" w:rsidRDefault="00366B78" w:rsidP="002611CA">
      <w:pPr>
        <w:pStyle w:val="BodyText"/>
        <w:keepNext/>
        <w:rPr>
          <w:rFonts w:cs="Arial"/>
        </w:rPr>
      </w:pPr>
      <w:r w:rsidRPr="000A53C0">
        <w:rPr>
          <w:rFonts w:cs="Arial"/>
        </w:rPr>
        <w:fldChar w:fldCharType="begin" w:fldLock="1"/>
      </w:r>
      <w:r w:rsidRPr="000A53C0">
        <w:rPr>
          <w:rFonts w:cs="Arial"/>
        </w:rPr>
        <w:instrText xml:space="preserve"> REF _Ref140669849 \h </w:instrText>
      </w:r>
      <w:r w:rsid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 xml:space="preserve">Table </w:t>
      </w:r>
      <w:r w:rsidR="00D16271" w:rsidRPr="00D16271">
        <w:rPr>
          <w:rFonts w:cs="Arial"/>
          <w:noProof/>
        </w:rPr>
        <w:t>6</w:t>
      </w:r>
      <w:r w:rsidRPr="000A53C0">
        <w:rPr>
          <w:rFonts w:cs="Arial"/>
        </w:rPr>
        <w:fldChar w:fldCharType="end"/>
      </w:r>
      <w:r w:rsidR="002611CA" w:rsidRPr="000A53C0">
        <w:rPr>
          <w:rFonts w:cs="Arial"/>
        </w:rPr>
        <w:t xml:space="preserve"> below summarises the estimated cost (to PCBUs and government) for the licensing framework for work with legacy products, consistent across each option. Further details of these costs are available in </w:t>
      </w:r>
      <w:r w:rsidR="00D156BE" w:rsidRPr="000A53C0">
        <w:rPr>
          <w:rFonts w:cs="Arial"/>
        </w:rPr>
        <w:fldChar w:fldCharType="begin" w:fldLock="1"/>
      </w:r>
      <w:r w:rsidR="00D156BE" w:rsidRPr="000A53C0">
        <w:rPr>
          <w:rFonts w:cs="Arial"/>
        </w:rPr>
        <w:instrText xml:space="preserve"> REF _Ref139636219 \h </w:instrText>
      </w:r>
      <w:r w:rsidR="000A53C0">
        <w:rPr>
          <w:rFonts w:cs="Arial"/>
        </w:rPr>
        <w:instrText xml:space="preserve"> \* MERGEFORMAT </w:instrText>
      </w:r>
      <w:r w:rsidR="00D156BE" w:rsidRPr="000A53C0">
        <w:rPr>
          <w:rFonts w:cs="Arial"/>
        </w:rPr>
      </w:r>
      <w:r w:rsidR="00D156BE" w:rsidRPr="000A53C0">
        <w:rPr>
          <w:rFonts w:cs="Arial"/>
        </w:rPr>
        <w:fldChar w:fldCharType="separate"/>
      </w:r>
      <w:r w:rsidR="00D16271" w:rsidRPr="00D16271">
        <w:rPr>
          <w:rFonts w:cs="Arial"/>
        </w:rPr>
        <w:t xml:space="preserve">Table </w:t>
      </w:r>
      <w:r w:rsidR="00D16271" w:rsidRPr="00D16271">
        <w:rPr>
          <w:rFonts w:cs="Arial"/>
          <w:noProof/>
        </w:rPr>
        <w:t>8</w:t>
      </w:r>
      <w:r w:rsidR="00D156BE" w:rsidRPr="000A53C0">
        <w:rPr>
          <w:rFonts w:cs="Arial"/>
        </w:rPr>
        <w:fldChar w:fldCharType="end"/>
      </w:r>
      <w:r w:rsidR="00D156BE" w:rsidRPr="000A53C0">
        <w:rPr>
          <w:rFonts w:cs="Arial"/>
        </w:rPr>
        <w:t xml:space="preserve"> and </w:t>
      </w:r>
      <w:r w:rsidR="00D156BE" w:rsidRPr="000A53C0">
        <w:rPr>
          <w:rFonts w:cs="Arial"/>
        </w:rPr>
        <w:fldChar w:fldCharType="begin" w:fldLock="1"/>
      </w:r>
      <w:r w:rsidR="00D156BE" w:rsidRPr="000A53C0">
        <w:rPr>
          <w:rFonts w:cs="Arial"/>
        </w:rPr>
        <w:instrText xml:space="preserve"> REF _Ref139636221 \h </w:instrText>
      </w:r>
      <w:r w:rsidR="000A53C0">
        <w:rPr>
          <w:rFonts w:cs="Arial"/>
        </w:rPr>
        <w:instrText xml:space="preserve"> \* MERGEFORMAT </w:instrText>
      </w:r>
      <w:r w:rsidR="00D156BE" w:rsidRPr="000A53C0">
        <w:rPr>
          <w:rFonts w:cs="Arial"/>
        </w:rPr>
      </w:r>
      <w:r w:rsidR="00D156BE" w:rsidRPr="000A53C0">
        <w:rPr>
          <w:rFonts w:cs="Arial"/>
        </w:rPr>
        <w:fldChar w:fldCharType="separate"/>
      </w:r>
      <w:r w:rsidR="00D16271" w:rsidRPr="00D16271">
        <w:rPr>
          <w:rFonts w:cs="Arial"/>
        </w:rPr>
        <w:t xml:space="preserve">Table </w:t>
      </w:r>
      <w:r w:rsidR="00D16271" w:rsidRPr="00D16271">
        <w:rPr>
          <w:rFonts w:cs="Arial"/>
          <w:noProof/>
        </w:rPr>
        <w:t>9</w:t>
      </w:r>
      <w:r w:rsidR="00D156BE" w:rsidRPr="000A53C0">
        <w:rPr>
          <w:rFonts w:cs="Arial"/>
        </w:rPr>
        <w:fldChar w:fldCharType="end"/>
      </w:r>
      <w:r w:rsidR="00D156BE" w:rsidRPr="000A53C0">
        <w:rPr>
          <w:rFonts w:cs="Arial"/>
        </w:rPr>
        <w:t>.</w:t>
      </w:r>
    </w:p>
    <w:p w14:paraId="6F93D408" w14:textId="694BDDEA" w:rsidR="002611CA" w:rsidRPr="000A53C0" w:rsidRDefault="00D426B2" w:rsidP="00771110">
      <w:pPr>
        <w:pStyle w:val="Caption"/>
        <w:rPr>
          <w:rFonts w:cs="Arial"/>
        </w:rPr>
      </w:pPr>
      <w:bookmarkStart w:id="125" w:name="_Ref140669849"/>
      <w:r w:rsidRPr="00C17515">
        <w:rPr>
          <w:rFonts w:cs="Arial"/>
          <w:b/>
          <w:bCs/>
        </w:rPr>
        <w:t xml:space="preserve">Table </w:t>
      </w:r>
      <w:r w:rsidRPr="00C17515">
        <w:rPr>
          <w:rFonts w:cs="Arial"/>
          <w:b/>
          <w:bCs/>
        </w:rPr>
        <w:fldChar w:fldCharType="begin"/>
      </w:r>
      <w:r w:rsidRPr="00C17515">
        <w:rPr>
          <w:rFonts w:cs="Arial"/>
          <w:b/>
          <w:bCs/>
        </w:rPr>
        <w:instrText>SEQ Table \* ARABIC</w:instrText>
      </w:r>
      <w:r w:rsidRPr="00C17515">
        <w:rPr>
          <w:rFonts w:cs="Arial"/>
          <w:b/>
          <w:bCs/>
        </w:rPr>
        <w:fldChar w:fldCharType="separate"/>
      </w:r>
      <w:r w:rsidR="00D16271">
        <w:rPr>
          <w:rFonts w:cs="Arial"/>
          <w:b/>
          <w:bCs/>
          <w:noProof/>
        </w:rPr>
        <w:t>6</w:t>
      </w:r>
      <w:r w:rsidRPr="00C17515">
        <w:rPr>
          <w:rFonts w:cs="Arial"/>
          <w:b/>
          <w:bCs/>
        </w:rPr>
        <w:fldChar w:fldCharType="end"/>
      </w:r>
      <w:bookmarkEnd w:id="125"/>
      <w:r w:rsidR="002611CA" w:rsidRPr="000A53C0">
        <w:rPr>
          <w:rFonts w:cs="Arial"/>
        </w:rPr>
        <w:t xml:space="preserve"> Estimated cost of licensing framework for work with legacy products, over </w:t>
      </w:r>
      <w:r w:rsidR="009D1988" w:rsidRPr="000A53C0">
        <w:rPr>
          <w:rFonts w:cs="Arial"/>
        </w:rPr>
        <w:t>appraisal</w:t>
      </w:r>
      <w:r w:rsidR="002611CA" w:rsidRPr="000A53C0">
        <w:rPr>
          <w:rFonts w:cs="Arial"/>
        </w:rPr>
        <w:t xml:space="preserve"> period ($m)</w:t>
      </w:r>
    </w:p>
    <w:tbl>
      <w:tblPr>
        <w:tblStyle w:val="TableGrid"/>
        <w:tblW w:w="3961"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9"/>
        <w:gridCol w:w="5527"/>
      </w:tblGrid>
      <w:tr w:rsidR="002611CA" w:rsidRPr="000A53C0" w14:paraId="314464C1" w14:textId="77777777" w:rsidTr="00741FF0">
        <w:trPr>
          <w:trHeight w:val="713"/>
          <w:tblHeader/>
        </w:trPr>
        <w:tc>
          <w:tcPr>
            <w:tcW w:w="1578" w:type="pct"/>
            <w:shd w:val="clear" w:color="auto" w:fill="E81D32"/>
            <w:vAlign w:val="center"/>
          </w:tcPr>
          <w:p w14:paraId="153A2A13" w14:textId="77777777" w:rsidR="002611CA" w:rsidRPr="00C17515" w:rsidRDefault="002611CA" w:rsidP="00741FF0">
            <w:pPr>
              <w:pStyle w:val="TableHeading"/>
              <w:keepNext/>
              <w:spacing w:before="0" w:after="0"/>
              <w:rPr>
                <w:rFonts w:ascii="Arial" w:hAnsi="Arial" w:cs="Arial"/>
                <w:color w:val="FFFFFF" w:themeColor="background1"/>
              </w:rPr>
            </w:pPr>
            <w:r w:rsidRPr="00C17515">
              <w:rPr>
                <w:rFonts w:ascii="Arial" w:hAnsi="Arial" w:cs="Arial"/>
                <w:color w:val="FFFFFF" w:themeColor="background1"/>
              </w:rPr>
              <w:t>Criterion</w:t>
            </w:r>
          </w:p>
        </w:tc>
        <w:tc>
          <w:tcPr>
            <w:tcW w:w="3422" w:type="pct"/>
            <w:shd w:val="clear" w:color="auto" w:fill="E81D32"/>
            <w:vAlign w:val="center"/>
          </w:tcPr>
          <w:p w14:paraId="736CD56B" w14:textId="26595DF2" w:rsidR="002611CA" w:rsidRPr="00C17515" w:rsidRDefault="002611CA" w:rsidP="00741FF0">
            <w:pPr>
              <w:pStyle w:val="TableHeading"/>
              <w:keepNext/>
              <w:spacing w:before="0" w:after="0"/>
              <w:jc w:val="center"/>
              <w:rPr>
                <w:rFonts w:ascii="Arial" w:hAnsi="Arial" w:cs="Arial"/>
                <w:color w:val="FFFFFF" w:themeColor="background1"/>
              </w:rPr>
            </w:pPr>
            <w:r w:rsidRPr="00C17515">
              <w:rPr>
                <w:rFonts w:ascii="Arial" w:hAnsi="Arial" w:cs="Arial"/>
                <w:color w:val="FFFFFF" w:themeColor="background1"/>
              </w:rPr>
              <w:t xml:space="preserve">Estimated cost (over </w:t>
            </w:r>
            <w:r w:rsidR="004F64D6" w:rsidRPr="00C17515">
              <w:rPr>
                <w:rFonts w:ascii="Arial" w:hAnsi="Arial" w:cs="Arial"/>
                <w:color w:val="FFFFFF" w:themeColor="background1"/>
              </w:rPr>
              <w:t>appraisal</w:t>
            </w:r>
            <w:r w:rsidR="001B7815" w:rsidRPr="00C17515">
              <w:rPr>
                <w:rFonts w:ascii="Arial" w:hAnsi="Arial" w:cs="Arial"/>
                <w:color w:val="FFFFFF" w:themeColor="background1"/>
              </w:rPr>
              <w:t xml:space="preserve"> period</w:t>
            </w:r>
            <w:r w:rsidRPr="00C17515">
              <w:rPr>
                <w:rFonts w:ascii="Arial" w:hAnsi="Arial" w:cs="Arial"/>
                <w:color w:val="FFFFFF" w:themeColor="background1"/>
              </w:rPr>
              <w:t>)</w:t>
            </w:r>
            <w:r w:rsidR="001940B2">
              <w:rPr>
                <w:rFonts w:ascii="Arial" w:hAnsi="Arial" w:cs="Arial"/>
                <w:color w:val="FFFFFF" w:themeColor="background1"/>
              </w:rPr>
              <w:t xml:space="preserve"> </w:t>
            </w:r>
            <w:r w:rsidRPr="00C17515">
              <w:rPr>
                <w:rFonts w:ascii="Arial" w:hAnsi="Arial" w:cs="Arial"/>
                <w:color w:val="FFFFFF" w:themeColor="background1"/>
              </w:rPr>
              <w:t>– licensing framework for work with legacy products</w:t>
            </w:r>
          </w:p>
        </w:tc>
      </w:tr>
      <w:tr w:rsidR="002611CA" w:rsidRPr="000A53C0" w14:paraId="26E0E794" w14:textId="77777777">
        <w:trPr>
          <w:trHeight w:val="355"/>
        </w:trPr>
        <w:tc>
          <w:tcPr>
            <w:tcW w:w="1578" w:type="pct"/>
            <w:shd w:val="clear" w:color="auto" w:fill="auto"/>
          </w:tcPr>
          <w:p w14:paraId="27DA15C2" w14:textId="77777777" w:rsidR="002611CA" w:rsidRPr="000A53C0" w:rsidRDefault="002611CA" w:rsidP="00771110">
            <w:pPr>
              <w:pStyle w:val="TableBody"/>
              <w:keepNext/>
              <w:rPr>
                <w:rFonts w:cs="Arial"/>
              </w:rPr>
            </w:pPr>
            <w:r w:rsidRPr="000A53C0">
              <w:rPr>
                <w:rFonts w:cs="Arial"/>
                <w:szCs w:val="18"/>
              </w:rPr>
              <w:t>Cost to PCBUs</w:t>
            </w:r>
          </w:p>
        </w:tc>
        <w:tc>
          <w:tcPr>
            <w:tcW w:w="3422" w:type="pct"/>
          </w:tcPr>
          <w:p w14:paraId="74817E8D" w14:textId="77777777" w:rsidR="002611CA" w:rsidRPr="000A53C0" w:rsidRDefault="002611CA" w:rsidP="00771110">
            <w:pPr>
              <w:pStyle w:val="TableBody"/>
              <w:keepNext/>
              <w:jc w:val="center"/>
              <w:rPr>
                <w:rFonts w:cs="Arial"/>
                <w:color w:val="000000"/>
                <w:szCs w:val="18"/>
                <w:highlight w:val="green"/>
              </w:rPr>
            </w:pPr>
            <w:r w:rsidRPr="000A53C0">
              <w:rPr>
                <w:rFonts w:cs="Arial"/>
              </w:rPr>
              <w:t>$133.0</w:t>
            </w:r>
          </w:p>
        </w:tc>
      </w:tr>
      <w:tr w:rsidR="002611CA" w:rsidRPr="000A53C0" w14:paraId="1D14F307" w14:textId="77777777">
        <w:trPr>
          <w:trHeight w:val="355"/>
        </w:trPr>
        <w:tc>
          <w:tcPr>
            <w:tcW w:w="1578" w:type="pct"/>
            <w:shd w:val="clear" w:color="auto" w:fill="auto"/>
          </w:tcPr>
          <w:p w14:paraId="1D20D217" w14:textId="77777777" w:rsidR="002611CA" w:rsidRPr="000A53C0" w:rsidRDefault="002611CA" w:rsidP="00771110">
            <w:pPr>
              <w:pStyle w:val="TableBody"/>
              <w:keepNext/>
              <w:rPr>
                <w:rFonts w:cs="Arial"/>
              </w:rPr>
            </w:pPr>
            <w:r w:rsidRPr="000A53C0">
              <w:rPr>
                <w:rFonts w:cs="Arial"/>
              </w:rPr>
              <w:t>Cost to government</w:t>
            </w:r>
          </w:p>
        </w:tc>
        <w:tc>
          <w:tcPr>
            <w:tcW w:w="3422" w:type="pct"/>
          </w:tcPr>
          <w:p w14:paraId="0F286E1C" w14:textId="77777777" w:rsidR="002611CA" w:rsidRPr="000A53C0" w:rsidRDefault="002611CA" w:rsidP="00771110">
            <w:pPr>
              <w:pStyle w:val="TableBody"/>
              <w:keepNext/>
              <w:jc w:val="center"/>
              <w:rPr>
                <w:rFonts w:cs="Arial"/>
                <w:color w:val="000000"/>
                <w:szCs w:val="18"/>
                <w:highlight w:val="green"/>
              </w:rPr>
            </w:pPr>
            <w:r w:rsidRPr="000A53C0">
              <w:rPr>
                <w:rFonts w:cs="Arial"/>
              </w:rPr>
              <w:t>$107.5</w:t>
            </w:r>
          </w:p>
        </w:tc>
      </w:tr>
      <w:tr w:rsidR="002611CA" w:rsidRPr="000A53C0" w14:paraId="0A02F51C" w14:textId="77777777">
        <w:trPr>
          <w:trHeight w:val="355"/>
        </w:trPr>
        <w:tc>
          <w:tcPr>
            <w:tcW w:w="1578" w:type="pct"/>
            <w:shd w:val="clear" w:color="auto" w:fill="D9D9D9" w:themeFill="background1" w:themeFillShade="D9"/>
            <w:vAlign w:val="center"/>
          </w:tcPr>
          <w:p w14:paraId="47BC18A0" w14:textId="77777777" w:rsidR="002611CA" w:rsidRPr="000A53C0" w:rsidRDefault="002611CA" w:rsidP="00771110">
            <w:pPr>
              <w:pStyle w:val="TableBody"/>
              <w:keepNext/>
              <w:rPr>
                <w:rFonts w:cs="Arial"/>
                <w:b/>
              </w:rPr>
            </w:pPr>
            <w:r w:rsidRPr="000A53C0">
              <w:rPr>
                <w:rFonts w:cs="Arial"/>
                <w:b/>
              </w:rPr>
              <w:t xml:space="preserve">Total </w:t>
            </w:r>
          </w:p>
        </w:tc>
        <w:tc>
          <w:tcPr>
            <w:tcW w:w="3422" w:type="pct"/>
            <w:shd w:val="clear" w:color="auto" w:fill="D9D9D9" w:themeFill="background1" w:themeFillShade="D9"/>
          </w:tcPr>
          <w:p w14:paraId="16099E19" w14:textId="77777777" w:rsidR="002611CA" w:rsidRPr="000A53C0" w:rsidRDefault="002611CA" w:rsidP="00771110">
            <w:pPr>
              <w:pStyle w:val="TableBody"/>
              <w:keepNext/>
              <w:jc w:val="center"/>
              <w:rPr>
                <w:rFonts w:cs="Arial"/>
                <w:b/>
                <w:color w:val="000000"/>
                <w:szCs w:val="18"/>
                <w:highlight w:val="green"/>
              </w:rPr>
            </w:pPr>
            <w:r w:rsidRPr="000A53C0">
              <w:rPr>
                <w:rFonts w:cs="Arial"/>
                <w:b/>
              </w:rPr>
              <w:t>$240.</w:t>
            </w:r>
            <w:r w:rsidRPr="000A53C0">
              <w:rPr>
                <w:rFonts w:cs="Arial"/>
                <w:b/>
                <w:bCs/>
              </w:rPr>
              <w:t>5</w:t>
            </w:r>
          </w:p>
        </w:tc>
      </w:tr>
    </w:tbl>
    <w:p w14:paraId="2E81E659" w14:textId="77777777" w:rsidR="002611CA" w:rsidRPr="000A53C0" w:rsidRDefault="002611CA" w:rsidP="002611CA">
      <w:pPr>
        <w:spacing w:after="120" w:line="264" w:lineRule="auto"/>
        <w:rPr>
          <w:rFonts w:cs="Arial"/>
          <w:b/>
          <w:bCs/>
          <w:color w:val="014463" w:themeColor="text2"/>
        </w:rPr>
      </w:pPr>
    </w:p>
    <w:p w14:paraId="291AE66E" w14:textId="6DBC815E" w:rsidR="00B27B88" w:rsidRPr="000A53C0" w:rsidRDefault="000910E0" w:rsidP="00B27B88">
      <w:pPr>
        <w:pStyle w:val="BodyText"/>
        <w:widowControl w:val="0"/>
        <w:spacing w:before="120" w:afterLines="120" w:after="288"/>
        <w:rPr>
          <w:rFonts w:cs="Arial"/>
        </w:rPr>
      </w:pPr>
      <w:r w:rsidRPr="000A53C0">
        <w:rPr>
          <w:rFonts w:cs="Arial"/>
        </w:rPr>
        <w:t xml:space="preserve">The cost of this </w:t>
      </w:r>
      <w:r w:rsidR="002A5E2B" w:rsidRPr="000A53C0">
        <w:rPr>
          <w:rFonts w:cs="Arial"/>
        </w:rPr>
        <w:t xml:space="preserve">licensing </w:t>
      </w:r>
      <w:r w:rsidR="00B27B88" w:rsidRPr="000A53C0">
        <w:rPr>
          <w:rFonts w:cs="Arial"/>
        </w:rPr>
        <w:t>represents 94% to 100% of the estimated cost for each option (</w:t>
      </w:r>
      <w:r w:rsidR="00B27B88" w:rsidRPr="000A53C0">
        <w:rPr>
          <w:rFonts w:cs="Arial"/>
        </w:rPr>
        <w:fldChar w:fldCharType="begin" w:fldLock="1"/>
      </w:r>
      <w:r w:rsidR="00B27B88" w:rsidRPr="000A53C0">
        <w:rPr>
          <w:rFonts w:cs="Arial"/>
        </w:rPr>
        <w:instrText xml:space="preserve"> REF _Ref140668793 \h </w:instrText>
      </w:r>
      <w:r w:rsidR="000A53C0">
        <w:rPr>
          <w:rFonts w:cs="Arial"/>
        </w:rPr>
        <w:instrText xml:space="preserve"> \* MERGEFORMAT </w:instrText>
      </w:r>
      <w:r w:rsidR="00B27B88" w:rsidRPr="000A53C0">
        <w:rPr>
          <w:rFonts w:cs="Arial"/>
        </w:rPr>
      </w:r>
      <w:r w:rsidR="00B27B88" w:rsidRPr="000A53C0">
        <w:rPr>
          <w:rFonts w:cs="Arial"/>
        </w:rPr>
        <w:fldChar w:fldCharType="separate"/>
      </w:r>
      <w:r w:rsidR="00D16271" w:rsidRPr="00D16271">
        <w:rPr>
          <w:rFonts w:cs="Arial"/>
        </w:rPr>
        <w:t xml:space="preserve">Table </w:t>
      </w:r>
      <w:r w:rsidR="00D16271" w:rsidRPr="00D16271">
        <w:rPr>
          <w:rFonts w:cs="Arial"/>
          <w:noProof/>
        </w:rPr>
        <w:t>7</w:t>
      </w:r>
      <w:r w:rsidR="00B27B88" w:rsidRPr="000A53C0">
        <w:rPr>
          <w:rFonts w:cs="Arial"/>
        </w:rPr>
        <w:fldChar w:fldCharType="end"/>
      </w:r>
      <w:r w:rsidR="00B27B88" w:rsidRPr="000A53C0">
        <w:rPr>
          <w:rFonts w:cs="Arial"/>
        </w:rPr>
        <w:t xml:space="preserve">). The licensing framework </w:t>
      </w:r>
      <w:r w:rsidR="00BE5BD3" w:rsidRPr="000A53C0">
        <w:rPr>
          <w:rFonts w:cs="Arial"/>
        </w:rPr>
        <w:t>is common to all prohibition options</w:t>
      </w:r>
      <w:r w:rsidR="006B5D5E" w:rsidRPr="000A53C0">
        <w:rPr>
          <w:rFonts w:cs="Arial"/>
        </w:rPr>
        <w:t xml:space="preserve"> presented</w:t>
      </w:r>
      <w:r w:rsidR="00BE5BD3" w:rsidRPr="000A53C0">
        <w:rPr>
          <w:rFonts w:cs="Arial"/>
        </w:rPr>
        <w:t xml:space="preserve"> </w:t>
      </w:r>
      <w:r w:rsidR="00B27B88" w:rsidRPr="000A53C0">
        <w:rPr>
          <w:rFonts w:cs="Arial"/>
        </w:rPr>
        <w:t xml:space="preserve">and </w:t>
      </w:r>
      <w:r w:rsidR="006B5D5E" w:rsidRPr="000A53C0">
        <w:rPr>
          <w:rFonts w:cs="Arial"/>
        </w:rPr>
        <w:t xml:space="preserve">the </w:t>
      </w:r>
      <w:r w:rsidR="00B27B88" w:rsidRPr="000A53C0">
        <w:rPr>
          <w:rFonts w:cs="Arial"/>
        </w:rPr>
        <w:t>associated costs are</w:t>
      </w:r>
      <w:r w:rsidR="006B5D5E" w:rsidRPr="000A53C0">
        <w:rPr>
          <w:rFonts w:cs="Arial"/>
        </w:rPr>
        <w:t>,</w:t>
      </w:r>
      <w:r w:rsidR="00B27B88" w:rsidRPr="000A53C0">
        <w:rPr>
          <w:rFonts w:cs="Arial"/>
        </w:rPr>
        <w:t xml:space="preserve"> </w:t>
      </w:r>
      <w:r w:rsidR="006B5D5E" w:rsidRPr="000A53C0">
        <w:rPr>
          <w:rFonts w:cs="Arial"/>
        </w:rPr>
        <w:t xml:space="preserve">therefore, </w:t>
      </w:r>
      <w:r w:rsidR="00BE5BD3" w:rsidRPr="000A53C0">
        <w:rPr>
          <w:rFonts w:cs="Arial"/>
        </w:rPr>
        <w:t>consistent across</w:t>
      </w:r>
      <w:r w:rsidR="00771A77" w:rsidRPr="000A53C0">
        <w:rPr>
          <w:rFonts w:cs="Arial"/>
        </w:rPr>
        <w:t xml:space="preserve"> each of</w:t>
      </w:r>
      <w:r w:rsidR="00B27B88" w:rsidRPr="000A53C0">
        <w:rPr>
          <w:rFonts w:cs="Arial"/>
        </w:rPr>
        <w:t xml:space="preserve"> the option</w:t>
      </w:r>
      <w:r w:rsidR="006B5D5E" w:rsidRPr="000A53C0">
        <w:rPr>
          <w:rFonts w:cs="Arial"/>
        </w:rPr>
        <w:t>s</w:t>
      </w:r>
      <w:r w:rsidR="00B27B88" w:rsidRPr="000A53C0">
        <w:rPr>
          <w:rFonts w:cs="Arial"/>
        </w:rPr>
        <w:t xml:space="preserve">. While costs to both governments and PCBUs under this licensing framework mainly relate to the administrative </w:t>
      </w:r>
      <w:r w:rsidR="007919D6" w:rsidRPr="000A53C0">
        <w:rPr>
          <w:rFonts w:cs="Arial"/>
        </w:rPr>
        <w:t xml:space="preserve">costs </w:t>
      </w:r>
      <w:r w:rsidR="00B27B88" w:rsidRPr="000A53C0">
        <w:rPr>
          <w:rFonts w:cs="Arial"/>
        </w:rPr>
        <w:t xml:space="preserve">of implementing the framework, the overall costs, estimated to be $240.5 million, are high due to the large number of PCBUs that may be impacted (estimated at 58,050 PCBUs of the 179,750 possible PCBUs across the relevant sector of industry). This cost is likely </w:t>
      </w:r>
      <w:r w:rsidR="006E2466" w:rsidRPr="000A53C0">
        <w:rPr>
          <w:rFonts w:cs="Arial"/>
        </w:rPr>
        <w:t xml:space="preserve">overestimated due to the </w:t>
      </w:r>
      <w:r w:rsidR="00B27B88" w:rsidRPr="000A53C0">
        <w:rPr>
          <w:rFonts w:cs="Arial"/>
        </w:rPr>
        <w:t xml:space="preserve">conservative assumption that 50% of PCBUs across the relevant ANZSIC categories for construction would apply for a licence under this licensing framework. </w:t>
      </w:r>
    </w:p>
    <w:p w14:paraId="0806C8E8" w14:textId="73021998" w:rsidR="00B27B88" w:rsidRPr="000A53C0" w:rsidRDefault="00B27B88" w:rsidP="00B27B88">
      <w:pPr>
        <w:pStyle w:val="BodyText"/>
        <w:widowControl w:val="0"/>
        <w:spacing w:before="120" w:afterLines="120" w:after="288"/>
        <w:rPr>
          <w:rFonts w:cs="Arial"/>
        </w:rPr>
      </w:pPr>
      <w:r w:rsidRPr="000A53C0">
        <w:rPr>
          <w:rFonts w:cs="Arial"/>
        </w:rPr>
        <w:t>In contrast, the costs to engineered stone PCBUs under each of the three prohibition options are a small fraction of the total costs</w:t>
      </w:r>
      <w:r w:rsidR="003B6523" w:rsidRPr="000A53C0">
        <w:rPr>
          <w:rFonts w:cs="Arial"/>
        </w:rPr>
        <w:t xml:space="preserve"> (0% </w:t>
      </w:r>
      <w:r w:rsidR="00F05CA4" w:rsidRPr="000A53C0">
        <w:rPr>
          <w:rFonts w:cs="Arial"/>
        </w:rPr>
        <w:t>or</w:t>
      </w:r>
      <w:r w:rsidR="003B6523" w:rsidRPr="000A53C0">
        <w:rPr>
          <w:rFonts w:cs="Arial"/>
        </w:rPr>
        <w:t xml:space="preserve"> 4</w:t>
      </w:r>
      <w:r w:rsidR="00777FC4" w:rsidRPr="000A53C0">
        <w:rPr>
          <w:rFonts w:cs="Arial"/>
        </w:rPr>
        <w:t>%</w:t>
      </w:r>
      <w:r w:rsidR="00505069" w:rsidRPr="000A53C0">
        <w:rPr>
          <w:rFonts w:cs="Arial"/>
        </w:rPr>
        <w:t>; Table 10</w:t>
      </w:r>
      <w:r w:rsidR="00777FC4" w:rsidRPr="000A53C0">
        <w:rPr>
          <w:rFonts w:cs="Arial"/>
        </w:rPr>
        <w:t xml:space="preserve">). </w:t>
      </w:r>
      <w:r w:rsidR="007A7F10" w:rsidRPr="000A53C0">
        <w:rPr>
          <w:rFonts w:cs="Arial"/>
        </w:rPr>
        <w:t>However,</w:t>
      </w:r>
      <w:r w:rsidRPr="000A53C0">
        <w:rPr>
          <w:rFonts w:cs="Arial"/>
        </w:rPr>
        <w:t xml:space="preserve"> </w:t>
      </w:r>
      <w:r w:rsidR="00085B21" w:rsidRPr="000A53C0">
        <w:rPr>
          <w:rFonts w:cs="Arial"/>
        </w:rPr>
        <w:t xml:space="preserve">due to the smaller number of engineered stone PCBUs, </w:t>
      </w:r>
      <w:r w:rsidRPr="000A53C0">
        <w:rPr>
          <w:rFonts w:cs="Arial"/>
        </w:rPr>
        <w:t xml:space="preserve">the </w:t>
      </w:r>
      <w:r w:rsidR="00613990" w:rsidRPr="000A53C0">
        <w:rPr>
          <w:rFonts w:cs="Arial"/>
        </w:rPr>
        <w:t>costs per</w:t>
      </w:r>
      <w:r w:rsidRPr="000A53C0">
        <w:rPr>
          <w:rFonts w:cs="Arial"/>
        </w:rPr>
        <w:t xml:space="preserve"> individual engineered stone PCBUs will be significantly higher than that for individual other industry PCBUs. </w:t>
      </w:r>
    </w:p>
    <w:p w14:paraId="07560F94" w14:textId="77777777" w:rsidR="00B27B88" w:rsidRPr="000A53C0" w:rsidRDefault="00B27B88" w:rsidP="00BE296E">
      <w:pPr>
        <w:pStyle w:val="IAListbullet2"/>
      </w:pPr>
      <w:r w:rsidRPr="000A53C0">
        <w:t xml:space="preserve">Option 1 has the highest costs to engineered stone PCBUs – a total prohibition of engineered stone would result in a higher number of engineered stone business closures and corresponding worker displacement. </w:t>
      </w:r>
    </w:p>
    <w:p w14:paraId="0BA04316" w14:textId="77777777" w:rsidR="00B27B88" w:rsidRPr="000A53C0" w:rsidRDefault="00B27B88" w:rsidP="00BE296E">
      <w:pPr>
        <w:pStyle w:val="IAListbullet2"/>
      </w:pPr>
      <w:r w:rsidRPr="000A53C0">
        <w:t>Option 2 has the lowest total cost impact. It is assumed that there will be no business closures or worker displacement under this option because lower silica products are expected to be available to meet demand. Engineered stone PCBUs are not expected to experience financial impact under Option 2.</w:t>
      </w:r>
    </w:p>
    <w:p w14:paraId="1E3A5DD0" w14:textId="45A3FDFB" w:rsidR="00B27B88" w:rsidRPr="000A53C0" w:rsidRDefault="00D72F42" w:rsidP="00B27B88">
      <w:pPr>
        <w:pStyle w:val="BodyText"/>
        <w:rPr>
          <w:rFonts w:cs="Arial"/>
        </w:rPr>
      </w:pPr>
      <w:r w:rsidRPr="000A53C0">
        <w:rPr>
          <w:rFonts w:cs="Arial"/>
        </w:rPr>
        <w:t xml:space="preserve">Costs for each option are discussed further in </w:t>
      </w:r>
      <w:r w:rsidR="00FF6978">
        <w:rPr>
          <w:rFonts w:cs="Arial"/>
        </w:rPr>
        <w:t>S</w:t>
      </w:r>
      <w:r w:rsidRPr="000A53C0">
        <w:rPr>
          <w:rFonts w:cs="Arial"/>
        </w:rPr>
        <w:t xml:space="preserve">ections </w:t>
      </w:r>
      <w:r w:rsidR="000A1B9B" w:rsidRPr="000A53C0">
        <w:rPr>
          <w:rFonts w:cs="Arial"/>
        </w:rPr>
        <w:fldChar w:fldCharType="begin" w:fldLock="1"/>
      </w:r>
      <w:r w:rsidR="000A1B9B" w:rsidRPr="000A53C0">
        <w:rPr>
          <w:rFonts w:cs="Arial"/>
        </w:rPr>
        <w:instrText xml:space="preserve"> REF _Ref140670156 \r \h </w:instrText>
      </w:r>
      <w:r w:rsidR="000A53C0">
        <w:rPr>
          <w:rFonts w:cs="Arial"/>
        </w:rPr>
        <w:instrText xml:space="preserve"> \* MERGEFORMAT </w:instrText>
      </w:r>
      <w:r w:rsidR="000A1B9B" w:rsidRPr="000A53C0">
        <w:rPr>
          <w:rFonts w:cs="Arial"/>
        </w:rPr>
      </w:r>
      <w:r w:rsidR="000A1B9B" w:rsidRPr="000A53C0">
        <w:rPr>
          <w:rFonts w:cs="Arial"/>
        </w:rPr>
        <w:fldChar w:fldCharType="separate"/>
      </w:r>
      <w:r w:rsidR="00D16271">
        <w:rPr>
          <w:rFonts w:cs="Arial"/>
        </w:rPr>
        <w:t>4.4</w:t>
      </w:r>
      <w:r w:rsidR="000A1B9B" w:rsidRPr="000A53C0">
        <w:rPr>
          <w:rFonts w:cs="Arial"/>
        </w:rPr>
        <w:fldChar w:fldCharType="end"/>
      </w:r>
      <w:r w:rsidR="000A1B9B" w:rsidRPr="000A53C0">
        <w:rPr>
          <w:rFonts w:cs="Arial"/>
        </w:rPr>
        <w:t xml:space="preserve"> to </w:t>
      </w:r>
      <w:r w:rsidR="000A1B9B" w:rsidRPr="000A53C0">
        <w:rPr>
          <w:rFonts w:cs="Arial"/>
        </w:rPr>
        <w:fldChar w:fldCharType="begin" w:fldLock="1"/>
      </w:r>
      <w:r w:rsidR="000A1B9B" w:rsidRPr="000A53C0">
        <w:rPr>
          <w:rFonts w:cs="Arial"/>
        </w:rPr>
        <w:instrText xml:space="preserve"> REF _Ref140670169 \r \h </w:instrText>
      </w:r>
      <w:r w:rsidR="000A53C0">
        <w:rPr>
          <w:rFonts w:cs="Arial"/>
        </w:rPr>
        <w:instrText xml:space="preserve"> \* MERGEFORMAT </w:instrText>
      </w:r>
      <w:r w:rsidR="000A1B9B" w:rsidRPr="000A53C0">
        <w:rPr>
          <w:rFonts w:cs="Arial"/>
        </w:rPr>
      </w:r>
      <w:r w:rsidR="000A1B9B" w:rsidRPr="000A53C0">
        <w:rPr>
          <w:rFonts w:cs="Arial"/>
        </w:rPr>
        <w:fldChar w:fldCharType="separate"/>
      </w:r>
      <w:r w:rsidR="00D16271">
        <w:rPr>
          <w:rFonts w:cs="Arial"/>
        </w:rPr>
        <w:t>4.6</w:t>
      </w:r>
      <w:r w:rsidR="000A1B9B" w:rsidRPr="000A53C0">
        <w:rPr>
          <w:rFonts w:cs="Arial"/>
        </w:rPr>
        <w:fldChar w:fldCharType="end"/>
      </w:r>
      <w:r w:rsidR="000A1B9B" w:rsidRPr="000A53C0">
        <w:rPr>
          <w:rFonts w:cs="Arial"/>
        </w:rPr>
        <w:t xml:space="preserve">. </w:t>
      </w:r>
      <w:r w:rsidR="00B27B88" w:rsidRPr="000A53C0">
        <w:rPr>
          <w:rFonts w:cs="Arial"/>
        </w:rPr>
        <w:t>Calculations for all cost tables presented in this chapter are provided in Appendix B.</w:t>
      </w:r>
    </w:p>
    <w:p w14:paraId="402DBE98" w14:textId="77777777" w:rsidR="00B27B88" w:rsidRPr="000A53C0" w:rsidRDefault="00B27B88" w:rsidP="00B27B88">
      <w:pPr>
        <w:rPr>
          <w:rFonts w:cs="Arial"/>
        </w:rPr>
      </w:pPr>
    </w:p>
    <w:p w14:paraId="35F59261" w14:textId="64298D84" w:rsidR="00B27B88" w:rsidRPr="000A53C0" w:rsidRDefault="00B27B88" w:rsidP="00B27B88">
      <w:pPr>
        <w:pStyle w:val="Caption"/>
        <w:rPr>
          <w:rFonts w:cs="Arial"/>
        </w:rPr>
      </w:pPr>
      <w:bookmarkStart w:id="126" w:name="_Ref140668793"/>
      <w:r w:rsidRPr="00185629">
        <w:rPr>
          <w:rFonts w:cs="Arial"/>
          <w:b/>
          <w:bCs/>
        </w:rPr>
        <w:lastRenderedPageBreak/>
        <w:t xml:space="preserve">Table </w:t>
      </w:r>
      <w:r w:rsidRPr="00185629">
        <w:rPr>
          <w:rFonts w:cs="Arial"/>
          <w:b/>
          <w:bCs/>
        </w:rPr>
        <w:fldChar w:fldCharType="begin"/>
      </w:r>
      <w:r w:rsidRPr="00185629">
        <w:rPr>
          <w:rFonts w:cs="Arial"/>
          <w:b/>
          <w:bCs/>
        </w:rPr>
        <w:instrText>SEQ Table \* ARABIC</w:instrText>
      </w:r>
      <w:r w:rsidRPr="00185629">
        <w:rPr>
          <w:rFonts w:cs="Arial"/>
          <w:b/>
          <w:bCs/>
        </w:rPr>
        <w:fldChar w:fldCharType="separate"/>
      </w:r>
      <w:r w:rsidR="00D16271">
        <w:rPr>
          <w:rFonts w:cs="Arial"/>
          <w:b/>
          <w:bCs/>
          <w:noProof/>
        </w:rPr>
        <w:t>7</w:t>
      </w:r>
      <w:r w:rsidRPr="00185629">
        <w:rPr>
          <w:rFonts w:cs="Arial"/>
          <w:b/>
          <w:bCs/>
        </w:rPr>
        <w:fldChar w:fldCharType="end"/>
      </w:r>
      <w:bookmarkEnd w:id="126"/>
      <w:r w:rsidRPr="000A53C0">
        <w:rPr>
          <w:rFonts w:cs="Arial"/>
        </w:rPr>
        <w:t xml:space="preserve"> Further breakdown of the estimated cost for </w:t>
      </w:r>
      <w:r w:rsidR="00AA6200" w:rsidRPr="000A53C0">
        <w:rPr>
          <w:rFonts w:cs="Arial"/>
        </w:rPr>
        <w:t>p</w:t>
      </w:r>
      <w:r w:rsidRPr="000A53C0">
        <w:rPr>
          <w:rFonts w:cs="Arial"/>
        </w:rPr>
        <w:t xml:space="preserve">rohibition </w:t>
      </w:r>
      <w:r w:rsidR="00AA6200" w:rsidRPr="000A53C0">
        <w:rPr>
          <w:rFonts w:cs="Arial"/>
        </w:rPr>
        <w:t>o</w:t>
      </w:r>
      <w:r w:rsidRPr="000A53C0">
        <w:rPr>
          <w:rFonts w:cs="Arial"/>
        </w:rPr>
        <w:t xml:space="preserve">ptions over </w:t>
      </w:r>
      <w:r w:rsidR="00AA6200" w:rsidRPr="000A53C0">
        <w:rPr>
          <w:rFonts w:cs="Arial"/>
        </w:rPr>
        <w:t>appraisal</w:t>
      </w:r>
      <w:r w:rsidRPr="000A53C0">
        <w:rPr>
          <w:rFonts w:cs="Arial"/>
        </w:rPr>
        <w:t xml:space="preserve"> period ($m)</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8"/>
        <w:gridCol w:w="2548"/>
        <w:gridCol w:w="2549"/>
        <w:gridCol w:w="2549"/>
      </w:tblGrid>
      <w:tr w:rsidR="00B27B88" w:rsidRPr="000A53C0" w14:paraId="05687FB8" w14:textId="77777777" w:rsidTr="00185629">
        <w:trPr>
          <w:trHeight w:val="570"/>
          <w:tblHeader/>
        </w:trPr>
        <w:tc>
          <w:tcPr>
            <w:tcW w:w="1250" w:type="pct"/>
            <w:shd w:val="clear" w:color="auto" w:fill="E81D32"/>
            <w:vAlign w:val="center"/>
          </w:tcPr>
          <w:p w14:paraId="28FD5FD1" w14:textId="77777777" w:rsidR="00B27B88" w:rsidRPr="00185629" w:rsidRDefault="00B27B88" w:rsidP="00185629">
            <w:pPr>
              <w:pStyle w:val="TableHeading"/>
              <w:keepNext/>
              <w:keepLines/>
              <w:spacing w:before="0" w:after="0"/>
              <w:jc w:val="center"/>
              <w:rPr>
                <w:rFonts w:ascii="Arial" w:hAnsi="Arial" w:cs="Arial"/>
                <w:color w:val="FFFFFF" w:themeColor="background1"/>
              </w:rPr>
            </w:pPr>
          </w:p>
        </w:tc>
        <w:tc>
          <w:tcPr>
            <w:tcW w:w="1250" w:type="pct"/>
            <w:shd w:val="clear" w:color="auto" w:fill="E81D32"/>
            <w:vAlign w:val="center"/>
          </w:tcPr>
          <w:p w14:paraId="1B51A0D5" w14:textId="77777777" w:rsidR="00B27B88" w:rsidRPr="00185629" w:rsidRDefault="00B27B88" w:rsidP="00185629">
            <w:pPr>
              <w:pStyle w:val="TableHeading"/>
              <w:keepNext/>
              <w:keepLines/>
              <w:spacing w:before="0" w:after="0"/>
              <w:jc w:val="center"/>
              <w:rPr>
                <w:rFonts w:ascii="Arial" w:hAnsi="Arial" w:cs="Arial"/>
                <w:color w:val="FFFFFF" w:themeColor="background1"/>
              </w:rPr>
            </w:pPr>
            <w:r w:rsidRPr="00185629">
              <w:rPr>
                <w:rFonts w:ascii="Arial" w:hAnsi="Arial" w:cs="Arial"/>
                <w:color w:val="FFFFFF" w:themeColor="background1"/>
              </w:rPr>
              <w:t>Option 1</w:t>
            </w:r>
          </w:p>
        </w:tc>
        <w:tc>
          <w:tcPr>
            <w:tcW w:w="1250" w:type="pct"/>
            <w:shd w:val="clear" w:color="auto" w:fill="E81D32"/>
            <w:vAlign w:val="center"/>
          </w:tcPr>
          <w:p w14:paraId="2593BEEE" w14:textId="77777777" w:rsidR="00B27B88" w:rsidRPr="00185629" w:rsidRDefault="00B27B88" w:rsidP="00185629">
            <w:pPr>
              <w:pStyle w:val="TableHeading"/>
              <w:keepNext/>
              <w:keepLines/>
              <w:spacing w:before="0" w:after="0"/>
              <w:jc w:val="center"/>
              <w:rPr>
                <w:rFonts w:ascii="Arial" w:hAnsi="Arial" w:cs="Arial"/>
                <w:color w:val="FFFFFF" w:themeColor="background1"/>
              </w:rPr>
            </w:pPr>
            <w:r w:rsidRPr="00185629">
              <w:rPr>
                <w:rFonts w:ascii="Arial" w:hAnsi="Arial" w:cs="Arial"/>
                <w:color w:val="FFFFFF" w:themeColor="background1"/>
              </w:rPr>
              <w:t>Option 2</w:t>
            </w:r>
          </w:p>
        </w:tc>
        <w:tc>
          <w:tcPr>
            <w:tcW w:w="1250" w:type="pct"/>
            <w:shd w:val="clear" w:color="auto" w:fill="E81D32"/>
            <w:vAlign w:val="center"/>
          </w:tcPr>
          <w:p w14:paraId="3010891A" w14:textId="77777777" w:rsidR="00B27B88" w:rsidRPr="00185629" w:rsidRDefault="00B27B88" w:rsidP="00185629">
            <w:pPr>
              <w:pStyle w:val="TableHeading"/>
              <w:keepNext/>
              <w:keepLines/>
              <w:spacing w:before="0" w:after="0"/>
              <w:jc w:val="center"/>
              <w:rPr>
                <w:rFonts w:ascii="Arial" w:hAnsi="Arial" w:cs="Arial"/>
                <w:color w:val="FFFFFF" w:themeColor="background1"/>
              </w:rPr>
            </w:pPr>
            <w:r w:rsidRPr="00185629">
              <w:rPr>
                <w:rFonts w:ascii="Arial" w:hAnsi="Arial" w:cs="Arial"/>
                <w:color w:val="FFFFFF" w:themeColor="background1"/>
              </w:rPr>
              <w:t>Option 3</w:t>
            </w:r>
          </w:p>
        </w:tc>
      </w:tr>
      <w:tr w:rsidR="00B27B88" w:rsidRPr="000A53C0" w14:paraId="173E13DD" w14:textId="77777777">
        <w:trPr>
          <w:trHeight w:val="355"/>
        </w:trPr>
        <w:tc>
          <w:tcPr>
            <w:tcW w:w="5000" w:type="pct"/>
            <w:gridSpan w:val="4"/>
            <w:shd w:val="clear" w:color="auto" w:fill="F2F2F2" w:themeFill="background1" w:themeFillShade="F2"/>
            <w:vAlign w:val="center"/>
          </w:tcPr>
          <w:p w14:paraId="14F85E15" w14:textId="09B9C470" w:rsidR="00B27B88" w:rsidRPr="000A53C0" w:rsidRDefault="00B27B88">
            <w:pPr>
              <w:pStyle w:val="TableBody"/>
              <w:keepNext/>
              <w:keepLines/>
              <w:rPr>
                <w:rFonts w:cs="Arial"/>
                <w:b/>
                <w:bCs/>
                <w:color w:val="000000"/>
                <w:szCs w:val="18"/>
              </w:rPr>
            </w:pPr>
            <w:r w:rsidRPr="000A53C0">
              <w:rPr>
                <w:rFonts w:cs="Arial"/>
                <w:b/>
                <w:bCs/>
                <w:szCs w:val="18"/>
              </w:rPr>
              <w:t>Licensing framework for work with legacy products</w:t>
            </w:r>
            <w:r w:rsidR="00505069" w:rsidRPr="000A53C0">
              <w:rPr>
                <w:rFonts w:cs="Arial"/>
                <w:b/>
                <w:bCs/>
                <w:szCs w:val="18"/>
              </w:rPr>
              <w:t xml:space="preserve"> </w:t>
            </w:r>
            <w:r w:rsidRPr="000A53C0">
              <w:rPr>
                <w:rFonts w:cs="Arial"/>
                <w:b/>
                <w:bCs/>
                <w:szCs w:val="18"/>
              </w:rPr>
              <w:t>(other industry PCBUs)</w:t>
            </w:r>
          </w:p>
        </w:tc>
      </w:tr>
      <w:tr w:rsidR="00B27B88" w:rsidRPr="000A53C0" w14:paraId="7F195A15" w14:textId="77777777">
        <w:trPr>
          <w:trHeight w:val="355"/>
        </w:trPr>
        <w:tc>
          <w:tcPr>
            <w:tcW w:w="1250" w:type="pct"/>
            <w:shd w:val="clear" w:color="auto" w:fill="auto"/>
          </w:tcPr>
          <w:p w14:paraId="438CBCA8" w14:textId="77777777" w:rsidR="00B27B88" w:rsidRPr="000A53C0" w:rsidRDefault="00B27B88">
            <w:pPr>
              <w:pStyle w:val="TableBody"/>
              <w:keepNext/>
              <w:keepLines/>
              <w:rPr>
                <w:rFonts w:cs="Arial"/>
              </w:rPr>
            </w:pPr>
            <w:r w:rsidRPr="000A53C0">
              <w:rPr>
                <w:rFonts w:cs="Arial"/>
                <w:szCs w:val="18"/>
              </w:rPr>
              <w:t>Cost to PCBUs</w:t>
            </w:r>
          </w:p>
        </w:tc>
        <w:tc>
          <w:tcPr>
            <w:tcW w:w="1250" w:type="pct"/>
            <w:vAlign w:val="center"/>
          </w:tcPr>
          <w:p w14:paraId="092E5BCA" w14:textId="77777777" w:rsidR="00B27B88" w:rsidRPr="000A53C0" w:rsidRDefault="00B27B88">
            <w:pPr>
              <w:pStyle w:val="TableBody"/>
              <w:keepNext/>
              <w:keepLines/>
              <w:jc w:val="center"/>
              <w:rPr>
                <w:rFonts w:cs="Arial"/>
                <w:color w:val="000000"/>
                <w:szCs w:val="18"/>
                <w:highlight w:val="green"/>
              </w:rPr>
            </w:pPr>
            <w:r w:rsidRPr="000A53C0">
              <w:rPr>
                <w:rFonts w:cs="Arial"/>
                <w:color w:val="000000"/>
                <w:szCs w:val="18"/>
              </w:rPr>
              <w:t>$133.0</w:t>
            </w:r>
          </w:p>
        </w:tc>
        <w:tc>
          <w:tcPr>
            <w:tcW w:w="1250" w:type="pct"/>
            <w:vAlign w:val="center"/>
          </w:tcPr>
          <w:p w14:paraId="5284174B" w14:textId="77777777" w:rsidR="00B27B88" w:rsidRPr="000A53C0" w:rsidRDefault="00B27B88">
            <w:pPr>
              <w:pStyle w:val="TableBody"/>
              <w:keepNext/>
              <w:keepLines/>
              <w:jc w:val="center"/>
              <w:rPr>
                <w:rFonts w:cs="Arial"/>
              </w:rPr>
            </w:pPr>
            <w:r w:rsidRPr="000A53C0">
              <w:rPr>
                <w:rFonts w:cs="Arial"/>
                <w:color w:val="000000"/>
                <w:szCs w:val="18"/>
              </w:rPr>
              <w:t>$133.0</w:t>
            </w:r>
          </w:p>
        </w:tc>
        <w:tc>
          <w:tcPr>
            <w:tcW w:w="1250" w:type="pct"/>
            <w:vAlign w:val="center"/>
          </w:tcPr>
          <w:p w14:paraId="307E79F4" w14:textId="77777777" w:rsidR="00B27B88" w:rsidRPr="000A53C0" w:rsidRDefault="00B27B88">
            <w:pPr>
              <w:pStyle w:val="TableBody"/>
              <w:keepNext/>
              <w:keepLines/>
              <w:jc w:val="center"/>
              <w:rPr>
                <w:rFonts w:cs="Arial"/>
              </w:rPr>
            </w:pPr>
            <w:r w:rsidRPr="000A53C0">
              <w:rPr>
                <w:rFonts w:cs="Arial"/>
                <w:color w:val="000000"/>
                <w:szCs w:val="18"/>
              </w:rPr>
              <w:t>$133.0</w:t>
            </w:r>
          </w:p>
        </w:tc>
      </w:tr>
      <w:tr w:rsidR="00B27B88" w:rsidRPr="000A53C0" w14:paraId="746D3CC2" w14:textId="77777777">
        <w:trPr>
          <w:trHeight w:val="355"/>
        </w:trPr>
        <w:tc>
          <w:tcPr>
            <w:tcW w:w="1250" w:type="pct"/>
            <w:shd w:val="clear" w:color="auto" w:fill="auto"/>
          </w:tcPr>
          <w:p w14:paraId="0AA1CCAC" w14:textId="77777777" w:rsidR="00B27B88" w:rsidRPr="000A53C0" w:rsidRDefault="00B27B88">
            <w:pPr>
              <w:pStyle w:val="TableBody"/>
              <w:keepNext/>
              <w:keepLines/>
              <w:rPr>
                <w:rFonts w:cs="Arial"/>
              </w:rPr>
            </w:pPr>
            <w:r w:rsidRPr="000A53C0">
              <w:rPr>
                <w:rFonts w:cs="Arial"/>
              </w:rPr>
              <w:t>Cost to government</w:t>
            </w:r>
          </w:p>
        </w:tc>
        <w:tc>
          <w:tcPr>
            <w:tcW w:w="1250" w:type="pct"/>
            <w:vAlign w:val="center"/>
          </w:tcPr>
          <w:p w14:paraId="7C358B78" w14:textId="77777777" w:rsidR="00B27B88" w:rsidRPr="000A53C0" w:rsidRDefault="00B27B88">
            <w:pPr>
              <w:pStyle w:val="TableBody"/>
              <w:keepNext/>
              <w:keepLines/>
              <w:jc w:val="center"/>
              <w:rPr>
                <w:rFonts w:cs="Arial"/>
                <w:color w:val="000000"/>
                <w:szCs w:val="18"/>
                <w:highlight w:val="green"/>
              </w:rPr>
            </w:pPr>
            <w:r w:rsidRPr="000A53C0">
              <w:rPr>
                <w:rFonts w:cs="Arial"/>
                <w:color w:val="000000"/>
                <w:szCs w:val="18"/>
              </w:rPr>
              <w:t>$107.5</w:t>
            </w:r>
          </w:p>
        </w:tc>
        <w:tc>
          <w:tcPr>
            <w:tcW w:w="1250" w:type="pct"/>
            <w:vAlign w:val="center"/>
          </w:tcPr>
          <w:p w14:paraId="2D346225" w14:textId="77777777" w:rsidR="00B27B88" w:rsidRPr="000A53C0" w:rsidRDefault="00B27B88">
            <w:pPr>
              <w:pStyle w:val="TableBody"/>
              <w:keepNext/>
              <w:keepLines/>
              <w:jc w:val="center"/>
              <w:rPr>
                <w:rFonts w:cs="Arial"/>
              </w:rPr>
            </w:pPr>
            <w:r w:rsidRPr="000A53C0">
              <w:rPr>
                <w:rFonts w:cs="Arial"/>
                <w:color w:val="000000"/>
                <w:szCs w:val="18"/>
              </w:rPr>
              <w:t>$107.5</w:t>
            </w:r>
          </w:p>
        </w:tc>
        <w:tc>
          <w:tcPr>
            <w:tcW w:w="1250" w:type="pct"/>
            <w:vAlign w:val="center"/>
          </w:tcPr>
          <w:p w14:paraId="4DA6007B" w14:textId="77777777" w:rsidR="00B27B88" w:rsidRPr="000A53C0" w:rsidRDefault="00B27B88">
            <w:pPr>
              <w:pStyle w:val="TableBody"/>
              <w:keepNext/>
              <w:keepLines/>
              <w:jc w:val="center"/>
              <w:rPr>
                <w:rFonts w:cs="Arial"/>
              </w:rPr>
            </w:pPr>
            <w:r w:rsidRPr="000A53C0">
              <w:rPr>
                <w:rFonts w:cs="Arial"/>
              </w:rPr>
              <w:t>$107.5</w:t>
            </w:r>
          </w:p>
        </w:tc>
      </w:tr>
      <w:tr w:rsidR="00B27B88" w:rsidRPr="000A53C0" w14:paraId="5573C8F3" w14:textId="77777777">
        <w:trPr>
          <w:trHeight w:val="355"/>
        </w:trPr>
        <w:tc>
          <w:tcPr>
            <w:tcW w:w="1250" w:type="pct"/>
            <w:shd w:val="clear" w:color="auto" w:fill="D9D9D9" w:themeFill="background1" w:themeFillShade="D9"/>
            <w:vAlign w:val="center"/>
          </w:tcPr>
          <w:p w14:paraId="1DC0C2A8" w14:textId="77777777" w:rsidR="00B27B88" w:rsidRPr="000A53C0" w:rsidRDefault="00B27B88">
            <w:pPr>
              <w:pStyle w:val="TableBody"/>
              <w:keepNext/>
              <w:keepLines/>
              <w:rPr>
                <w:rFonts w:cs="Arial"/>
                <w:b/>
              </w:rPr>
            </w:pPr>
            <w:r w:rsidRPr="000A53C0">
              <w:rPr>
                <w:rFonts w:cs="Arial"/>
                <w:b/>
              </w:rPr>
              <w:t xml:space="preserve">Sub Total </w:t>
            </w:r>
          </w:p>
        </w:tc>
        <w:tc>
          <w:tcPr>
            <w:tcW w:w="1250" w:type="pct"/>
            <w:shd w:val="clear" w:color="auto" w:fill="D9D9D9" w:themeFill="background1" w:themeFillShade="D9"/>
            <w:vAlign w:val="center"/>
          </w:tcPr>
          <w:p w14:paraId="06F87B54" w14:textId="77777777" w:rsidR="00B27B88" w:rsidRPr="000A53C0" w:rsidRDefault="00B27B88">
            <w:pPr>
              <w:pStyle w:val="TableBody"/>
              <w:keepNext/>
              <w:keepLines/>
              <w:jc w:val="center"/>
              <w:rPr>
                <w:rFonts w:cs="Arial"/>
                <w:b/>
                <w:color w:val="000000"/>
                <w:szCs w:val="18"/>
                <w:highlight w:val="green"/>
              </w:rPr>
            </w:pPr>
            <w:r w:rsidRPr="000A53C0">
              <w:rPr>
                <w:rFonts w:cs="Arial"/>
                <w:b/>
                <w:bCs/>
                <w:color w:val="000000"/>
                <w:szCs w:val="18"/>
              </w:rPr>
              <w:t>$240.5</w:t>
            </w:r>
          </w:p>
        </w:tc>
        <w:tc>
          <w:tcPr>
            <w:tcW w:w="1250" w:type="pct"/>
            <w:shd w:val="clear" w:color="auto" w:fill="D9D9D9" w:themeFill="background1" w:themeFillShade="D9"/>
            <w:vAlign w:val="center"/>
          </w:tcPr>
          <w:p w14:paraId="05A00642" w14:textId="77777777" w:rsidR="00B27B88" w:rsidRPr="000A53C0" w:rsidRDefault="00B27B88">
            <w:pPr>
              <w:pStyle w:val="TableBody"/>
              <w:keepNext/>
              <w:keepLines/>
              <w:jc w:val="center"/>
              <w:rPr>
                <w:rFonts w:cs="Arial"/>
                <w:b/>
              </w:rPr>
            </w:pPr>
            <w:r w:rsidRPr="000A53C0">
              <w:rPr>
                <w:rFonts w:cs="Arial"/>
                <w:b/>
                <w:bCs/>
                <w:color w:val="000000"/>
                <w:szCs w:val="18"/>
              </w:rPr>
              <w:t>$240.5</w:t>
            </w:r>
          </w:p>
        </w:tc>
        <w:tc>
          <w:tcPr>
            <w:tcW w:w="1250" w:type="pct"/>
            <w:shd w:val="clear" w:color="auto" w:fill="D9D9D9" w:themeFill="background1" w:themeFillShade="D9"/>
            <w:vAlign w:val="center"/>
          </w:tcPr>
          <w:p w14:paraId="671CC30D" w14:textId="77777777" w:rsidR="00B27B88" w:rsidRPr="000A53C0" w:rsidRDefault="00B27B88">
            <w:pPr>
              <w:pStyle w:val="TableBody"/>
              <w:keepNext/>
              <w:keepLines/>
              <w:jc w:val="center"/>
              <w:rPr>
                <w:rFonts w:cs="Arial"/>
                <w:b/>
              </w:rPr>
            </w:pPr>
            <w:r w:rsidRPr="000A53C0">
              <w:rPr>
                <w:rFonts w:cs="Arial"/>
                <w:b/>
                <w:bCs/>
                <w:color w:val="000000"/>
                <w:szCs w:val="18"/>
              </w:rPr>
              <w:t>$240.5</w:t>
            </w:r>
          </w:p>
        </w:tc>
      </w:tr>
      <w:tr w:rsidR="00B27B88" w:rsidRPr="000A53C0" w14:paraId="40BC8BA2" w14:textId="77777777">
        <w:trPr>
          <w:trHeight w:val="355"/>
        </w:trPr>
        <w:tc>
          <w:tcPr>
            <w:tcW w:w="1250" w:type="pct"/>
            <w:shd w:val="clear" w:color="auto" w:fill="D9D9D9" w:themeFill="background1" w:themeFillShade="D9"/>
            <w:vAlign w:val="center"/>
          </w:tcPr>
          <w:p w14:paraId="55F0FC73" w14:textId="77777777" w:rsidR="00B27B88" w:rsidRPr="000A53C0" w:rsidRDefault="00B27B88">
            <w:pPr>
              <w:pStyle w:val="TableBody"/>
              <w:keepNext/>
              <w:keepLines/>
              <w:rPr>
                <w:rFonts w:cs="Arial"/>
                <w:b/>
              </w:rPr>
            </w:pPr>
            <w:r w:rsidRPr="000A53C0">
              <w:rPr>
                <w:rFonts w:cs="Arial"/>
                <w:b/>
              </w:rPr>
              <w:t>% Total option costs</w:t>
            </w:r>
          </w:p>
        </w:tc>
        <w:tc>
          <w:tcPr>
            <w:tcW w:w="1250" w:type="pct"/>
            <w:shd w:val="clear" w:color="auto" w:fill="D9D9D9" w:themeFill="background1" w:themeFillShade="D9"/>
          </w:tcPr>
          <w:p w14:paraId="1911B061" w14:textId="77777777" w:rsidR="00B27B88" w:rsidRPr="000A53C0" w:rsidRDefault="00B27B88">
            <w:pPr>
              <w:pStyle w:val="TableBody"/>
              <w:keepNext/>
              <w:keepLines/>
              <w:jc w:val="center"/>
              <w:rPr>
                <w:rFonts w:cs="Arial"/>
                <w:b/>
                <w:bCs/>
                <w:color w:val="000000"/>
                <w:szCs w:val="18"/>
              </w:rPr>
            </w:pPr>
            <w:r w:rsidRPr="000A53C0">
              <w:rPr>
                <w:rFonts w:cs="Arial"/>
                <w:b/>
                <w:color w:val="000000"/>
                <w:szCs w:val="18"/>
              </w:rPr>
              <w:t>96%</w:t>
            </w:r>
          </w:p>
        </w:tc>
        <w:tc>
          <w:tcPr>
            <w:tcW w:w="1250" w:type="pct"/>
            <w:shd w:val="clear" w:color="auto" w:fill="D9D9D9" w:themeFill="background1" w:themeFillShade="D9"/>
          </w:tcPr>
          <w:p w14:paraId="56A84298" w14:textId="77777777" w:rsidR="00B27B88" w:rsidRPr="000A53C0" w:rsidRDefault="00B27B88">
            <w:pPr>
              <w:pStyle w:val="TableBody"/>
              <w:keepNext/>
              <w:keepLines/>
              <w:jc w:val="center"/>
              <w:rPr>
                <w:rFonts w:cs="Arial"/>
                <w:b/>
                <w:bCs/>
                <w:color w:val="000000"/>
                <w:szCs w:val="18"/>
              </w:rPr>
            </w:pPr>
            <w:r w:rsidRPr="000A53C0">
              <w:rPr>
                <w:rFonts w:cs="Arial"/>
                <w:b/>
                <w:color w:val="000000"/>
                <w:szCs w:val="18"/>
              </w:rPr>
              <w:t>100%</w:t>
            </w:r>
          </w:p>
        </w:tc>
        <w:tc>
          <w:tcPr>
            <w:tcW w:w="1250" w:type="pct"/>
            <w:shd w:val="clear" w:color="auto" w:fill="D9D9D9" w:themeFill="background1" w:themeFillShade="D9"/>
          </w:tcPr>
          <w:p w14:paraId="100F9464" w14:textId="77777777" w:rsidR="00B27B88" w:rsidRPr="000A53C0" w:rsidRDefault="00B27B88">
            <w:pPr>
              <w:pStyle w:val="TableBody"/>
              <w:keepNext/>
              <w:keepLines/>
              <w:jc w:val="center"/>
              <w:rPr>
                <w:rFonts w:cs="Arial"/>
                <w:b/>
                <w:bCs/>
                <w:color w:val="000000"/>
                <w:szCs w:val="18"/>
              </w:rPr>
            </w:pPr>
            <w:r w:rsidRPr="000A53C0">
              <w:rPr>
                <w:rFonts w:cs="Arial"/>
                <w:b/>
                <w:color w:val="000000"/>
                <w:szCs w:val="18"/>
              </w:rPr>
              <w:t>96%</w:t>
            </w:r>
          </w:p>
        </w:tc>
      </w:tr>
      <w:tr w:rsidR="00B27B88" w:rsidRPr="000A53C0" w14:paraId="337418D9" w14:textId="77777777">
        <w:trPr>
          <w:trHeight w:val="355"/>
        </w:trPr>
        <w:tc>
          <w:tcPr>
            <w:tcW w:w="5000" w:type="pct"/>
            <w:gridSpan w:val="4"/>
            <w:shd w:val="clear" w:color="auto" w:fill="F2F2F2" w:themeFill="background1" w:themeFillShade="F2"/>
            <w:vAlign w:val="center"/>
          </w:tcPr>
          <w:p w14:paraId="1C458E62" w14:textId="77777777" w:rsidR="00B27B88" w:rsidRPr="000A53C0" w:rsidRDefault="00B27B88">
            <w:pPr>
              <w:pStyle w:val="TableBody"/>
              <w:keepNext/>
              <w:keepLines/>
              <w:rPr>
                <w:rFonts w:cs="Arial"/>
                <w:b/>
                <w:bCs/>
                <w:color w:val="000000"/>
                <w:szCs w:val="18"/>
              </w:rPr>
            </w:pPr>
            <w:r w:rsidRPr="000A53C0">
              <w:rPr>
                <w:rFonts w:cs="Arial"/>
                <w:b/>
              </w:rPr>
              <w:t>Option-specific costs (engineered stone PCBUs)</w:t>
            </w:r>
          </w:p>
        </w:tc>
      </w:tr>
      <w:tr w:rsidR="00B27B88" w:rsidRPr="000A53C0" w14:paraId="739B0CD9" w14:textId="77777777">
        <w:trPr>
          <w:trHeight w:val="355"/>
        </w:trPr>
        <w:tc>
          <w:tcPr>
            <w:tcW w:w="1250" w:type="pct"/>
            <w:shd w:val="clear" w:color="auto" w:fill="auto"/>
          </w:tcPr>
          <w:p w14:paraId="07EA0F1B" w14:textId="77777777" w:rsidR="00B27B88" w:rsidRPr="000A53C0" w:rsidRDefault="00B27B88">
            <w:pPr>
              <w:pStyle w:val="TableBody"/>
              <w:keepNext/>
              <w:keepLines/>
              <w:rPr>
                <w:rFonts w:cs="Arial"/>
                <w:b/>
              </w:rPr>
            </w:pPr>
            <w:r w:rsidRPr="000A53C0">
              <w:rPr>
                <w:rFonts w:cs="Arial"/>
                <w:szCs w:val="18"/>
              </w:rPr>
              <w:t>Cost to PCBUs</w:t>
            </w:r>
          </w:p>
        </w:tc>
        <w:tc>
          <w:tcPr>
            <w:tcW w:w="1250" w:type="pct"/>
            <w:shd w:val="clear" w:color="auto" w:fill="auto"/>
            <w:vAlign w:val="center"/>
          </w:tcPr>
          <w:p w14:paraId="39524338" w14:textId="77777777" w:rsidR="00B27B88" w:rsidRPr="000A53C0" w:rsidRDefault="00B27B88">
            <w:pPr>
              <w:pStyle w:val="TableBody"/>
              <w:keepNext/>
              <w:keepLines/>
              <w:jc w:val="center"/>
              <w:rPr>
                <w:rFonts w:cs="Arial"/>
                <w:color w:val="000000"/>
                <w:szCs w:val="18"/>
              </w:rPr>
            </w:pPr>
            <w:r w:rsidRPr="000A53C0">
              <w:rPr>
                <w:rFonts w:cs="Arial"/>
                <w:color w:val="000000"/>
                <w:szCs w:val="18"/>
              </w:rPr>
              <w:t>$6.9</w:t>
            </w:r>
          </w:p>
        </w:tc>
        <w:tc>
          <w:tcPr>
            <w:tcW w:w="1250" w:type="pct"/>
            <w:shd w:val="clear" w:color="auto" w:fill="auto"/>
            <w:vAlign w:val="center"/>
          </w:tcPr>
          <w:p w14:paraId="23E98EF7" w14:textId="77777777" w:rsidR="00B27B88" w:rsidRPr="000A53C0" w:rsidRDefault="00B27B88">
            <w:pPr>
              <w:pStyle w:val="TableBody"/>
              <w:keepNext/>
              <w:keepLines/>
              <w:jc w:val="center"/>
              <w:rPr>
                <w:rFonts w:cs="Arial"/>
                <w:color w:val="000000"/>
                <w:szCs w:val="18"/>
              </w:rPr>
            </w:pPr>
            <w:r w:rsidRPr="000A53C0">
              <w:rPr>
                <w:rFonts w:cs="Arial"/>
                <w:color w:val="000000"/>
                <w:szCs w:val="18"/>
              </w:rPr>
              <w:t>$0</w:t>
            </w:r>
          </w:p>
        </w:tc>
        <w:tc>
          <w:tcPr>
            <w:tcW w:w="1250" w:type="pct"/>
            <w:shd w:val="clear" w:color="auto" w:fill="auto"/>
            <w:vAlign w:val="center"/>
          </w:tcPr>
          <w:p w14:paraId="521E687B" w14:textId="77777777" w:rsidR="00B27B88" w:rsidRPr="000A53C0" w:rsidRDefault="00B27B88">
            <w:pPr>
              <w:pStyle w:val="TableBody"/>
              <w:keepNext/>
              <w:keepLines/>
              <w:jc w:val="center"/>
              <w:rPr>
                <w:rFonts w:cs="Arial"/>
                <w:color w:val="000000"/>
                <w:szCs w:val="18"/>
              </w:rPr>
            </w:pPr>
            <w:r w:rsidRPr="000A53C0">
              <w:rPr>
                <w:rFonts w:cs="Arial"/>
                <w:color w:val="000000"/>
                <w:szCs w:val="18"/>
              </w:rPr>
              <w:t>$4.2</w:t>
            </w:r>
          </w:p>
        </w:tc>
      </w:tr>
      <w:tr w:rsidR="00B27B88" w:rsidRPr="000A53C0" w14:paraId="2CDA2ADA" w14:textId="77777777">
        <w:trPr>
          <w:trHeight w:val="355"/>
        </w:trPr>
        <w:tc>
          <w:tcPr>
            <w:tcW w:w="1250" w:type="pct"/>
            <w:shd w:val="clear" w:color="auto" w:fill="auto"/>
          </w:tcPr>
          <w:p w14:paraId="1E48DCB1" w14:textId="77777777" w:rsidR="00B27B88" w:rsidRPr="000A53C0" w:rsidRDefault="00B27B88">
            <w:pPr>
              <w:pStyle w:val="TableBody"/>
              <w:keepNext/>
              <w:keepLines/>
              <w:rPr>
                <w:rFonts w:cs="Arial"/>
                <w:b/>
              </w:rPr>
            </w:pPr>
            <w:r w:rsidRPr="000A53C0">
              <w:rPr>
                <w:rFonts w:cs="Arial"/>
              </w:rPr>
              <w:t>Cost to government</w:t>
            </w:r>
          </w:p>
        </w:tc>
        <w:tc>
          <w:tcPr>
            <w:tcW w:w="1250" w:type="pct"/>
            <w:shd w:val="clear" w:color="auto" w:fill="auto"/>
            <w:vAlign w:val="center"/>
          </w:tcPr>
          <w:p w14:paraId="6C472F84" w14:textId="77777777" w:rsidR="00B27B88" w:rsidRPr="000A53C0" w:rsidRDefault="00B27B88">
            <w:pPr>
              <w:pStyle w:val="TableBody"/>
              <w:keepNext/>
              <w:keepLines/>
              <w:jc w:val="center"/>
              <w:rPr>
                <w:rFonts w:cs="Arial"/>
                <w:color w:val="000000"/>
                <w:szCs w:val="18"/>
              </w:rPr>
            </w:pPr>
            <w:r w:rsidRPr="000A53C0">
              <w:rPr>
                <w:rFonts w:cs="Arial"/>
                <w:color w:val="000000"/>
                <w:szCs w:val="18"/>
              </w:rPr>
              <w:t>$0.7</w:t>
            </w:r>
          </w:p>
        </w:tc>
        <w:tc>
          <w:tcPr>
            <w:tcW w:w="1250" w:type="pct"/>
            <w:shd w:val="clear" w:color="auto" w:fill="auto"/>
            <w:vAlign w:val="center"/>
          </w:tcPr>
          <w:p w14:paraId="01F6C428" w14:textId="77777777" w:rsidR="00B27B88" w:rsidRPr="000A53C0" w:rsidRDefault="00B27B88">
            <w:pPr>
              <w:pStyle w:val="TableBody"/>
              <w:keepNext/>
              <w:keepLines/>
              <w:jc w:val="center"/>
              <w:rPr>
                <w:rFonts w:cs="Arial"/>
                <w:color w:val="000000"/>
                <w:szCs w:val="18"/>
              </w:rPr>
            </w:pPr>
            <w:r w:rsidRPr="000A53C0">
              <w:rPr>
                <w:rFonts w:cs="Arial"/>
                <w:color w:val="000000"/>
                <w:szCs w:val="18"/>
              </w:rPr>
              <w:t>$0</w:t>
            </w:r>
          </w:p>
        </w:tc>
        <w:tc>
          <w:tcPr>
            <w:tcW w:w="1250" w:type="pct"/>
            <w:shd w:val="clear" w:color="auto" w:fill="auto"/>
            <w:vAlign w:val="center"/>
          </w:tcPr>
          <w:p w14:paraId="72CFE6E7" w14:textId="77777777" w:rsidR="00B27B88" w:rsidRPr="000A53C0" w:rsidRDefault="00B27B88">
            <w:pPr>
              <w:pStyle w:val="TableBody"/>
              <w:keepNext/>
              <w:keepLines/>
              <w:jc w:val="center"/>
              <w:rPr>
                <w:rFonts w:cs="Arial"/>
                <w:color w:val="000000"/>
                <w:szCs w:val="18"/>
              </w:rPr>
            </w:pPr>
            <w:r w:rsidRPr="000A53C0">
              <w:rPr>
                <w:rFonts w:cs="Arial"/>
                <w:color w:val="000000"/>
                <w:szCs w:val="18"/>
              </w:rPr>
              <w:t>$3.6</w:t>
            </w:r>
          </w:p>
        </w:tc>
      </w:tr>
      <w:tr w:rsidR="00B27B88" w:rsidRPr="000A53C0" w14:paraId="22883E19" w14:textId="77777777">
        <w:trPr>
          <w:trHeight w:val="355"/>
        </w:trPr>
        <w:tc>
          <w:tcPr>
            <w:tcW w:w="1250" w:type="pct"/>
            <w:shd w:val="clear" w:color="auto" w:fill="auto"/>
            <w:vAlign w:val="center"/>
          </w:tcPr>
          <w:p w14:paraId="48AAAC36" w14:textId="77777777" w:rsidR="00B27B88" w:rsidRPr="000A53C0" w:rsidRDefault="00B27B88">
            <w:pPr>
              <w:pStyle w:val="TableBody"/>
              <w:keepNext/>
              <w:keepLines/>
              <w:rPr>
                <w:rFonts w:cs="Arial"/>
                <w:bCs/>
              </w:rPr>
            </w:pPr>
            <w:r w:rsidRPr="000A53C0">
              <w:rPr>
                <w:rFonts w:cs="Arial"/>
                <w:bCs/>
              </w:rPr>
              <w:t>Cost to workers</w:t>
            </w:r>
          </w:p>
        </w:tc>
        <w:tc>
          <w:tcPr>
            <w:tcW w:w="1250" w:type="pct"/>
            <w:shd w:val="clear" w:color="auto" w:fill="auto"/>
            <w:vAlign w:val="center"/>
          </w:tcPr>
          <w:p w14:paraId="569D643D" w14:textId="77777777" w:rsidR="00B27B88" w:rsidRPr="000A53C0" w:rsidRDefault="00B27B88">
            <w:pPr>
              <w:pStyle w:val="TableBody"/>
              <w:keepNext/>
              <w:keepLines/>
              <w:jc w:val="center"/>
              <w:rPr>
                <w:rFonts w:cs="Arial"/>
                <w:color w:val="000000"/>
                <w:szCs w:val="18"/>
              </w:rPr>
            </w:pPr>
            <w:r w:rsidRPr="000A53C0">
              <w:rPr>
                <w:rFonts w:cs="Arial"/>
                <w:color w:val="000000"/>
                <w:szCs w:val="18"/>
              </w:rPr>
              <w:t>$3.1</w:t>
            </w:r>
          </w:p>
        </w:tc>
        <w:tc>
          <w:tcPr>
            <w:tcW w:w="1250" w:type="pct"/>
            <w:shd w:val="clear" w:color="auto" w:fill="auto"/>
            <w:vAlign w:val="center"/>
          </w:tcPr>
          <w:p w14:paraId="6F1B6315" w14:textId="77777777" w:rsidR="00B27B88" w:rsidRPr="000A53C0" w:rsidRDefault="00B27B88">
            <w:pPr>
              <w:pStyle w:val="TableBody"/>
              <w:keepNext/>
              <w:keepLines/>
              <w:jc w:val="center"/>
              <w:rPr>
                <w:rFonts w:cs="Arial"/>
                <w:color w:val="000000"/>
                <w:szCs w:val="18"/>
              </w:rPr>
            </w:pPr>
            <w:r w:rsidRPr="000A53C0">
              <w:rPr>
                <w:rFonts w:cs="Arial"/>
                <w:color w:val="000000"/>
                <w:szCs w:val="18"/>
              </w:rPr>
              <w:t>$0</w:t>
            </w:r>
          </w:p>
        </w:tc>
        <w:tc>
          <w:tcPr>
            <w:tcW w:w="1250" w:type="pct"/>
            <w:shd w:val="clear" w:color="auto" w:fill="auto"/>
            <w:vAlign w:val="center"/>
          </w:tcPr>
          <w:p w14:paraId="08B4FE30" w14:textId="77777777" w:rsidR="00B27B88" w:rsidRPr="000A53C0" w:rsidRDefault="00B27B88">
            <w:pPr>
              <w:pStyle w:val="TableBody"/>
              <w:keepNext/>
              <w:keepLines/>
              <w:jc w:val="center"/>
              <w:rPr>
                <w:rFonts w:cs="Arial"/>
                <w:color w:val="000000"/>
                <w:szCs w:val="18"/>
              </w:rPr>
            </w:pPr>
            <w:r w:rsidRPr="000A53C0">
              <w:rPr>
                <w:rFonts w:cs="Arial"/>
                <w:color w:val="000000"/>
                <w:szCs w:val="18"/>
              </w:rPr>
              <w:t>$1.5</w:t>
            </w:r>
          </w:p>
        </w:tc>
      </w:tr>
      <w:tr w:rsidR="00B27B88" w:rsidRPr="000A53C0" w14:paraId="503E6FB0" w14:textId="77777777">
        <w:trPr>
          <w:trHeight w:val="355"/>
        </w:trPr>
        <w:tc>
          <w:tcPr>
            <w:tcW w:w="1250" w:type="pct"/>
            <w:shd w:val="clear" w:color="auto" w:fill="D9D9D9" w:themeFill="background1" w:themeFillShade="D9"/>
            <w:vAlign w:val="center"/>
          </w:tcPr>
          <w:p w14:paraId="5FC30392" w14:textId="77777777" w:rsidR="00B27B88" w:rsidRPr="000A53C0" w:rsidRDefault="00B27B88">
            <w:pPr>
              <w:pStyle w:val="TableBody"/>
              <w:keepNext/>
              <w:keepLines/>
              <w:rPr>
                <w:rFonts w:cs="Arial"/>
                <w:b/>
              </w:rPr>
            </w:pPr>
            <w:r w:rsidRPr="000A53C0">
              <w:rPr>
                <w:rFonts w:cs="Arial"/>
                <w:b/>
              </w:rPr>
              <w:t>Sub-total</w:t>
            </w:r>
          </w:p>
        </w:tc>
        <w:tc>
          <w:tcPr>
            <w:tcW w:w="1250" w:type="pct"/>
            <w:shd w:val="clear" w:color="auto" w:fill="D9D9D9" w:themeFill="background1" w:themeFillShade="D9"/>
            <w:vAlign w:val="center"/>
          </w:tcPr>
          <w:p w14:paraId="576CE49C"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$10.6</w:t>
            </w:r>
          </w:p>
        </w:tc>
        <w:tc>
          <w:tcPr>
            <w:tcW w:w="1250" w:type="pct"/>
            <w:shd w:val="clear" w:color="auto" w:fill="D9D9D9" w:themeFill="background1" w:themeFillShade="D9"/>
            <w:vAlign w:val="center"/>
          </w:tcPr>
          <w:p w14:paraId="078B1615"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$0</w:t>
            </w:r>
          </w:p>
        </w:tc>
        <w:tc>
          <w:tcPr>
            <w:tcW w:w="1250" w:type="pct"/>
            <w:shd w:val="clear" w:color="auto" w:fill="D9D9D9" w:themeFill="background1" w:themeFillShade="D9"/>
            <w:vAlign w:val="center"/>
          </w:tcPr>
          <w:p w14:paraId="7DDADC32"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$9.3</w:t>
            </w:r>
          </w:p>
        </w:tc>
      </w:tr>
      <w:tr w:rsidR="00B27B88" w:rsidRPr="000A53C0" w14:paraId="48C3B320" w14:textId="77777777">
        <w:trPr>
          <w:trHeight w:val="355"/>
        </w:trPr>
        <w:tc>
          <w:tcPr>
            <w:tcW w:w="1250" w:type="pct"/>
            <w:shd w:val="clear" w:color="auto" w:fill="D9D9D9" w:themeFill="background1" w:themeFillShade="D9"/>
            <w:vAlign w:val="center"/>
          </w:tcPr>
          <w:p w14:paraId="064F80CB" w14:textId="77777777" w:rsidR="00B27B88" w:rsidRPr="000A53C0" w:rsidRDefault="00B27B88">
            <w:pPr>
              <w:pStyle w:val="TableBody"/>
              <w:keepNext/>
              <w:keepLines/>
              <w:rPr>
                <w:rFonts w:cs="Arial"/>
                <w:b/>
              </w:rPr>
            </w:pPr>
            <w:r w:rsidRPr="000A53C0">
              <w:rPr>
                <w:rFonts w:cs="Arial"/>
                <w:b/>
              </w:rPr>
              <w:t>% Total option costs</w:t>
            </w:r>
          </w:p>
        </w:tc>
        <w:tc>
          <w:tcPr>
            <w:tcW w:w="1250" w:type="pct"/>
            <w:shd w:val="clear" w:color="auto" w:fill="D9D9D9" w:themeFill="background1" w:themeFillShade="D9"/>
            <w:vAlign w:val="center"/>
          </w:tcPr>
          <w:p w14:paraId="330C94A8"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4%</w:t>
            </w:r>
          </w:p>
        </w:tc>
        <w:tc>
          <w:tcPr>
            <w:tcW w:w="1250" w:type="pct"/>
            <w:shd w:val="clear" w:color="auto" w:fill="D9D9D9" w:themeFill="background1" w:themeFillShade="D9"/>
            <w:vAlign w:val="center"/>
          </w:tcPr>
          <w:p w14:paraId="04AFD19E"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$0</w:t>
            </w:r>
          </w:p>
        </w:tc>
        <w:tc>
          <w:tcPr>
            <w:tcW w:w="1250" w:type="pct"/>
            <w:shd w:val="clear" w:color="auto" w:fill="D9D9D9" w:themeFill="background1" w:themeFillShade="D9"/>
            <w:vAlign w:val="center"/>
          </w:tcPr>
          <w:p w14:paraId="6809530B"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4%</w:t>
            </w:r>
          </w:p>
        </w:tc>
      </w:tr>
      <w:tr w:rsidR="00B27B88" w:rsidRPr="000A53C0" w14:paraId="05F96DC8" w14:textId="77777777">
        <w:trPr>
          <w:trHeight w:val="355"/>
        </w:trPr>
        <w:tc>
          <w:tcPr>
            <w:tcW w:w="1250" w:type="pct"/>
            <w:shd w:val="clear" w:color="auto" w:fill="D9D9D9" w:themeFill="background1" w:themeFillShade="D9"/>
            <w:vAlign w:val="center"/>
          </w:tcPr>
          <w:p w14:paraId="16BB9C35" w14:textId="77777777" w:rsidR="00B27B88" w:rsidRPr="000A53C0" w:rsidRDefault="00B27B88">
            <w:pPr>
              <w:pStyle w:val="TableBody"/>
              <w:keepNext/>
              <w:keepLines/>
              <w:rPr>
                <w:rFonts w:cs="Arial"/>
                <w:b/>
              </w:rPr>
            </w:pPr>
            <w:r w:rsidRPr="000A53C0">
              <w:rPr>
                <w:rFonts w:cs="Arial"/>
                <w:b/>
              </w:rPr>
              <w:t>Total</w:t>
            </w:r>
          </w:p>
        </w:tc>
        <w:tc>
          <w:tcPr>
            <w:tcW w:w="1250" w:type="pct"/>
            <w:shd w:val="clear" w:color="auto" w:fill="D9D9D9" w:themeFill="background1" w:themeFillShade="D9"/>
            <w:vAlign w:val="center"/>
          </w:tcPr>
          <w:p w14:paraId="36645EF8"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$251.1</w:t>
            </w:r>
          </w:p>
        </w:tc>
        <w:tc>
          <w:tcPr>
            <w:tcW w:w="1250" w:type="pct"/>
            <w:shd w:val="clear" w:color="auto" w:fill="D9D9D9" w:themeFill="background1" w:themeFillShade="D9"/>
            <w:vAlign w:val="center"/>
          </w:tcPr>
          <w:p w14:paraId="439C0F09" w14:textId="77777777" w:rsidR="00B27B88" w:rsidRPr="000A53C0" w:rsidRDefault="00B27B88">
            <w:pPr>
              <w:pStyle w:val="TableBody"/>
              <w:keepNext/>
              <w:keepLines/>
              <w:jc w:val="center"/>
              <w:rPr>
                <w:rFonts w:cs="Arial"/>
                <w:b/>
                <w:bCs/>
                <w:color w:val="000000"/>
                <w:szCs w:val="18"/>
              </w:rPr>
            </w:pPr>
            <w:r w:rsidRPr="000A53C0">
              <w:rPr>
                <w:rFonts w:cs="Arial"/>
                <w:b/>
                <w:bCs/>
                <w:color w:val="000000"/>
                <w:szCs w:val="18"/>
              </w:rPr>
              <w:t>$240.5</w:t>
            </w:r>
          </w:p>
        </w:tc>
        <w:tc>
          <w:tcPr>
            <w:tcW w:w="1250" w:type="pct"/>
            <w:shd w:val="clear" w:color="auto" w:fill="D9D9D9" w:themeFill="background1" w:themeFillShade="D9"/>
            <w:vAlign w:val="center"/>
          </w:tcPr>
          <w:p w14:paraId="54F995EC" w14:textId="5884B6DE" w:rsidR="00B27B88" w:rsidRPr="000A53C0" w:rsidRDefault="00B27B88">
            <w:pPr>
              <w:pStyle w:val="TableBody"/>
              <w:keepNext/>
              <w:keepLines/>
              <w:jc w:val="center"/>
              <w:rPr>
                <w:rFonts w:cs="Arial"/>
                <w:b/>
                <w:bCs/>
                <w:color w:val="000000"/>
                <w:szCs w:val="18"/>
              </w:rPr>
            </w:pPr>
            <w:r w:rsidRPr="000A53C0">
              <w:rPr>
                <w:rFonts w:cs="Arial"/>
                <w:b/>
                <w:bCs/>
                <w:color w:val="000000"/>
                <w:szCs w:val="18"/>
              </w:rPr>
              <w:t>$249.</w:t>
            </w:r>
            <w:r w:rsidR="002E68FC" w:rsidRPr="000A53C0">
              <w:rPr>
                <w:rFonts w:cs="Arial"/>
                <w:b/>
                <w:bCs/>
                <w:color w:val="000000"/>
                <w:szCs w:val="18"/>
              </w:rPr>
              <w:t>8</w:t>
            </w:r>
          </w:p>
        </w:tc>
      </w:tr>
    </w:tbl>
    <w:p w14:paraId="4CF54C79" w14:textId="77777777" w:rsidR="00B27B88" w:rsidRPr="000A53C0" w:rsidRDefault="00B27B88" w:rsidP="00B27B88">
      <w:pPr>
        <w:spacing w:after="120" w:line="264" w:lineRule="auto"/>
        <w:rPr>
          <w:rFonts w:cs="Arial"/>
        </w:rPr>
      </w:pPr>
    </w:p>
    <w:p w14:paraId="486EC07E" w14:textId="7E0AB51C" w:rsidR="002611CA" w:rsidRPr="000A53C0" w:rsidRDefault="002611CA" w:rsidP="00514CCB">
      <w:pPr>
        <w:pStyle w:val="Heading2numbered"/>
      </w:pPr>
      <w:bookmarkStart w:id="127" w:name="_Ref140670156"/>
      <w:bookmarkStart w:id="128" w:name="_Toc142991338"/>
      <w:r w:rsidRPr="000A53C0">
        <w:t>Option 1 monetised costs</w:t>
      </w:r>
      <w:bookmarkEnd w:id="127"/>
      <w:bookmarkEnd w:id="128"/>
    </w:p>
    <w:p w14:paraId="5BDB8BA5" w14:textId="41DD8D18" w:rsidR="002611CA" w:rsidRPr="000A53C0" w:rsidRDefault="002611CA" w:rsidP="00514CCB">
      <w:pPr>
        <w:pStyle w:val="Heading3numbered"/>
      </w:pPr>
      <w:r w:rsidRPr="000A53C0">
        <w:t>Costs to PCBUs</w:t>
      </w:r>
    </w:p>
    <w:p w14:paraId="10892C09" w14:textId="047F787D" w:rsidR="002611CA" w:rsidRPr="000A53C0" w:rsidRDefault="002611CA" w:rsidP="002611CA">
      <w:pPr>
        <w:pStyle w:val="BodyText"/>
        <w:rPr>
          <w:rFonts w:cs="Arial"/>
        </w:rPr>
      </w:pPr>
      <w:r w:rsidRPr="000A53C0">
        <w:rPr>
          <w:rFonts w:cs="Arial"/>
        </w:rPr>
        <w:t xml:space="preserve">A prohibition on the use of all engineered stone (Option 1) is estimated to result in costs to PCBUs of $139.9 million. As shown in </w:t>
      </w:r>
      <w:r w:rsidR="00D156BE" w:rsidRPr="000A53C0">
        <w:rPr>
          <w:rFonts w:cs="Arial"/>
        </w:rPr>
        <w:fldChar w:fldCharType="begin" w:fldLock="1"/>
      </w:r>
      <w:r w:rsidR="00D156BE" w:rsidRPr="000A53C0">
        <w:rPr>
          <w:rFonts w:cs="Arial"/>
        </w:rPr>
        <w:instrText xml:space="preserve"> REF _Ref139636219 \h </w:instrText>
      </w:r>
      <w:r w:rsidR="00583E96" w:rsidRPr="000A53C0">
        <w:rPr>
          <w:rFonts w:cs="Arial"/>
        </w:rPr>
        <w:instrText xml:space="preserve"> \* MERGEFORMAT </w:instrText>
      </w:r>
      <w:r w:rsidR="00D156BE" w:rsidRPr="000A53C0">
        <w:rPr>
          <w:rFonts w:cs="Arial"/>
        </w:rPr>
      </w:r>
      <w:r w:rsidR="00D156BE" w:rsidRPr="000A53C0">
        <w:rPr>
          <w:rFonts w:cs="Arial"/>
        </w:rPr>
        <w:fldChar w:fldCharType="separate"/>
      </w:r>
      <w:r w:rsidR="00D16271" w:rsidRPr="00D16271">
        <w:rPr>
          <w:rFonts w:cs="Arial"/>
        </w:rPr>
        <w:t xml:space="preserve">Table </w:t>
      </w:r>
      <w:r w:rsidR="00D16271" w:rsidRPr="00D16271">
        <w:rPr>
          <w:rFonts w:cs="Arial"/>
          <w:noProof/>
        </w:rPr>
        <w:t>8</w:t>
      </w:r>
      <w:r w:rsidR="00D156BE" w:rsidRPr="000A53C0">
        <w:rPr>
          <w:rFonts w:cs="Arial"/>
        </w:rPr>
        <w:fldChar w:fldCharType="end"/>
      </w:r>
      <w:r w:rsidRPr="000A53C0">
        <w:rPr>
          <w:rFonts w:cs="Arial"/>
        </w:rPr>
        <w:t xml:space="preserve">, this represents $6.9 million in costs to engineered stone PCBUs and $133 million attributed to the licensing framework for legacy products, impacting other industry </w:t>
      </w:r>
      <w:r w:rsidR="00CA2B81" w:rsidRPr="000A53C0">
        <w:rPr>
          <w:rFonts w:cs="Arial"/>
        </w:rPr>
        <w:t>PCBUs.</w:t>
      </w:r>
      <w:bookmarkStart w:id="129" w:name="_Ref138094855"/>
      <w:bookmarkStart w:id="130" w:name="_Ref138755391"/>
    </w:p>
    <w:p w14:paraId="796B08BE" w14:textId="1C231CFF" w:rsidR="002611CA" w:rsidRPr="000A53C0" w:rsidRDefault="00D426B2" w:rsidP="006D171E">
      <w:pPr>
        <w:pStyle w:val="Caption"/>
        <w:keepLines/>
        <w:rPr>
          <w:rFonts w:cs="Arial"/>
        </w:rPr>
      </w:pPr>
      <w:bookmarkStart w:id="131" w:name="_Ref139636219"/>
      <w:bookmarkEnd w:id="129"/>
      <w:r w:rsidRPr="00F96F40">
        <w:rPr>
          <w:rFonts w:cs="Arial"/>
          <w:b/>
          <w:bCs/>
        </w:rPr>
        <w:lastRenderedPageBreak/>
        <w:t xml:space="preserve">Table </w:t>
      </w:r>
      <w:r w:rsidRPr="00F96F40">
        <w:rPr>
          <w:rFonts w:cs="Arial"/>
          <w:b/>
          <w:bCs/>
        </w:rPr>
        <w:fldChar w:fldCharType="begin"/>
      </w:r>
      <w:r w:rsidRPr="00F96F40">
        <w:rPr>
          <w:rFonts w:cs="Arial"/>
          <w:b/>
          <w:bCs/>
        </w:rPr>
        <w:instrText>SEQ Table \* ARABIC</w:instrText>
      </w:r>
      <w:r w:rsidRPr="00F96F40">
        <w:rPr>
          <w:rFonts w:cs="Arial"/>
          <w:b/>
          <w:bCs/>
        </w:rPr>
        <w:fldChar w:fldCharType="separate"/>
      </w:r>
      <w:r w:rsidR="00D16271">
        <w:rPr>
          <w:rFonts w:cs="Arial"/>
          <w:b/>
          <w:bCs/>
          <w:noProof/>
        </w:rPr>
        <w:t>8</w:t>
      </w:r>
      <w:r w:rsidRPr="00F96F40">
        <w:rPr>
          <w:rFonts w:cs="Arial"/>
          <w:b/>
          <w:bCs/>
        </w:rPr>
        <w:fldChar w:fldCharType="end"/>
      </w:r>
      <w:bookmarkEnd w:id="131"/>
      <w:r w:rsidR="002611CA" w:rsidRPr="000A53C0">
        <w:rPr>
          <w:rFonts w:cs="Arial"/>
        </w:rPr>
        <w:t xml:space="preserve"> Estimated cost of Option 1 – PCBUs </w:t>
      </w:r>
      <w:bookmarkEnd w:id="130"/>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UPSLIDE_TablePasted`_#[%£=+@"/>
      </w:tblPr>
      <w:tblGrid>
        <w:gridCol w:w="5156"/>
        <w:gridCol w:w="1136"/>
        <w:gridCol w:w="1129"/>
        <w:gridCol w:w="1042"/>
        <w:gridCol w:w="1731"/>
      </w:tblGrid>
      <w:tr w:rsidR="00F96F40" w:rsidRPr="00F96F40" w14:paraId="7D8C5F12" w14:textId="77777777" w:rsidTr="00F96F40">
        <w:trPr>
          <w:trHeight w:val="570"/>
          <w:tblHeader/>
        </w:trPr>
        <w:tc>
          <w:tcPr>
            <w:tcW w:w="2529" w:type="pct"/>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E81D32"/>
            <w:vAlign w:val="center"/>
          </w:tcPr>
          <w:p w14:paraId="1A3B5910" w14:textId="77777777" w:rsidR="002611CA" w:rsidRPr="00F96F40" w:rsidRDefault="002611CA" w:rsidP="00F96F40">
            <w:pPr>
              <w:pStyle w:val="TableHeading"/>
              <w:keepNext/>
              <w:keepLines/>
              <w:spacing w:before="0" w:after="0"/>
              <w:rPr>
                <w:rFonts w:ascii="Arial" w:hAnsi="Arial" w:cs="Arial"/>
                <w:color w:val="FFFFFF" w:themeColor="background1"/>
              </w:rPr>
            </w:pPr>
            <w:r w:rsidRPr="00F96F40">
              <w:rPr>
                <w:rFonts w:ascii="Arial" w:hAnsi="Arial" w:cs="Arial"/>
                <w:color w:val="FFFFFF" w:themeColor="background1"/>
              </w:rPr>
              <w:t>Cost</w:t>
            </w:r>
          </w:p>
        </w:tc>
        <w:tc>
          <w:tcPr>
            <w:tcW w:w="2471" w:type="pct"/>
            <w:gridSpan w:val="4"/>
            <w:tcBorders>
              <w:top w:val="single" w:sz="4" w:space="0" w:color="F2F2F2" w:themeColor="background1" w:themeShade="F2"/>
              <w:left w:val="single" w:sz="4" w:space="0" w:color="F2F2F2" w:themeColor="background1" w:themeShade="F2"/>
              <w:bottom w:val="single" w:sz="4" w:space="0" w:color="FFFFFF" w:themeColor="background1"/>
              <w:right w:val="single" w:sz="4" w:space="0" w:color="F2F2F2" w:themeColor="background1" w:themeShade="F2"/>
            </w:tcBorders>
            <w:shd w:val="clear" w:color="auto" w:fill="E81D32"/>
            <w:vAlign w:val="center"/>
          </w:tcPr>
          <w:p w14:paraId="71D46DFC" w14:textId="4B68F59C" w:rsidR="002611CA" w:rsidRPr="00F96F40" w:rsidRDefault="0034596A" w:rsidP="00F96F40">
            <w:pPr>
              <w:pStyle w:val="TableHeading"/>
              <w:keepNext/>
              <w:keepLines/>
              <w:spacing w:before="0" w:after="0"/>
              <w:rPr>
                <w:rFonts w:ascii="Arial" w:hAnsi="Arial" w:cs="Arial"/>
                <w:color w:val="FFFFFF" w:themeColor="background1"/>
              </w:rPr>
            </w:pPr>
            <w:r w:rsidRPr="00F96F40">
              <w:rPr>
                <w:rFonts w:ascii="Arial" w:hAnsi="Arial" w:cs="Arial"/>
                <w:color w:val="FFFFFF" w:themeColor="background1"/>
              </w:rPr>
              <w:t xml:space="preserve">Estimated cost </w:t>
            </w:r>
            <w:r w:rsidR="00F96F40" w:rsidRPr="00F96F40">
              <w:rPr>
                <w:rFonts w:ascii="Arial" w:hAnsi="Arial" w:cs="Arial"/>
                <w:color w:val="FFFFFF" w:themeColor="background1"/>
              </w:rPr>
              <w:t>–</w:t>
            </w:r>
            <w:r w:rsidRPr="00F96F40">
              <w:rPr>
                <w:rFonts w:ascii="Arial" w:hAnsi="Arial" w:cs="Arial"/>
                <w:color w:val="FFFFFF" w:themeColor="background1"/>
              </w:rPr>
              <w:t xml:space="preserve"> 10</w:t>
            </w:r>
            <w:r w:rsidR="00F96F40" w:rsidRPr="00F96F40">
              <w:rPr>
                <w:rFonts w:ascii="Arial" w:hAnsi="Arial" w:cs="Arial"/>
                <w:color w:val="FFFFFF" w:themeColor="background1"/>
              </w:rPr>
              <w:t>-</w:t>
            </w:r>
            <w:r w:rsidRPr="00F96F40">
              <w:rPr>
                <w:rFonts w:ascii="Arial" w:hAnsi="Arial" w:cs="Arial"/>
                <w:color w:val="FFFFFF" w:themeColor="background1"/>
              </w:rPr>
              <w:t>year appraisal period ($m)</w:t>
            </w:r>
          </w:p>
        </w:tc>
      </w:tr>
      <w:tr w:rsidR="002611CA" w:rsidRPr="000A53C0" w14:paraId="2894B8F8" w14:textId="77777777" w:rsidTr="00766916">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0D281F91" w14:textId="77777777" w:rsidR="002611CA" w:rsidRPr="000A53C0" w:rsidRDefault="002611CA" w:rsidP="00766916">
            <w:pPr>
              <w:pStyle w:val="TableBody"/>
              <w:keepNext/>
              <w:keepLines/>
              <w:rPr>
                <w:rFonts w:cs="Arial"/>
                <w:b/>
                <w:szCs w:val="18"/>
              </w:rPr>
            </w:pPr>
            <w:r w:rsidRPr="000A53C0">
              <w:rPr>
                <w:rFonts w:cs="Arial"/>
                <w:b/>
                <w:szCs w:val="18"/>
              </w:rPr>
              <w:t>Engineered stone PCBUs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574FB20D" w14:textId="77777777" w:rsidR="002611CA" w:rsidRPr="000A53C0" w:rsidRDefault="002611CA" w:rsidP="00766916">
            <w:pPr>
              <w:pStyle w:val="TableBody"/>
              <w:keepNext/>
              <w:keepLines/>
              <w:jc w:val="center"/>
              <w:rPr>
                <w:rFonts w:cs="Arial"/>
                <w:b/>
                <w:szCs w:val="18"/>
              </w:rPr>
            </w:pPr>
            <w:r w:rsidRPr="000A53C0">
              <w:rPr>
                <w:rFonts w:cs="Arial"/>
                <w:b/>
                <w:szCs w:val="18"/>
              </w:rPr>
              <w:t>Sole traders</w:t>
            </w: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276E754A" w14:textId="77777777" w:rsidR="002611CA" w:rsidRPr="000A53C0" w:rsidRDefault="002611CA" w:rsidP="00766916">
            <w:pPr>
              <w:pStyle w:val="TableBody"/>
              <w:keepNext/>
              <w:keepLines/>
              <w:jc w:val="center"/>
              <w:rPr>
                <w:rFonts w:cs="Arial"/>
                <w:b/>
                <w:szCs w:val="18"/>
              </w:rPr>
            </w:pPr>
            <w:r w:rsidRPr="000A53C0">
              <w:rPr>
                <w:rFonts w:cs="Arial"/>
                <w:b/>
                <w:szCs w:val="18"/>
              </w:rPr>
              <w:t>Small</w:t>
            </w: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5396662F" w14:textId="77777777" w:rsidR="002611CA" w:rsidRPr="000A53C0" w:rsidRDefault="002611CA" w:rsidP="00766916">
            <w:pPr>
              <w:pStyle w:val="TableBody"/>
              <w:keepNext/>
              <w:keepLines/>
              <w:jc w:val="center"/>
              <w:rPr>
                <w:rFonts w:cs="Arial"/>
                <w:b/>
                <w:szCs w:val="18"/>
              </w:rPr>
            </w:pPr>
            <w:r w:rsidRPr="000A53C0">
              <w:rPr>
                <w:rFonts w:cs="Arial"/>
                <w:b/>
                <w:szCs w:val="18"/>
              </w:rPr>
              <w:t>Medium</w:t>
            </w: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C3C5" w:themeFill="accent6" w:themeFillTint="33"/>
            <w:vAlign w:val="center"/>
          </w:tcPr>
          <w:p w14:paraId="4BDAEBCB" w14:textId="77777777" w:rsidR="002611CA" w:rsidRPr="000A53C0" w:rsidRDefault="002611CA" w:rsidP="00766916">
            <w:pPr>
              <w:pStyle w:val="TableBody"/>
              <w:keepNext/>
              <w:keepLines/>
              <w:jc w:val="center"/>
              <w:rPr>
                <w:rFonts w:cs="Arial"/>
                <w:b/>
                <w:szCs w:val="18"/>
              </w:rPr>
            </w:pPr>
            <w:r w:rsidRPr="000A53C0">
              <w:rPr>
                <w:rFonts w:cs="Arial"/>
                <w:b/>
                <w:szCs w:val="18"/>
              </w:rPr>
              <w:t>Total</w:t>
            </w:r>
          </w:p>
        </w:tc>
      </w:tr>
      <w:tr w:rsidR="002611CA" w:rsidRPr="000A53C0" w14:paraId="3B57751C" w14:textId="77777777">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C88BCFC" w14:textId="77777777" w:rsidR="002611CA" w:rsidRPr="000A53C0" w:rsidRDefault="002611CA" w:rsidP="006D171E">
            <w:pPr>
              <w:pStyle w:val="TableBody"/>
              <w:keepNext/>
              <w:keepLines/>
              <w:rPr>
                <w:rFonts w:cs="Arial"/>
                <w:b/>
                <w:szCs w:val="18"/>
              </w:rPr>
            </w:pPr>
            <w:r w:rsidRPr="000A53C0">
              <w:rPr>
                <w:rFonts w:cs="Arial"/>
                <w:b/>
                <w:szCs w:val="18"/>
              </w:rPr>
              <w:t>Business exit and switching costs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4C706E8" w14:textId="77777777" w:rsidR="002611CA" w:rsidRPr="000A53C0" w:rsidRDefault="002611CA" w:rsidP="006D171E">
            <w:pPr>
              <w:pStyle w:val="TableBody"/>
              <w:keepNext/>
              <w:keepLines/>
              <w:jc w:val="center"/>
              <w:rPr>
                <w:rFonts w:cs="Arial"/>
                <w:szCs w:val="18"/>
              </w:rPr>
            </w:pP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60D9C1" w14:textId="77777777" w:rsidR="002611CA" w:rsidRPr="000A53C0" w:rsidRDefault="002611CA" w:rsidP="006D171E">
            <w:pPr>
              <w:pStyle w:val="TableBody"/>
              <w:keepNext/>
              <w:keepLines/>
              <w:jc w:val="center"/>
              <w:rPr>
                <w:rFonts w:cs="Arial"/>
                <w:szCs w:val="18"/>
              </w:rPr>
            </w:pP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88EBB66" w14:textId="77777777" w:rsidR="002611CA" w:rsidRPr="000A53C0" w:rsidRDefault="002611CA" w:rsidP="006D171E">
            <w:pPr>
              <w:pStyle w:val="TableBody"/>
              <w:keepNext/>
              <w:keepLines/>
              <w:jc w:val="center"/>
              <w:rPr>
                <w:rFonts w:cs="Arial"/>
                <w:szCs w:val="18"/>
              </w:rPr>
            </w:pP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6B7FC50" w14:textId="77777777" w:rsidR="002611CA" w:rsidRPr="000A53C0" w:rsidRDefault="002611CA" w:rsidP="006D171E">
            <w:pPr>
              <w:pStyle w:val="TableBody"/>
              <w:keepNext/>
              <w:keepLines/>
              <w:jc w:val="center"/>
              <w:rPr>
                <w:rFonts w:cs="Arial"/>
                <w:szCs w:val="18"/>
              </w:rPr>
            </w:pPr>
          </w:p>
        </w:tc>
      </w:tr>
      <w:tr w:rsidR="002611CA" w:rsidRPr="000A53C0" w14:paraId="30B33061" w14:textId="77777777">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5348A2A" w14:textId="77777777" w:rsidR="002611CA" w:rsidRPr="000A53C0" w:rsidRDefault="002611CA" w:rsidP="006D171E">
            <w:pPr>
              <w:pStyle w:val="TableBody"/>
              <w:keepNext/>
              <w:keepLines/>
              <w:rPr>
                <w:rFonts w:cs="Arial"/>
                <w:szCs w:val="18"/>
              </w:rPr>
            </w:pPr>
            <w:r w:rsidRPr="000A53C0">
              <w:rPr>
                <w:rFonts w:cs="Arial"/>
                <w:szCs w:val="18"/>
              </w:rPr>
              <w:t>Business closure costs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BA542AC" w14:textId="77777777" w:rsidR="002611CA" w:rsidRPr="000A53C0" w:rsidRDefault="002611CA" w:rsidP="006D171E">
            <w:pPr>
              <w:pStyle w:val="TableBody"/>
              <w:keepNext/>
              <w:keepLines/>
              <w:jc w:val="center"/>
              <w:rPr>
                <w:rFonts w:cs="Arial"/>
                <w:szCs w:val="18"/>
              </w:rPr>
            </w:pPr>
            <w:r w:rsidRPr="000A53C0">
              <w:rPr>
                <w:rFonts w:cs="Arial"/>
              </w:rPr>
              <w:t>$0.3</w:t>
            </w: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DFBC362" w14:textId="77777777" w:rsidR="002611CA" w:rsidRPr="000A53C0" w:rsidRDefault="002611CA" w:rsidP="006D171E">
            <w:pPr>
              <w:pStyle w:val="TableBody"/>
              <w:keepNext/>
              <w:keepLines/>
              <w:jc w:val="center"/>
              <w:rPr>
                <w:rFonts w:cs="Arial"/>
                <w:szCs w:val="18"/>
              </w:rPr>
            </w:pPr>
            <w:r w:rsidRPr="000A53C0">
              <w:rPr>
                <w:rFonts w:cs="Arial"/>
              </w:rPr>
              <w:t>$0.2</w:t>
            </w: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E836D06"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.04</w:t>
            </w: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A8B00" w14:textId="77777777" w:rsidR="002611CA" w:rsidRPr="000A53C0" w:rsidRDefault="002611CA" w:rsidP="006D171E">
            <w:pPr>
              <w:pStyle w:val="TableBody"/>
              <w:keepNext/>
              <w:keepLines/>
              <w:jc w:val="center"/>
              <w:rPr>
                <w:rFonts w:cs="Arial"/>
                <w:szCs w:val="18"/>
              </w:rPr>
            </w:pPr>
            <w:r w:rsidRPr="000A53C0">
              <w:rPr>
                <w:rFonts w:cs="Arial"/>
              </w:rPr>
              <w:t>$0.5</w:t>
            </w:r>
          </w:p>
        </w:tc>
      </w:tr>
      <w:tr w:rsidR="002611CA" w:rsidRPr="000A53C0" w14:paraId="017311D7" w14:textId="77777777">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53C79C" w14:textId="77777777" w:rsidR="002611CA" w:rsidRPr="000A53C0" w:rsidRDefault="002611CA" w:rsidP="006D171E">
            <w:pPr>
              <w:pStyle w:val="TableBody"/>
              <w:keepNext/>
              <w:keepLines/>
              <w:rPr>
                <w:rFonts w:cs="Arial"/>
                <w:szCs w:val="18"/>
              </w:rPr>
            </w:pPr>
            <w:r w:rsidRPr="000A53C0">
              <w:rPr>
                <w:rFonts w:cs="Arial"/>
                <w:szCs w:val="18"/>
              </w:rPr>
              <w:t>Redundancy payments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A1DABB9"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w:t>
            </w: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F51C24E"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w:t>
            </w: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E980BF8" w14:textId="77777777" w:rsidR="002611CA" w:rsidRPr="000A53C0" w:rsidRDefault="002611CA" w:rsidP="006D171E">
            <w:pPr>
              <w:pStyle w:val="TableBody"/>
              <w:keepNext/>
              <w:keepLines/>
              <w:jc w:val="center"/>
              <w:rPr>
                <w:rFonts w:cs="Arial"/>
                <w:szCs w:val="18"/>
              </w:rPr>
            </w:pPr>
            <w:r w:rsidRPr="000A53C0">
              <w:rPr>
                <w:rFonts w:cs="Arial"/>
              </w:rPr>
              <w:t>$4.3</w:t>
            </w: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0FF691" w14:textId="77777777" w:rsidR="002611CA" w:rsidRPr="000A53C0" w:rsidRDefault="002611CA" w:rsidP="006D171E">
            <w:pPr>
              <w:pStyle w:val="TableBody"/>
              <w:keepNext/>
              <w:keepLines/>
              <w:jc w:val="center"/>
              <w:rPr>
                <w:rFonts w:cs="Arial"/>
                <w:szCs w:val="18"/>
              </w:rPr>
            </w:pPr>
            <w:r w:rsidRPr="000A53C0">
              <w:rPr>
                <w:rFonts w:cs="Arial"/>
              </w:rPr>
              <w:t>$4.3</w:t>
            </w:r>
          </w:p>
        </w:tc>
      </w:tr>
      <w:tr w:rsidR="002611CA" w:rsidRPr="000A53C0" w14:paraId="5429A6B9" w14:textId="77777777">
        <w:trPr>
          <w:trHeight w:val="355"/>
        </w:trPr>
        <w:tc>
          <w:tcPr>
            <w:tcW w:w="25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800D91" w14:textId="77777777" w:rsidR="002611CA" w:rsidRPr="000A53C0" w:rsidRDefault="002611CA" w:rsidP="006D171E">
            <w:pPr>
              <w:pStyle w:val="TableBody"/>
              <w:keepNext/>
              <w:keepLines/>
              <w:rPr>
                <w:rFonts w:cs="Arial"/>
                <w:szCs w:val="18"/>
              </w:rPr>
            </w:pPr>
            <w:r w:rsidRPr="000A53C0">
              <w:rPr>
                <w:rFonts w:cs="Arial"/>
                <w:szCs w:val="18"/>
              </w:rPr>
              <w:t>New equipment purchase costs</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99550D0"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w:t>
            </w: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4A1867" w14:textId="77777777" w:rsidR="002611CA" w:rsidRPr="000A53C0" w:rsidRDefault="002611CA" w:rsidP="006D171E">
            <w:pPr>
              <w:pStyle w:val="TableBody"/>
              <w:keepNext/>
              <w:keepLines/>
              <w:jc w:val="center"/>
              <w:rPr>
                <w:rFonts w:cs="Arial"/>
                <w:szCs w:val="18"/>
              </w:rPr>
            </w:pPr>
            <w:r w:rsidRPr="000A53C0">
              <w:rPr>
                <w:rFonts w:cs="Arial"/>
                <w:szCs w:val="18"/>
              </w:rPr>
              <w:t>$0</w:t>
            </w:r>
            <w:r w:rsidRPr="000A53C0">
              <w:rPr>
                <w:rFonts w:cs="Arial"/>
              </w:rPr>
              <w:t>.0</w:t>
            </w:r>
          </w:p>
        </w:tc>
        <w:tc>
          <w:tcPr>
            <w:tcW w:w="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596DCEA" w14:textId="77777777" w:rsidR="002611CA" w:rsidRPr="000A53C0" w:rsidRDefault="002611CA" w:rsidP="006D171E">
            <w:pPr>
              <w:pStyle w:val="TableBody"/>
              <w:keepNext/>
              <w:keepLines/>
              <w:jc w:val="center"/>
              <w:rPr>
                <w:rFonts w:cs="Arial"/>
                <w:szCs w:val="18"/>
              </w:rPr>
            </w:pPr>
            <w:r w:rsidRPr="000A53C0">
              <w:rPr>
                <w:rFonts w:cs="Arial"/>
              </w:rPr>
              <w:t>$2.1</w:t>
            </w:r>
          </w:p>
        </w:tc>
        <w:tc>
          <w:tcPr>
            <w:tcW w:w="8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A5F160" w14:textId="77777777" w:rsidR="002611CA" w:rsidRPr="000A53C0" w:rsidRDefault="002611CA" w:rsidP="006D171E">
            <w:pPr>
              <w:pStyle w:val="TableBody"/>
              <w:keepNext/>
              <w:keepLines/>
              <w:jc w:val="center"/>
              <w:rPr>
                <w:rFonts w:cs="Arial"/>
                <w:szCs w:val="18"/>
              </w:rPr>
            </w:pPr>
            <w:r w:rsidRPr="000A53C0">
              <w:rPr>
                <w:rFonts w:cs="Arial"/>
              </w:rPr>
              <w:t>$2.1</w:t>
            </w:r>
          </w:p>
        </w:tc>
      </w:tr>
      <w:tr w:rsidR="002611CA" w:rsidRPr="000A53C0" w14:paraId="7104E2FC" w14:textId="77777777">
        <w:trPr>
          <w:trHeight w:val="355"/>
        </w:trPr>
        <w:tc>
          <w:tcPr>
            <w:tcW w:w="2529" w:type="pct"/>
            <w:tcBorders>
              <w:top w:val="single" w:sz="4" w:space="0" w:color="FFFFFF" w:themeColor="background1"/>
            </w:tcBorders>
            <w:shd w:val="clear" w:color="auto" w:fill="D9D9D9" w:themeFill="background1" w:themeFillShade="D9"/>
            <w:vAlign w:val="bottom"/>
          </w:tcPr>
          <w:p w14:paraId="5CEDDF8C" w14:textId="77777777" w:rsidR="002611CA" w:rsidRPr="000A53C0" w:rsidRDefault="002611CA" w:rsidP="006D171E">
            <w:pPr>
              <w:pStyle w:val="TableBody"/>
              <w:keepNext/>
              <w:keepLines/>
              <w:rPr>
                <w:rFonts w:cs="Arial"/>
                <w:b/>
                <w:szCs w:val="18"/>
              </w:rPr>
            </w:pPr>
            <w:r w:rsidRPr="000A53C0">
              <w:rPr>
                <w:rFonts w:cs="Arial"/>
                <w:b/>
                <w:szCs w:val="18"/>
              </w:rPr>
              <w:t>Sub-Total</w:t>
            </w:r>
          </w:p>
        </w:tc>
        <w:tc>
          <w:tcPr>
            <w:tcW w:w="557" w:type="pct"/>
            <w:tcBorders>
              <w:top w:val="single" w:sz="4" w:space="0" w:color="FFFFFF" w:themeColor="background1"/>
            </w:tcBorders>
            <w:shd w:val="clear" w:color="auto" w:fill="D9D9D9" w:themeFill="background1" w:themeFillShade="D9"/>
          </w:tcPr>
          <w:p w14:paraId="2CA5DD9F" w14:textId="77777777" w:rsidR="002611CA" w:rsidRPr="000A53C0" w:rsidRDefault="002611CA" w:rsidP="006D171E">
            <w:pPr>
              <w:pStyle w:val="TableBody"/>
              <w:keepNext/>
              <w:keepLines/>
              <w:jc w:val="center"/>
              <w:rPr>
                <w:rFonts w:cs="Arial"/>
                <w:b/>
                <w:szCs w:val="18"/>
              </w:rPr>
            </w:pPr>
            <w:r w:rsidRPr="000A53C0">
              <w:rPr>
                <w:rFonts w:cs="Arial"/>
                <w:b/>
                <w:bCs/>
              </w:rPr>
              <w:t>$0.3</w:t>
            </w:r>
          </w:p>
        </w:tc>
        <w:tc>
          <w:tcPr>
            <w:tcW w:w="554" w:type="pct"/>
            <w:tcBorders>
              <w:top w:val="single" w:sz="4" w:space="0" w:color="FFFFFF" w:themeColor="background1"/>
            </w:tcBorders>
            <w:shd w:val="clear" w:color="auto" w:fill="D9D9D9" w:themeFill="background1" w:themeFillShade="D9"/>
          </w:tcPr>
          <w:p w14:paraId="7233D57B" w14:textId="77777777" w:rsidR="002611CA" w:rsidRPr="000A53C0" w:rsidRDefault="002611CA" w:rsidP="006D171E">
            <w:pPr>
              <w:pStyle w:val="TableBody"/>
              <w:keepNext/>
              <w:keepLines/>
              <w:jc w:val="center"/>
              <w:rPr>
                <w:rFonts w:cs="Arial"/>
                <w:b/>
                <w:szCs w:val="18"/>
              </w:rPr>
            </w:pPr>
            <w:r w:rsidRPr="000A53C0">
              <w:rPr>
                <w:rFonts w:cs="Arial"/>
                <w:b/>
                <w:bCs/>
              </w:rPr>
              <w:t>$0.2</w:t>
            </w:r>
          </w:p>
        </w:tc>
        <w:tc>
          <w:tcPr>
            <w:tcW w:w="511" w:type="pct"/>
            <w:tcBorders>
              <w:top w:val="single" w:sz="4" w:space="0" w:color="FFFFFF" w:themeColor="background1"/>
            </w:tcBorders>
            <w:shd w:val="clear" w:color="auto" w:fill="D9D9D9" w:themeFill="background1" w:themeFillShade="D9"/>
          </w:tcPr>
          <w:p w14:paraId="4991BCC7" w14:textId="77777777" w:rsidR="002611CA" w:rsidRPr="000A53C0" w:rsidRDefault="002611CA" w:rsidP="006D171E">
            <w:pPr>
              <w:pStyle w:val="TableBody"/>
              <w:keepNext/>
              <w:keepLines/>
              <w:jc w:val="center"/>
              <w:rPr>
                <w:rFonts w:cs="Arial"/>
                <w:b/>
                <w:szCs w:val="18"/>
              </w:rPr>
            </w:pPr>
            <w:r w:rsidRPr="000A53C0">
              <w:rPr>
                <w:rFonts w:cs="Arial"/>
                <w:b/>
                <w:bCs/>
              </w:rPr>
              <w:t>$6.4</w:t>
            </w:r>
          </w:p>
        </w:tc>
        <w:tc>
          <w:tcPr>
            <w:tcW w:w="849" w:type="pct"/>
            <w:tcBorders>
              <w:top w:val="single" w:sz="4" w:space="0" w:color="FFFFFF" w:themeColor="background1"/>
            </w:tcBorders>
            <w:shd w:val="clear" w:color="auto" w:fill="D9D9D9" w:themeFill="background1" w:themeFillShade="D9"/>
          </w:tcPr>
          <w:p w14:paraId="77040A1D" w14:textId="77777777" w:rsidR="002611CA" w:rsidRPr="000A53C0" w:rsidRDefault="002611CA" w:rsidP="006D171E">
            <w:pPr>
              <w:pStyle w:val="TableBody"/>
              <w:keepNext/>
              <w:keepLines/>
              <w:jc w:val="center"/>
              <w:rPr>
                <w:rFonts w:cs="Arial"/>
                <w:b/>
                <w:szCs w:val="18"/>
              </w:rPr>
            </w:pPr>
            <w:r w:rsidRPr="000A53C0">
              <w:rPr>
                <w:rFonts w:cs="Arial"/>
                <w:b/>
                <w:bCs/>
              </w:rPr>
              <w:t>$6.9</w:t>
            </w:r>
          </w:p>
        </w:tc>
      </w:tr>
      <w:tr w:rsidR="002611CA" w:rsidRPr="000A53C0" w14:paraId="2C8254B4" w14:textId="77777777" w:rsidTr="00766916">
        <w:trPr>
          <w:trHeight w:val="355"/>
        </w:trPr>
        <w:tc>
          <w:tcPr>
            <w:tcW w:w="2529" w:type="pct"/>
            <w:shd w:val="clear" w:color="auto" w:fill="F9C3C5" w:themeFill="accent6" w:themeFillTint="33"/>
            <w:vAlign w:val="center"/>
          </w:tcPr>
          <w:p w14:paraId="6384BF7A" w14:textId="77777777" w:rsidR="002611CA" w:rsidRPr="000A53C0" w:rsidRDefault="002611CA" w:rsidP="006D171E">
            <w:pPr>
              <w:pStyle w:val="TableBody"/>
              <w:keepNext/>
              <w:keepLines/>
              <w:rPr>
                <w:rFonts w:cs="Arial"/>
                <w:b/>
                <w:szCs w:val="18"/>
              </w:rPr>
            </w:pPr>
            <w:r w:rsidRPr="000A53C0">
              <w:rPr>
                <w:rFonts w:cs="Arial"/>
                <w:b/>
                <w:szCs w:val="18"/>
              </w:rPr>
              <w:t>Other industry PCBUs</w:t>
            </w:r>
          </w:p>
        </w:tc>
        <w:tc>
          <w:tcPr>
            <w:tcW w:w="557" w:type="pct"/>
            <w:shd w:val="clear" w:color="auto" w:fill="F9C3C5" w:themeFill="accent6" w:themeFillTint="33"/>
            <w:vAlign w:val="center"/>
          </w:tcPr>
          <w:p w14:paraId="76B294BE" w14:textId="77777777" w:rsidR="002611CA" w:rsidRPr="000A53C0" w:rsidRDefault="002611CA" w:rsidP="006D171E">
            <w:pPr>
              <w:pStyle w:val="TableBody"/>
              <w:keepNext/>
              <w:keepLines/>
              <w:jc w:val="center"/>
              <w:rPr>
                <w:rFonts w:cs="Arial"/>
                <w:szCs w:val="18"/>
              </w:rPr>
            </w:pPr>
            <w:r w:rsidRPr="000A53C0">
              <w:rPr>
                <w:rFonts w:cs="Arial"/>
                <w:b/>
              </w:rPr>
              <w:t>Sole traders</w:t>
            </w:r>
          </w:p>
        </w:tc>
        <w:tc>
          <w:tcPr>
            <w:tcW w:w="554" w:type="pct"/>
            <w:shd w:val="clear" w:color="auto" w:fill="F9C3C5" w:themeFill="accent6" w:themeFillTint="33"/>
            <w:vAlign w:val="center"/>
          </w:tcPr>
          <w:p w14:paraId="3C012CAB" w14:textId="77777777" w:rsidR="002611CA" w:rsidRPr="000A53C0" w:rsidRDefault="002611CA" w:rsidP="006D171E">
            <w:pPr>
              <w:pStyle w:val="TableBody"/>
              <w:keepNext/>
              <w:keepLines/>
              <w:jc w:val="center"/>
              <w:rPr>
                <w:rFonts w:cs="Arial"/>
                <w:szCs w:val="18"/>
              </w:rPr>
            </w:pPr>
            <w:r w:rsidRPr="000A53C0">
              <w:rPr>
                <w:rFonts w:cs="Arial"/>
                <w:b/>
              </w:rPr>
              <w:t>Small</w:t>
            </w:r>
          </w:p>
        </w:tc>
        <w:tc>
          <w:tcPr>
            <w:tcW w:w="511" w:type="pct"/>
            <w:shd w:val="clear" w:color="auto" w:fill="F9C3C5" w:themeFill="accent6" w:themeFillTint="33"/>
            <w:vAlign w:val="center"/>
          </w:tcPr>
          <w:p w14:paraId="141B687A" w14:textId="77777777" w:rsidR="002611CA" w:rsidRPr="000A53C0" w:rsidRDefault="002611CA" w:rsidP="006D171E">
            <w:pPr>
              <w:pStyle w:val="TableBody"/>
              <w:keepNext/>
              <w:keepLines/>
              <w:jc w:val="center"/>
              <w:rPr>
                <w:rFonts w:cs="Arial"/>
                <w:szCs w:val="18"/>
              </w:rPr>
            </w:pPr>
            <w:r w:rsidRPr="000A53C0">
              <w:rPr>
                <w:rFonts w:cs="Arial"/>
                <w:b/>
              </w:rPr>
              <w:t>Medium-Large</w:t>
            </w:r>
          </w:p>
        </w:tc>
        <w:tc>
          <w:tcPr>
            <w:tcW w:w="849" w:type="pct"/>
            <w:shd w:val="clear" w:color="auto" w:fill="F9C3C5" w:themeFill="accent6" w:themeFillTint="33"/>
            <w:vAlign w:val="center"/>
          </w:tcPr>
          <w:p w14:paraId="7A83C750" w14:textId="77777777" w:rsidR="002611CA" w:rsidRPr="000A53C0" w:rsidRDefault="002611CA" w:rsidP="006D171E">
            <w:pPr>
              <w:pStyle w:val="TableBody"/>
              <w:keepNext/>
              <w:keepLines/>
              <w:jc w:val="center"/>
              <w:rPr>
                <w:rFonts w:cs="Arial"/>
              </w:rPr>
            </w:pPr>
            <w:r w:rsidRPr="000A53C0">
              <w:rPr>
                <w:rFonts w:cs="Arial"/>
                <w:b/>
              </w:rPr>
              <w:t>Total</w:t>
            </w:r>
          </w:p>
        </w:tc>
      </w:tr>
      <w:tr w:rsidR="002611CA" w:rsidRPr="000A53C0" w14:paraId="37E107FC" w14:textId="77777777">
        <w:trPr>
          <w:trHeight w:val="355"/>
        </w:trPr>
        <w:tc>
          <w:tcPr>
            <w:tcW w:w="5000" w:type="pct"/>
            <w:gridSpan w:val="5"/>
            <w:shd w:val="clear" w:color="auto" w:fill="F2F2F2" w:themeFill="background1" w:themeFillShade="F2"/>
            <w:vAlign w:val="bottom"/>
          </w:tcPr>
          <w:p w14:paraId="1EF854FC" w14:textId="708365D2" w:rsidR="002611CA" w:rsidRPr="000A53C0" w:rsidRDefault="002611CA" w:rsidP="006D171E">
            <w:pPr>
              <w:pStyle w:val="TableBody"/>
              <w:keepNext/>
              <w:keepLines/>
              <w:rPr>
                <w:rFonts w:cs="Arial"/>
                <w:szCs w:val="18"/>
              </w:rPr>
            </w:pPr>
            <w:r w:rsidRPr="000A53C0">
              <w:rPr>
                <w:rFonts w:cs="Arial"/>
                <w:b/>
                <w:szCs w:val="18"/>
              </w:rPr>
              <w:t xml:space="preserve">Licensing framework for </w:t>
            </w:r>
            <w:r w:rsidR="00A231B4" w:rsidRPr="000A53C0">
              <w:rPr>
                <w:rFonts w:cs="Arial"/>
                <w:b/>
                <w:szCs w:val="18"/>
              </w:rPr>
              <w:t xml:space="preserve">work with </w:t>
            </w:r>
            <w:r w:rsidRPr="000A53C0">
              <w:rPr>
                <w:rFonts w:cs="Arial"/>
                <w:b/>
                <w:szCs w:val="18"/>
              </w:rPr>
              <w:t>legacy products</w:t>
            </w:r>
          </w:p>
        </w:tc>
      </w:tr>
      <w:tr w:rsidR="002611CA" w:rsidRPr="000A53C0" w14:paraId="4BE4468D" w14:textId="77777777">
        <w:trPr>
          <w:trHeight w:val="355"/>
        </w:trPr>
        <w:tc>
          <w:tcPr>
            <w:tcW w:w="2529" w:type="pct"/>
            <w:vAlign w:val="bottom"/>
          </w:tcPr>
          <w:p w14:paraId="4EFC307A" w14:textId="77777777" w:rsidR="002611CA" w:rsidRPr="000A53C0" w:rsidRDefault="002611CA" w:rsidP="006D171E">
            <w:pPr>
              <w:pStyle w:val="TableBody"/>
              <w:keepNext/>
              <w:keepLines/>
              <w:rPr>
                <w:rFonts w:cs="Arial"/>
                <w:szCs w:val="18"/>
              </w:rPr>
            </w:pPr>
            <w:r w:rsidRPr="000A53C0">
              <w:rPr>
                <w:rFonts w:cs="Arial"/>
                <w:szCs w:val="18"/>
              </w:rPr>
              <w:t>Licence application costs</w:t>
            </w:r>
          </w:p>
        </w:tc>
        <w:tc>
          <w:tcPr>
            <w:tcW w:w="557" w:type="pct"/>
            <w:shd w:val="clear" w:color="auto" w:fill="auto"/>
          </w:tcPr>
          <w:p w14:paraId="3BDCA1AC" w14:textId="77777777" w:rsidR="002611CA" w:rsidRPr="000A53C0" w:rsidRDefault="002611CA" w:rsidP="006D171E">
            <w:pPr>
              <w:pStyle w:val="TableBody"/>
              <w:keepNext/>
              <w:keepLines/>
              <w:jc w:val="center"/>
              <w:rPr>
                <w:rFonts w:cs="Arial"/>
                <w:szCs w:val="18"/>
              </w:rPr>
            </w:pPr>
            <w:r w:rsidRPr="000A53C0">
              <w:rPr>
                <w:rFonts w:cs="Arial"/>
              </w:rPr>
              <w:t>$26.2</w:t>
            </w:r>
          </w:p>
        </w:tc>
        <w:tc>
          <w:tcPr>
            <w:tcW w:w="554" w:type="pct"/>
            <w:shd w:val="clear" w:color="auto" w:fill="auto"/>
          </w:tcPr>
          <w:p w14:paraId="1A3305CC" w14:textId="77777777" w:rsidR="002611CA" w:rsidRPr="000A53C0" w:rsidRDefault="002611CA" w:rsidP="006D171E">
            <w:pPr>
              <w:pStyle w:val="TableBody"/>
              <w:keepNext/>
              <w:keepLines/>
              <w:jc w:val="center"/>
              <w:rPr>
                <w:rFonts w:cs="Arial"/>
                <w:szCs w:val="18"/>
              </w:rPr>
            </w:pPr>
            <w:r w:rsidRPr="000A53C0">
              <w:rPr>
                <w:rFonts w:cs="Arial"/>
              </w:rPr>
              <w:t>$24.2</w:t>
            </w:r>
          </w:p>
        </w:tc>
        <w:tc>
          <w:tcPr>
            <w:tcW w:w="511" w:type="pct"/>
            <w:shd w:val="clear" w:color="auto" w:fill="auto"/>
          </w:tcPr>
          <w:p w14:paraId="3272336F" w14:textId="77777777" w:rsidR="002611CA" w:rsidRPr="000A53C0" w:rsidRDefault="002611CA" w:rsidP="006D171E">
            <w:pPr>
              <w:pStyle w:val="TableBody"/>
              <w:keepNext/>
              <w:keepLines/>
              <w:jc w:val="center"/>
              <w:rPr>
                <w:rFonts w:cs="Arial"/>
                <w:szCs w:val="18"/>
              </w:rPr>
            </w:pPr>
            <w:r w:rsidRPr="000A53C0">
              <w:rPr>
                <w:rFonts w:cs="Arial"/>
              </w:rPr>
              <w:t>$0.7</w:t>
            </w:r>
          </w:p>
        </w:tc>
        <w:tc>
          <w:tcPr>
            <w:tcW w:w="849" w:type="pct"/>
          </w:tcPr>
          <w:p w14:paraId="622BF85F" w14:textId="77777777" w:rsidR="002611CA" w:rsidRPr="000A53C0" w:rsidRDefault="002611CA" w:rsidP="006D171E">
            <w:pPr>
              <w:pStyle w:val="TableBody"/>
              <w:keepNext/>
              <w:keepLines/>
              <w:jc w:val="center"/>
              <w:rPr>
                <w:rFonts w:cs="Arial"/>
                <w:szCs w:val="18"/>
              </w:rPr>
            </w:pPr>
            <w:r w:rsidRPr="000A53C0">
              <w:rPr>
                <w:rFonts w:cs="Arial"/>
              </w:rPr>
              <w:t>$51.1</w:t>
            </w:r>
          </w:p>
        </w:tc>
      </w:tr>
      <w:tr w:rsidR="002611CA" w:rsidRPr="000A53C0" w14:paraId="12B520ED" w14:textId="77777777">
        <w:trPr>
          <w:trHeight w:val="355"/>
        </w:trPr>
        <w:tc>
          <w:tcPr>
            <w:tcW w:w="2529" w:type="pct"/>
            <w:vAlign w:val="bottom"/>
          </w:tcPr>
          <w:p w14:paraId="0F737A99" w14:textId="77777777" w:rsidR="002611CA" w:rsidRPr="000A53C0" w:rsidRDefault="002611CA" w:rsidP="006D171E">
            <w:pPr>
              <w:pStyle w:val="TableBody"/>
              <w:keepNext/>
              <w:keepLines/>
              <w:rPr>
                <w:rFonts w:cs="Arial"/>
                <w:szCs w:val="18"/>
              </w:rPr>
            </w:pPr>
            <w:r w:rsidRPr="000A53C0">
              <w:rPr>
                <w:rFonts w:cs="Arial"/>
                <w:szCs w:val="18"/>
              </w:rPr>
              <w:t>Licence renewal application costs</w:t>
            </w:r>
          </w:p>
        </w:tc>
        <w:tc>
          <w:tcPr>
            <w:tcW w:w="557" w:type="pct"/>
            <w:shd w:val="clear" w:color="auto" w:fill="auto"/>
          </w:tcPr>
          <w:p w14:paraId="5C32FE38" w14:textId="77777777" w:rsidR="002611CA" w:rsidRPr="000A53C0" w:rsidRDefault="002611CA" w:rsidP="006D171E">
            <w:pPr>
              <w:pStyle w:val="TableBody"/>
              <w:keepNext/>
              <w:keepLines/>
              <w:jc w:val="center"/>
              <w:rPr>
                <w:rFonts w:cs="Arial"/>
                <w:szCs w:val="18"/>
              </w:rPr>
            </w:pPr>
            <w:r w:rsidRPr="000A53C0">
              <w:rPr>
                <w:rFonts w:cs="Arial"/>
              </w:rPr>
              <w:t>$16.0</w:t>
            </w:r>
          </w:p>
        </w:tc>
        <w:tc>
          <w:tcPr>
            <w:tcW w:w="554" w:type="pct"/>
            <w:shd w:val="clear" w:color="auto" w:fill="auto"/>
          </w:tcPr>
          <w:p w14:paraId="2B4FA4DA" w14:textId="77777777" w:rsidR="002611CA" w:rsidRPr="000A53C0" w:rsidRDefault="002611CA" w:rsidP="006D171E">
            <w:pPr>
              <w:pStyle w:val="TableBody"/>
              <w:keepNext/>
              <w:keepLines/>
              <w:jc w:val="center"/>
              <w:rPr>
                <w:rFonts w:cs="Arial"/>
                <w:szCs w:val="18"/>
              </w:rPr>
            </w:pPr>
            <w:r w:rsidRPr="000A53C0">
              <w:rPr>
                <w:rFonts w:cs="Arial"/>
              </w:rPr>
              <w:t>$14.8</w:t>
            </w:r>
          </w:p>
        </w:tc>
        <w:tc>
          <w:tcPr>
            <w:tcW w:w="511" w:type="pct"/>
            <w:shd w:val="clear" w:color="auto" w:fill="auto"/>
          </w:tcPr>
          <w:p w14:paraId="2974185D" w14:textId="77777777" w:rsidR="002611CA" w:rsidRPr="000A53C0" w:rsidRDefault="002611CA" w:rsidP="006D171E">
            <w:pPr>
              <w:pStyle w:val="TableBody"/>
              <w:keepNext/>
              <w:keepLines/>
              <w:jc w:val="center"/>
              <w:rPr>
                <w:rFonts w:cs="Arial"/>
                <w:szCs w:val="18"/>
              </w:rPr>
            </w:pPr>
            <w:r w:rsidRPr="000A53C0">
              <w:rPr>
                <w:rFonts w:cs="Arial"/>
              </w:rPr>
              <w:t>$0.4</w:t>
            </w:r>
          </w:p>
        </w:tc>
        <w:tc>
          <w:tcPr>
            <w:tcW w:w="849" w:type="pct"/>
          </w:tcPr>
          <w:p w14:paraId="65D7611A" w14:textId="77777777" w:rsidR="002611CA" w:rsidRPr="000A53C0" w:rsidRDefault="002611CA" w:rsidP="006D171E">
            <w:pPr>
              <w:pStyle w:val="TableBody"/>
              <w:keepNext/>
              <w:keepLines/>
              <w:jc w:val="center"/>
              <w:rPr>
                <w:rFonts w:cs="Arial"/>
                <w:szCs w:val="18"/>
              </w:rPr>
            </w:pPr>
            <w:r w:rsidRPr="000A53C0">
              <w:rPr>
                <w:rFonts w:cs="Arial"/>
              </w:rPr>
              <w:t>$31.2</w:t>
            </w:r>
          </w:p>
        </w:tc>
      </w:tr>
      <w:tr w:rsidR="002611CA" w:rsidRPr="000A53C0" w14:paraId="535170CB" w14:textId="77777777">
        <w:trPr>
          <w:trHeight w:val="355"/>
        </w:trPr>
        <w:tc>
          <w:tcPr>
            <w:tcW w:w="2529" w:type="pct"/>
            <w:vAlign w:val="bottom"/>
          </w:tcPr>
          <w:p w14:paraId="49BCEEF3" w14:textId="77777777" w:rsidR="002611CA" w:rsidRPr="000A53C0" w:rsidRDefault="002611CA" w:rsidP="006D171E">
            <w:pPr>
              <w:pStyle w:val="TableBody"/>
              <w:keepNext/>
              <w:keepLines/>
              <w:rPr>
                <w:rFonts w:cs="Arial"/>
                <w:szCs w:val="18"/>
              </w:rPr>
            </w:pPr>
            <w:r w:rsidRPr="000A53C0">
              <w:rPr>
                <w:rFonts w:cs="Arial"/>
                <w:szCs w:val="18"/>
              </w:rPr>
              <w:t>Licence compliance costs (audit preparation)</w:t>
            </w:r>
          </w:p>
        </w:tc>
        <w:tc>
          <w:tcPr>
            <w:tcW w:w="557" w:type="pct"/>
            <w:shd w:val="clear" w:color="auto" w:fill="auto"/>
          </w:tcPr>
          <w:p w14:paraId="7027CBB9" w14:textId="77777777" w:rsidR="002611CA" w:rsidRPr="000A53C0" w:rsidRDefault="002611CA" w:rsidP="006D171E">
            <w:pPr>
              <w:pStyle w:val="TableBody"/>
              <w:keepNext/>
              <w:keepLines/>
              <w:jc w:val="center"/>
              <w:rPr>
                <w:rFonts w:cs="Arial"/>
                <w:szCs w:val="18"/>
              </w:rPr>
            </w:pPr>
            <w:r w:rsidRPr="000A53C0">
              <w:rPr>
                <w:rFonts w:cs="Arial"/>
              </w:rPr>
              <w:t>$25.9</w:t>
            </w:r>
          </w:p>
        </w:tc>
        <w:tc>
          <w:tcPr>
            <w:tcW w:w="554" w:type="pct"/>
            <w:shd w:val="clear" w:color="auto" w:fill="auto"/>
          </w:tcPr>
          <w:p w14:paraId="41BF642E" w14:textId="77777777" w:rsidR="002611CA" w:rsidRPr="000A53C0" w:rsidRDefault="002611CA" w:rsidP="006D171E">
            <w:pPr>
              <w:pStyle w:val="TableBody"/>
              <w:keepNext/>
              <w:keepLines/>
              <w:jc w:val="center"/>
              <w:rPr>
                <w:rFonts w:cs="Arial"/>
                <w:szCs w:val="18"/>
              </w:rPr>
            </w:pPr>
            <w:r w:rsidRPr="000A53C0">
              <w:rPr>
                <w:rFonts w:cs="Arial"/>
              </w:rPr>
              <w:t>$24.0</w:t>
            </w:r>
          </w:p>
        </w:tc>
        <w:tc>
          <w:tcPr>
            <w:tcW w:w="511" w:type="pct"/>
            <w:shd w:val="clear" w:color="auto" w:fill="auto"/>
          </w:tcPr>
          <w:p w14:paraId="667308CF" w14:textId="77777777" w:rsidR="002611CA" w:rsidRPr="000A53C0" w:rsidRDefault="002611CA" w:rsidP="006D171E">
            <w:pPr>
              <w:pStyle w:val="TableBody"/>
              <w:keepNext/>
              <w:keepLines/>
              <w:jc w:val="center"/>
              <w:rPr>
                <w:rFonts w:cs="Arial"/>
                <w:szCs w:val="18"/>
              </w:rPr>
            </w:pPr>
            <w:r w:rsidRPr="000A53C0">
              <w:rPr>
                <w:rFonts w:cs="Arial"/>
              </w:rPr>
              <w:t>$0.7</w:t>
            </w:r>
          </w:p>
        </w:tc>
        <w:tc>
          <w:tcPr>
            <w:tcW w:w="849" w:type="pct"/>
          </w:tcPr>
          <w:p w14:paraId="6625CDB4" w14:textId="77777777" w:rsidR="002611CA" w:rsidRPr="000A53C0" w:rsidRDefault="002611CA" w:rsidP="006D171E">
            <w:pPr>
              <w:pStyle w:val="TableBody"/>
              <w:keepNext/>
              <w:keepLines/>
              <w:jc w:val="center"/>
              <w:rPr>
                <w:rFonts w:cs="Arial"/>
                <w:szCs w:val="18"/>
              </w:rPr>
            </w:pPr>
            <w:r w:rsidRPr="000A53C0">
              <w:rPr>
                <w:rFonts w:cs="Arial"/>
              </w:rPr>
              <w:t>$50.6</w:t>
            </w:r>
          </w:p>
        </w:tc>
      </w:tr>
      <w:tr w:rsidR="002611CA" w:rsidRPr="000A53C0" w14:paraId="21A77DE2" w14:textId="77777777">
        <w:trPr>
          <w:trHeight w:val="355"/>
        </w:trPr>
        <w:tc>
          <w:tcPr>
            <w:tcW w:w="2529" w:type="pct"/>
            <w:shd w:val="clear" w:color="auto" w:fill="D1D1D1" w:themeFill="background2"/>
            <w:vAlign w:val="bottom"/>
          </w:tcPr>
          <w:p w14:paraId="766105FE" w14:textId="77777777" w:rsidR="002611CA" w:rsidRPr="000A53C0" w:rsidRDefault="002611CA" w:rsidP="006D171E">
            <w:pPr>
              <w:pStyle w:val="TableBody"/>
              <w:keepNext/>
              <w:keepLines/>
              <w:rPr>
                <w:rFonts w:cs="Arial"/>
                <w:szCs w:val="18"/>
              </w:rPr>
            </w:pPr>
            <w:r w:rsidRPr="000A53C0">
              <w:rPr>
                <w:rFonts w:cs="Arial"/>
                <w:b/>
                <w:szCs w:val="18"/>
              </w:rPr>
              <w:t>Sub-Total</w:t>
            </w:r>
          </w:p>
        </w:tc>
        <w:tc>
          <w:tcPr>
            <w:tcW w:w="557" w:type="pct"/>
            <w:shd w:val="clear" w:color="auto" w:fill="D1D1D1" w:themeFill="background2"/>
          </w:tcPr>
          <w:p w14:paraId="032FD0D9" w14:textId="77777777" w:rsidR="002611CA" w:rsidRPr="000A53C0" w:rsidRDefault="002611CA" w:rsidP="006D171E">
            <w:pPr>
              <w:pStyle w:val="TableBody"/>
              <w:keepNext/>
              <w:keepLines/>
              <w:jc w:val="center"/>
              <w:rPr>
                <w:rFonts w:cs="Arial"/>
                <w:b/>
                <w:szCs w:val="18"/>
              </w:rPr>
            </w:pPr>
            <w:r w:rsidRPr="000A53C0">
              <w:rPr>
                <w:rFonts w:cs="Arial"/>
                <w:b/>
                <w:bCs/>
              </w:rPr>
              <w:t>$68.2</w:t>
            </w:r>
          </w:p>
        </w:tc>
        <w:tc>
          <w:tcPr>
            <w:tcW w:w="554" w:type="pct"/>
            <w:shd w:val="clear" w:color="auto" w:fill="D1D1D1" w:themeFill="background2"/>
          </w:tcPr>
          <w:p w14:paraId="5C6BB3C7" w14:textId="77777777" w:rsidR="002611CA" w:rsidRPr="000A53C0" w:rsidRDefault="002611CA" w:rsidP="006D171E">
            <w:pPr>
              <w:pStyle w:val="TableBody"/>
              <w:keepNext/>
              <w:keepLines/>
              <w:jc w:val="center"/>
              <w:rPr>
                <w:rFonts w:cs="Arial"/>
                <w:b/>
                <w:szCs w:val="18"/>
              </w:rPr>
            </w:pPr>
            <w:r w:rsidRPr="000A53C0">
              <w:rPr>
                <w:rFonts w:cs="Arial"/>
                <w:b/>
                <w:bCs/>
              </w:rPr>
              <w:t>$63.0</w:t>
            </w:r>
          </w:p>
        </w:tc>
        <w:tc>
          <w:tcPr>
            <w:tcW w:w="511" w:type="pct"/>
            <w:shd w:val="clear" w:color="auto" w:fill="D1D1D1" w:themeFill="background2"/>
          </w:tcPr>
          <w:p w14:paraId="2ADCB3CF" w14:textId="77777777" w:rsidR="002611CA" w:rsidRPr="000A53C0" w:rsidRDefault="002611CA" w:rsidP="006D171E">
            <w:pPr>
              <w:pStyle w:val="TableBody"/>
              <w:keepNext/>
              <w:keepLines/>
              <w:jc w:val="center"/>
              <w:rPr>
                <w:rFonts w:cs="Arial"/>
                <w:b/>
                <w:szCs w:val="18"/>
              </w:rPr>
            </w:pPr>
            <w:r w:rsidRPr="000A53C0">
              <w:rPr>
                <w:rFonts w:cs="Arial"/>
                <w:b/>
                <w:bCs/>
              </w:rPr>
              <w:t>$1.8</w:t>
            </w:r>
          </w:p>
        </w:tc>
        <w:tc>
          <w:tcPr>
            <w:tcW w:w="849" w:type="pct"/>
            <w:shd w:val="clear" w:color="auto" w:fill="D1D1D1" w:themeFill="background2"/>
          </w:tcPr>
          <w:p w14:paraId="6FEAE6DC" w14:textId="77777777" w:rsidR="002611CA" w:rsidRPr="000A53C0" w:rsidRDefault="002611CA" w:rsidP="006D171E">
            <w:pPr>
              <w:pStyle w:val="TableBody"/>
              <w:keepNext/>
              <w:keepLines/>
              <w:jc w:val="center"/>
              <w:rPr>
                <w:rFonts w:cs="Arial"/>
                <w:b/>
                <w:szCs w:val="18"/>
              </w:rPr>
            </w:pPr>
            <w:r w:rsidRPr="000A53C0">
              <w:rPr>
                <w:rFonts w:cs="Arial"/>
                <w:b/>
                <w:bCs/>
              </w:rPr>
              <w:t>$133.0</w:t>
            </w:r>
          </w:p>
        </w:tc>
      </w:tr>
      <w:tr w:rsidR="002611CA" w:rsidRPr="000A53C0" w14:paraId="264A931B" w14:textId="77777777">
        <w:trPr>
          <w:trHeight w:val="355"/>
        </w:trPr>
        <w:tc>
          <w:tcPr>
            <w:tcW w:w="2529" w:type="pct"/>
            <w:shd w:val="clear" w:color="auto" w:fill="D1D1D1" w:themeFill="background2"/>
            <w:vAlign w:val="bottom"/>
          </w:tcPr>
          <w:p w14:paraId="31951999" w14:textId="77777777" w:rsidR="002611CA" w:rsidRPr="000A53C0" w:rsidRDefault="002611CA" w:rsidP="006D171E">
            <w:pPr>
              <w:pStyle w:val="TableBody"/>
              <w:keepNext/>
              <w:keepLines/>
              <w:rPr>
                <w:rFonts w:cs="Arial"/>
                <w:b/>
                <w:szCs w:val="18"/>
              </w:rPr>
            </w:pPr>
            <w:r w:rsidRPr="000A53C0">
              <w:rPr>
                <w:rFonts w:cs="Arial"/>
                <w:b/>
                <w:szCs w:val="18"/>
              </w:rPr>
              <w:t>Total</w:t>
            </w:r>
          </w:p>
        </w:tc>
        <w:tc>
          <w:tcPr>
            <w:tcW w:w="557" w:type="pct"/>
            <w:shd w:val="clear" w:color="auto" w:fill="D1D1D1" w:themeFill="background2"/>
          </w:tcPr>
          <w:p w14:paraId="4003DBE6" w14:textId="77777777" w:rsidR="002611CA" w:rsidRPr="000A53C0" w:rsidRDefault="002611CA" w:rsidP="006D171E">
            <w:pPr>
              <w:pStyle w:val="TableBody"/>
              <w:keepNext/>
              <w:keepLines/>
              <w:jc w:val="center"/>
              <w:rPr>
                <w:rFonts w:cs="Arial"/>
                <w:b/>
                <w:szCs w:val="18"/>
              </w:rPr>
            </w:pPr>
            <w:r w:rsidRPr="000A53C0">
              <w:rPr>
                <w:rFonts w:cs="Arial"/>
                <w:b/>
                <w:bCs/>
              </w:rPr>
              <w:t>$68.4</w:t>
            </w:r>
          </w:p>
        </w:tc>
        <w:tc>
          <w:tcPr>
            <w:tcW w:w="554" w:type="pct"/>
            <w:shd w:val="clear" w:color="auto" w:fill="D1D1D1" w:themeFill="background2"/>
          </w:tcPr>
          <w:p w14:paraId="6F17CDCF" w14:textId="77777777" w:rsidR="002611CA" w:rsidRPr="000A53C0" w:rsidRDefault="002611CA" w:rsidP="006D171E">
            <w:pPr>
              <w:pStyle w:val="TableBody"/>
              <w:keepNext/>
              <w:keepLines/>
              <w:jc w:val="center"/>
              <w:rPr>
                <w:rFonts w:cs="Arial"/>
                <w:b/>
                <w:szCs w:val="18"/>
              </w:rPr>
            </w:pPr>
            <w:r w:rsidRPr="000A53C0">
              <w:rPr>
                <w:rFonts w:cs="Arial"/>
                <w:b/>
                <w:bCs/>
              </w:rPr>
              <w:t>$63.2</w:t>
            </w:r>
          </w:p>
        </w:tc>
        <w:tc>
          <w:tcPr>
            <w:tcW w:w="511" w:type="pct"/>
            <w:shd w:val="clear" w:color="auto" w:fill="D1D1D1" w:themeFill="background2"/>
          </w:tcPr>
          <w:p w14:paraId="7F3F746F" w14:textId="77777777" w:rsidR="002611CA" w:rsidRPr="000A53C0" w:rsidRDefault="002611CA" w:rsidP="006D171E">
            <w:pPr>
              <w:pStyle w:val="TableBody"/>
              <w:keepNext/>
              <w:keepLines/>
              <w:jc w:val="center"/>
              <w:rPr>
                <w:rFonts w:cs="Arial"/>
                <w:b/>
                <w:szCs w:val="18"/>
              </w:rPr>
            </w:pPr>
            <w:r w:rsidRPr="000A53C0">
              <w:rPr>
                <w:rFonts w:cs="Arial"/>
                <w:b/>
                <w:bCs/>
              </w:rPr>
              <w:t>$8.2</w:t>
            </w:r>
          </w:p>
        </w:tc>
        <w:tc>
          <w:tcPr>
            <w:tcW w:w="849" w:type="pct"/>
            <w:shd w:val="clear" w:color="auto" w:fill="D1D1D1" w:themeFill="background2"/>
          </w:tcPr>
          <w:p w14:paraId="4062B871" w14:textId="77777777" w:rsidR="002611CA" w:rsidRPr="000A53C0" w:rsidRDefault="002611CA" w:rsidP="006D171E">
            <w:pPr>
              <w:pStyle w:val="TableBody"/>
              <w:keepNext/>
              <w:keepLines/>
              <w:jc w:val="center"/>
              <w:rPr>
                <w:rFonts w:cs="Arial"/>
                <w:b/>
                <w:szCs w:val="18"/>
              </w:rPr>
            </w:pPr>
            <w:r w:rsidRPr="000A53C0">
              <w:rPr>
                <w:rFonts w:cs="Arial"/>
                <w:b/>
              </w:rPr>
              <w:t>$139</w:t>
            </w:r>
            <w:r w:rsidRPr="000A53C0">
              <w:rPr>
                <w:rFonts w:cs="Arial"/>
                <w:b/>
                <w:bCs/>
              </w:rPr>
              <w:t>.9</w:t>
            </w:r>
          </w:p>
        </w:tc>
      </w:tr>
    </w:tbl>
    <w:p w14:paraId="15FA344C" w14:textId="77777777" w:rsidR="002611CA" w:rsidRPr="000A53C0" w:rsidRDefault="002611CA" w:rsidP="002611CA">
      <w:pPr>
        <w:pStyle w:val="BodyText"/>
        <w:rPr>
          <w:rFonts w:cs="Arial"/>
        </w:rPr>
      </w:pPr>
    </w:p>
    <w:p w14:paraId="3AB51802" w14:textId="5D5DD64A" w:rsidR="002611CA" w:rsidRPr="003B5178" w:rsidRDefault="002611CA" w:rsidP="003B5178">
      <w:pPr>
        <w:pStyle w:val="Heading4numbered"/>
      </w:pPr>
      <w:bookmarkStart w:id="132" w:name="_Ref139637829"/>
      <w:r w:rsidRPr="003B5178">
        <w:t>Engineered stone PCBUs</w:t>
      </w:r>
      <w:bookmarkEnd w:id="132"/>
    </w:p>
    <w:p w14:paraId="5066DABE" w14:textId="775D866C" w:rsidR="002611CA" w:rsidRPr="000A53C0" w:rsidRDefault="002611CA" w:rsidP="002611CA">
      <w:pPr>
        <w:pStyle w:val="BodyText"/>
        <w:rPr>
          <w:rFonts w:cs="Arial"/>
        </w:rPr>
      </w:pPr>
      <w:r w:rsidRPr="000A53C0">
        <w:rPr>
          <w:rFonts w:cs="Arial"/>
        </w:rPr>
        <w:t>Total costs to engineered stone PCBUs of Option 1 are estimated to be $6.9 million over the</w:t>
      </w:r>
      <w:r w:rsidR="009D1988" w:rsidRPr="000A53C0">
        <w:rPr>
          <w:rFonts w:cs="Arial"/>
        </w:rPr>
        <w:t xml:space="preserve"> appraisal period (</w:t>
      </w:r>
      <w:r w:rsidR="00A231B4" w:rsidRPr="000A53C0">
        <w:rPr>
          <w:rFonts w:cs="Arial"/>
        </w:rPr>
        <w:fldChar w:fldCharType="begin" w:fldLock="1"/>
      </w:r>
      <w:r w:rsidR="00A231B4" w:rsidRPr="000A53C0">
        <w:rPr>
          <w:rFonts w:cs="Arial"/>
        </w:rPr>
        <w:instrText xml:space="preserve"> REF _Ref139636219 \h </w:instrText>
      </w:r>
      <w:r w:rsidR="000A53C0">
        <w:rPr>
          <w:rFonts w:cs="Arial"/>
        </w:rPr>
        <w:instrText xml:space="preserve"> \* MERGEFORMAT </w:instrText>
      </w:r>
      <w:r w:rsidR="00A231B4" w:rsidRPr="000A53C0">
        <w:rPr>
          <w:rFonts w:cs="Arial"/>
        </w:rPr>
      </w:r>
      <w:r w:rsidR="00A231B4" w:rsidRPr="000A53C0">
        <w:rPr>
          <w:rFonts w:cs="Arial"/>
        </w:rPr>
        <w:fldChar w:fldCharType="separate"/>
      </w:r>
      <w:r w:rsidR="00D16271" w:rsidRPr="00D16271">
        <w:rPr>
          <w:rFonts w:cs="Arial"/>
        </w:rPr>
        <w:t xml:space="preserve">Table </w:t>
      </w:r>
      <w:r w:rsidR="00D16271" w:rsidRPr="00D16271">
        <w:rPr>
          <w:rFonts w:cs="Arial"/>
          <w:noProof/>
        </w:rPr>
        <w:t>8</w:t>
      </w:r>
      <w:r w:rsidR="00A231B4" w:rsidRPr="000A53C0">
        <w:rPr>
          <w:rFonts w:cs="Arial"/>
        </w:rPr>
        <w:fldChar w:fldCharType="end"/>
      </w:r>
      <w:r w:rsidR="00A231B4" w:rsidRPr="000A53C0">
        <w:rPr>
          <w:rFonts w:cs="Arial"/>
        </w:rPr>
        <w:t>)</w:t>
      </w:r>
      <w:r w:rsidRPr="000A53C0">
        <w:rPr>
          <w:rFonts w:cs="Arial"/>
        </w:rPr>
        <w:t>.</w:t>
      </w:r>
      <w:r w:rsidR="00A3073F" w:rsidRPr="000A53C0">
        <w:rPr>
          <w:rFonts w:cs="Arial"/>
        </w:rPr>
        <w:t xml:space="preserve"> </w:t>
      </w:r>
    </w:p>
    <w:p w14:paraId="14E298F2" w14:textId="77777777" w:rsidR="002611CA" w:rsidRPr="006843D7" w:rsidRDefault="002611CA" w:rsidP="006843D7">
      <w:pPr>
        <w:pStyle w:val="Heading5"/>
      </w:pPr>
      <w:r w:rsidRPr="006843D7">
        <w:t>Costs associated with business closure</w:t>
      </w:r>
    </w:p>
    <w:p w14:paraId="65064D04" w14:textId="09FFF83D" w:rsidR="005260FD" w:rsidRPr="000A53C0" w:rsidRDefault="002611CA" w:rsidP="002611CA">
      <w:pPr>
        <w:pStyle w:val="BodyText"/>
        <w:rPr>
          <w:rFonts w:cs="Arial"/>
        </w:rPr>
      </w:pPr>
      <w:r w:rsidRPr="000A53C0">
        <w:rPr>
          <w:rFonts w:cs="Arial"/>
        </w:rPr>
        <w:t xml:space="preserve">Under Option 1, it is assumed that 10% of sole traders (44), 10% of small businesses (42) and 5% of medium businesses (7) would exit the industry due to a prohibition on the use of all engineered stone. The number of PCBU closures is smaller than that estimated for Option 6 in the Silica Decision RIS as result of data received through the consultation on the Prohibition Decision RIS. Of engineered stone PCBUs who responded to the consultation </w:t>
      </w:r>
      <w:r w:rsidR="003A566A" w:rsidRPr="000A53C0">
        <w:rPr>
          <w:rFonts w:cs="Arial"/>
        </w:rPr>
        <w:t xml:space="preserve">on the prohibition options, </w:t>
      </w:r>
      <w:r w:rsidRPr="000A53C0">
        <w:rPr>
          <w:rFonts w:cs="Arial"/>
        </w:rPr>
        <w:t xml:space="preserve">95% indicated they also work with natural stone, meaning the transition to work with natural stone would likely have less impact than previously assumed. </w:t>
      </w:r>
      <w:r w:rsidR="00CD2D5E" w:rsidRPr="000A53C0">
        <w:rPr>
          <w:rFonts w:cs="Arial"/>
        </w:rPr>
        <w:t xml:space="preserve"> </w:t>
      </w:r>
    </w:p>
    <w:p w14:paraId="17B01E38" w14:textId="77777777" w:rsidR="005260FD" w:rsidRPr="000A53C0" w:rsidRDefault="005260FD" w:rsidP="005260FD">
      <w:pPr>
        <w:pStyle w:val="BodyText"/>
        <w:rPr>
          <w:rFonts w:cs="Arial"/>
        </w:rPr>
      </w:pPr>
      <w:r w:rsidRPr="000A53C0">
        <w:rPr>
          <w:rFonts w:cs="Arial"/>
        </w:rPr>
        <w:t xml:space="preserve">It is expected that more sole traders and small businesses would leave the industry than medium sized businesses under this option as they have less ability to pivot to non-engineered stone products. </w:t>
      </w:r>
    </w:p>
    <w:p w14:paraId="0428F061" w14:textId="078C8955" w:rsidR="00E556C8" w:rsidRPr="000A53C0" w:rsidRDefault="00E556C8" w:rsidP="00E556C8">
      <w:pPr>
        <w:pStyle w:val="BodyText"/>
        <w:rPr>
          <w:rFonts w:cs="Arial"/>
        </w:rPr>
      </w:pPr>
      <w:r w:rsidRPr="000A53C0">
        <w:rPr>
          <w:rFonts w:cs="Arial"/>
        </w:rPr>
        <w:t xml:space="preserve">Business closure costs (e.g. financial wind up or liquidation costs) and redundancy payments paid to workers have been estimated at $4.8 million across all engineered stone PCBUs for Option 1. Redundancy costs have been assumed to be paid only by medium businesses, with displaced workers from smaller businesses eligible for government income support (covered in </w:t>
      </w:r>
      <w:r w:rsidR="000C19BF">
        <w:rPr>
          <w:rFonts w:cs="Arial"/>
        </w:rPr>
        <w:t>S</w:t>
      </w:r>
      <w:r w:rsidRPr="000A53C0">
        <w:rPr>
          <w:rFonts w:cs="Arial"/>
        </w:rPr>
        <w:t xml:space="preserve">ection </w:t>
      </w:r>
      <w:r w:rsidRPr="000A53C0">
        <w:rPr>
          <w:rFonts w:cs="Arial"/>
          <w:highlight w:val="yellow"/>
        </w:rPr>
        <w:fldChar w:fldCharType="begin" w:fldLock="1"/>
      </w:r>
      <w:r w:rsidRPr="000A53C0">
        <w:rPr>
          <w:rFonts w:cs="Arial"/>
        </w:rPr>
        <w:instrText xml:space="preserve"> REF _Ref139637540 \r \h </w:instrText>
      </w:r>
      <w:r w:rsidR="000A53C0">
        <w:rPr>
          <w:rFonts w:cs="Arial"/>
          <w:highlight w:val="yellow"/>
        </w:rPr>
        <w:instrText xml:space="preserve"> \* MERGEFORMAT </w:instrText>
      </w:r>
      <w:r w:rsidRPr="000A53C0">
        <w:rPr>
          <w:rFonts w:cs="Arial"/>
          <w:highlight w:val="yellow"/>
        </w:rPr>
      </w:r>
      <w:r w:rsidRPr="000A53C0">
        <w:rPr>
          <w:rFonts w:cs="Arial"/>
          <w:highlight w:val="yellow"/>
        </w:rPr>
        <w:fldChar w:fldCharType="separate"/>
      </w:r>
      <w:r w:rsidR="00D16271">
        <w:rPr>
          <w:rFonts w:cs="Arial"/>
        </w:rPr>
        <w:t>4.4.2</w:t>
      </w:r>
      <w:r w:rsidRPr="000A53C0">
        <w:rPr>
          <w:rFonts w:cs="Arial"/>
          <w:highlight w:val="yellow"/>
        </w:rPr>
        <w:fldChar w:fldCharType="end"/>
      </w:r>
      <w:r w:rsidRPr="000A53C0">
        <w:rPr>
          <w:rFonts w:cs="Arial"/>
        </w:rPr>
        <w:t>).</w:t>
      </w:r>
    </w:p>
    <w:p w14:paraId="4D3914E2" w14:textId="2BDF73D5" w:rsidR="007F20D2" w:rsidRPr="000A53C0" w:rsidRDefault="007F20D2" w:rsidP="006843D7">
      <w:pPr>
        <w:pStyle w:val="Heading5"/>
      </w:pPr>
      <w:r w:rsidRPr="000A53C0">
        <w:t xml:space="preserve">Testing costs to </w:t>
      </w:r>
      <w:r w:rsidR="00A935DE" w:rsidRPr="000A53C0">
        <w:t xml:space="preserve">engineered stone </w:t>
      </w:r>
      <w:r w:rsidRPr="000A53C0">
        <w:t>PCBUs at different business closure rates</w:t>
      </w:r>
    </w:p>
    <w:p w14:paraId="5412414C" w14:textId="44D6D2C1" w:rsidR="002611CA" w:rsidRPr="000A53C0" w:rsidRDefault="00E556C8" w:rsidP="002611CA">
      <w:pPr>
        <w:pStyle w:val="BodyText"/>
        <w:rPr>
          <w:rFonts w:cs="Arial"/>
        </w:rPr>
      </w:pPr>
      <w:r w:rsidRPr="000A53C0">
        <w:rPr>
          <w:rFonts w:cs="Arial"/>
        </w:rPr>
        <w:t>The estimated cost</w:t>
      </w:r>
      <w:r w:rsidR="007F4AED" w:rsidRPr="000A53C0">
        <w:rPr>
          <w:rFonts w:cs="Arial"/>
        </w:rPr>
        <w:t>s</w:t>
      </w:r>
      <w:r w:rsidRPr="000A53C0">
        <w:rPr>
          <w:rFonts w:cs="Arial"/>
        </w:rPr>
        <w:t xml:space="preserve"> to </w:t>
      </w:r>
      <w:r w:rsidR="00A935DE" w:rsidRPr="000A53C0">
        <w:rPr>
          <w:rFonts w:cs="Arial"/>
        </w:rPr>
        <w:t xml:space="preserve">engineered stone </w:t>
      </w:r>
      <w:r w:rsidRPr="000A53C0">
        <w:rPr>
          <w:rFonts w:cs="Arial"/>
        </w:rPr>
        <w:t xml:space="preserve">PCBUs is relatively low, compared to the total estimated cost of the prohibition </w:t>
      </w:r>
      <w:r w:rsidR="007C20F8" w:rsidRPr="000A53C0">
        <w:rPr>
          <w:rFonts w:cs="Arial"/>
        </w:rPr>
        <w:t xml:space="preserve">described for </w:t>
      </w:r>
      <w:r w:rsidR="00C1617D">
        <w:rPr>
          <w:rFonts w:cs="Arial"/>
        </w:rPr>
        <w:t>O</w:t>
      </w:r>
      <w:r w:rsidR="007C20F8" w:rsidRPr="000A53C0">
        <w:rPr>
          <w:rFonts w:cs="Arial"/>
        </w:rPr>
        <w:t>ption 1.</w:t>
      </w:r>
      <w:r w:rsidRPr="000A53C0">
        <w:rPr>
          <w:rFonts w:cs="Arial"/>
        </w:rPr>
        <w:t xml:space="preserve"> This</w:t>
      </w:r>
      <w:r w:rsidR="00433007" w:rsidRPr="000A53C0">
        <w:rPr>
          <w:rFonts w:cs="Arial"/>
        </w:rPr>
        <w:t xml:space="preserve"> is </w:t>
      </w:r>
      <w:r w:rsidR="003A78AC" w:rsidRPr="000A53C0">
        <w:rPr>
          <w:rFonts w:cs="Arial"/>
        </w:rPr>
        <w:t>because the majority of cost</w:t>
      </w:r>
      <w:r w:rsidR="007F4AED" w:rsidRPr="000A53C0">
        <w:rPr>
          <w:rFonts w:cs="Arial"/>
        </w:rPr>
        <w:t>s</w:t>
      </w:r>
      <w:r w:rsidR="003A78AC" w:rsidRPr="000A53C0">
        <w:rPr>
          <w:rFonts w:cs="Arial"/>
        </w:rPr>
        <w:t xml:space="preserve"> </w:t>
      </w:r>
      <w:r w:rsidR="007F4AED" w:rsidRPr="000A53C0">
        <w:rPr>
          <w:rFonts w:cs="Arial"/>
        </w:rPr>
        <w:t>are</w:t>
      </w:r>
      <w:r w:rsidR="003A78AC" w:rsidRPr="000A53C0">
        <w:rPr>
          <w:rFonts w:cs="Arial"/>
        </w:rPr>
        <w:t xml:space="preserve"> associated with the </w:t>
      </w:r>
      <w:r w:rsidR="00963D68" w:rsidRPr="000A53C0">
        <w:rPr>
          <w:rFonts w:cs="Arial"/>
        </w:rPr>
        <w:t xml:space="preserve">licensing framework for work with legacy products which </w:t>
      </w:r>
      <w:r w:rsidR="003F7FAC" w:rsidRPr="000A53C0">
        <w:rPr>
          <w:rFonts w:cs="Arial"/>
        </w:rPr>
        <w:t xml:space="preserve">are assumed to impact other industry PCBUs </w:t>
      </w:r>
      <w:r w:rsidR="003F7FAC" w:rsidRPr="000A53C0">
        <w:rPr>
          <w:rFonts w:cs="Arial"/>
        </w:rPr>
        <w:lastRenderedPageBreak/>
        <w:t xml:space="preserve">rather than </w:t>
      </w:r>
      <w:r w:rsidR="00F06C98" w:rsidRPr="000A53C0">
        <w:rPr>
          <w:rFonts w:cs="Arial"/>
        </w:rPr>
        <w:t xml:space="preserve">engineered stone PCBUs. It is also </w:t>
      </w:r>
      <w:r w:rsidR="00433007" w:rsidRPr="000A53C0">
        <w:rPr>
          <w:rFonts w:cs="Arial"/>
        </w:rPr>
        <w:t xml:space="preserve">due to the relatively small number of </w:t>
      </w:r>
      <w:r w:rsidR="005E32D0" w:rsidRPr="000A53C0">
        <w:rPr>
          <w:rFonts w:cs="Arial"/>
        </w:rPr>
        <w:t xml:space="preserve">engineered stone </w:t>
      </w:r>
      <w:r w:rsidR="00433007" w:rsidRPr="000A53C0">
        <w:rPr>
          <w:rFonts w:cs="Arial"/>
        </w:rPr>
        <w:t>PCBUs impacted (1</w:t>
      </w:r>
      <w:r w:rsidR="00A25AFD">
        <w:rPr>
          <w:rFonts w:cs="Arial"/>
        </w:rPr>
        <w:t>,</w:t>
      </w:r>
      <w:r w:rsidR="00433007" w:rsidRPr="000A53C0">
        <w:rPr>
          <w:rFonts w:cs="Arial"/>
        </w:rPr>
        <w:t>000</w:t>
      </w:r>
      <w:r w:rsidR="00D75229" w:rsidRPr="000A53C0">
        <w:rPr>
          <w:rFonts w:cs="Arial"/>
        </w:rPr>
        <w:t> </w:t>
      </w:r>
      <w:r w:rsidR="00433007" w:rsidRPr="000A53C0">
        <w:rPr>
          <w:rFonts w:cs="Arial"/>
        </w:rPr>
        <w:t>businesses total)</w:t>
      </w:r>
      <w:r w:rsidR="00432D81" w:rsidRPr="000A53C0">
        <w:rPr>
          <w:rFonts w:cs="Arial"/>
        </w:rPr>
        <w:t>, with an even smaller number</w:t>
      </w:r>
      <w:r w:rsidR="00513972" w:rsidRPr="000A53C0">
        <w:rPr>
          <w:rFonts w:cs="Arial"/>
        </w:rPr>
        <w:t xml:space="preserve"> </w:t>
      </w:r>
      <w:r w:rsidR="00432D81" w:rsidRPr="000A53C0">
        <w:rPr>
          <w:rFonts w:cs="Arial"/>
        </w:rPr>
        <w:t xml:space="preserve">of these businesses </w:t>
      </w:r>
      <w:r w:rsidR="00513972" w:rsidRPr="000A53C0">
        <w:rPr>
          <w:rFonts w:cs="Arial"/>
        </w:rPr>
        <w:t>(</w:t>
      </w:r>
      <w:r w:rsidR="005C64AF" w:rsidRPr="000A53C0">
        <w:rPr>
          <w:rFonts w:cs="Arial"/>
        </w:rPr>
        <w:t>10</w:t>
      </w:r>
      <w:r w:rsidR="00513972" w:rsidRPr="000A53C0">
        <w:rPr>
          <w:rFonts w:cs="Arial"/>
        </w:rPr>
        <w:t xml:space="preserve">0 businesses) </w:t>
      </w:r>
      <w:r w:rsidR="00A21BE4" w:rsidRPr="000A53C0">
        <w:rPr>
          <w:rFonts w:cs="Arial"/>
        </w:rPr>
        <w:t>expected</w:t>
      </w:r>
      <w:r w:rsidR="00432D81" w:rsidRPr="000A53C0">
        <w:rPr>
          <w:rFonts w:cs="Arial"/>
        </w:rPr>
        <w:t xml:space="preserve"> to close</w:t>
      </w:r>
      <w:r w:rsidR="00150AD9" w:rsidRPr="000A53C0">
        <w:rPr>
          <w:rFonts w:cs="Arial"/>
        </w:rPr>
        <w:t>.</w:t>
      </w:r>
      <w:r w:rsidRPr="000A53C0">
        <w:rPr>
          <w:rFonts w:cs="Arial"/>
        </w:rPr>
        <w:t xml:space="preserve"> </w:t>
      </w:r>
      <w:r w:rsidR="005F1EC5" w:rsidRPr="000A53C0">
        <w:rPr>
          <w:rFonts w:cs="Arial"/>
        </w:rPr>
        <w:t>As part of sensitivity testing</w:t>
      </w:r>
      <w:r w:rsidR="00963212" w:rsidRPr="000A53C0">
        <w:rPr>
          <w:rFonts w:cs="Arial"/>
        </w:rPr>
        <w:t xml:space="preserve"> of the model, </w:t>
      </w:r>
      <w:r w:rsidR="005F1EC5" w:rsidRPr="000A53C0">
        <w:rPr>
          <w:rFonts w:cs="Arial"/>
        </w:rPr>
        <w:t xml:space="preserve">costs for </w:t>
      </w:r>
      <w:r w:rsidR="00A25AFD">
        <w:rPr>
          <w:rFonts w:cs="Arial"/>
        </w:rPr>
        <w:t>O</w:t>
      </w:r>
      <w:r w:rsidR="005F1EC5" w:rsidRPr="000A53C0">
        <w:rPr>
          <w:rFonts w:cs="Arial"/>
        </w:rPr>
        <w:t xml:space="preserve">ption 1 were also </w:t>
      </w:r>
      <w:r w:rsidR="00CF158B" w:rsidRPr="000A53C0">
        <w:rPr>
          <w:rFonts w:cs="Arial"/>
        </w:rPr>
        <w:t>calculated</w:t>
      </w:r>
      <w:r w:rsidR="005F1EC5" w:rsidRPr="000A53C0">
        <w:rPr>
          <w:rFonts w:cs="Arial"/>
        </w:rPr>
        <w:t xml:space="preserve"> at </w:t>
      </w:r>
      <w:r w:rsidR="00A25AFD">
        <w:rPr>
          <w:rFonts w:cs="Arial"/>
        </w:rPr>
        <w:t>2</w:t>
      </w:r>
      <w:r w:rsidR="005F1EC5" w:rsidRPr="000A53C0">
        <w:rPr>
          <w:rFonts w:cs="Arial"/>
        </w:rPr>
        <w:t xml:space="preserve"> other rates of business closure: </w:t>
      </w:r>
    </w:p>
    <w:p w14:paraId="3858E6EE" w14:textId="1168D0D6" w:rsidR="005F1EC5" w:rsidRPr="000A53C0" w:rsidRDefault="00A25AFD" w:rsidP="001B44C4">
      <w:pPr>
        <w:pStyle w:val="IAListbullet2"/>
        <w:rPr>
          <w:rFonts w:cs="Arial"/>
        </w:rPr>
      </w:pPr>
      <w:r>
        <w:rPr>
          <w:rFonts w:cs="Arial"/>
        </w:rPr>
        <w:t>c</w:t>
      </w:r>
      <w:r w:rsidR="008C06C9" w:rsidRPr="000A53C0">
        <w:rPr>
          <w:rFonts w:cs="Arial"/>
        </w:rPr>
        <w:t xml:space="preserve">losures at 15% (sole traders/small business) and 7.5% (medium businesses) had a cost impact of </w:t>
      </w:r>
      <w:r w:rsidR="001B12F0" w:rsidRPr="000A53C0">
        <w:rPr>
          <w:rFonts w:cs="Arial"/>
        </w:rPr>
        <w:t xml:space="preserve">$9.3 million to </w:t>
      </w:r>
      <w:r w:rsidR="00C634C3" w:rsidRPr="000A53C0">
        <w:rPr>
          <w:rFonts w:cs="Arial"/>
        </w:rPr>
        <w:t xml:space="preserve">engineered stone </w:t>
      </w:r>
      <w:r w:rsidR="001B12F0" w:rsidRPr="000A53C0">
        <w:rPr>
          <w:rFonts w:cs="Arial"/>
        </w:rPr>
        <w:t>PCBUs</w:t>
      </w:r>
      <w:r>
        <w:rPr>
          <w:rFonts w:cs="Arial"/>
        </w:rPr>
        <w:t>, and</w:t>
      </w:r>
      <w:r w:rsidR="005260FD" w:rsidRPr="000A53C0">
        <w:rPr>
          <w:rFonts w:cs="Arial"/>
        </w:rPr>
        <w:t xml:space="preserve"> </w:t>
      </w:r>
      <w:r w:rsidR="001B12F0" w:rsidRPr="000A53C0">
        <w:rPr>
          <w:rFonts w:cs="Arial"/>
        </w:rPr>
        <w:t xml:space="preserve"> </w:t>
      </w:r>
    </w:p>
    <w:p w14:paraId="6017FE1C" w14:textId="06AB18DE" w:rsidR="008C06C9" w:rsidRPr="000A53C0" w:rsidRDefault="003E12A1" w:rsidP="001B44C4">
      <w:pPr>
        <w:pStyle w:val="IAListbullet2"/>
        <w:rPr>
          <w:rFonts w:cs="Arial"/>
        </w:rPr>
      </w:pPr>
      <w:r>
        <w:rPr>
          <w:rFonts w:cs="Arial"/>
        </w:rPr>
        <w:t>c</w:t>
      </w:r>
      <w:r w:rsidR="008C06C9" w:rsidRPr="000A53C0">
        <w:rPr>
          <w:rFonts w:cs="Arial"/>
        </w:rPr>
        <w:t>losures at 30% (sole traders/small businesses</w:t>
      </w:r>
      <w:r w:rsidR="005119A4" w:rsidRPr="000A53C0">
        <w:rPr>
          <w:rFonts w:cs="Arial"/>
        </w:rPr>
        <w:t xml:space="preserve">) and 15% (medium businesses) had a cost impact </w:t>
      </w:r>
      <w:r w:rsidR="00544DF6" w:rsidRPr="000A53C0">
        <w:rPr>
          <w:rFonts w:cs="Arial"/>
        </w:rPr>
        <w:t xml:space="preserve">of $16.49 million to </w:t>
      </w:r>
      <w:r w:rsidR="00C634C3" w:rsidRPr="000A53C0">
        <w:rPr>
          <w:rFonts w:cs="Arial"/>
        </w:rPr>
        <w:t xml:space="preserve">engineered stone </w:t>
      </w:r>
      <w:r w:rsidR="00544DF6" w:rsidRPr="000A53C0">
        <w:rPr>
          <w:rFonts w:cs="Arial"/>
        </w:rPr>
        <w:t>PCBUs</w:t>
      </w:r>
      <w:r w:rsidR="005260FD" w:rsidRPr="000A53C0">
        <w:rPr>
          <w:rFonts w:cs="Arial"/>
        </w:rPr>
        <w:t xml:space="preserve">. </w:t>
      </w:r>
      <w:r w:rsidR="005119A4" w:rsidRPr="000A53C0">
        <w:rPr>
          <w:rFonts w:cs="Arial"/>
        </w:rPr>
        <w:t xml:space="preserve"> </w:t>
      </w:r>
    </w:p>
    <w:p w14:paraId="03392905" w14:textId="77777777" w:rsidR="002611CA" w:rsidRPr="000A53C0" w:rsidRDefault="002611CA" w:rsidP="006843D7">
      <w:pPr>
        <w:pStyle w:val="Heading5"/>
      </w:pPr>
      <w:r w:rsidRPr="000A53C0">
        <w:t>Costs associated with switching to non-stone products</w:t>
      </w:r>
    </w:p>
    <w:p w14:paraId="42E74C87" w14:textId="77777777" w:rsidR="002611CA" w:rsidRPr="000A53C0" w:rsidRDefault="002611CA" w:rsidP="002611CA">
      <w:pPr>
        <w:pStyle w:val="BodyText"/>
        <w:rPr>
          <w:rFonts w:cs="Arial"/>
        </w:rPr>
      </w:pPr>
      <w:r w:rsidRPr="000A53C0">
        <w:rPr>
          <w:rFonts w:cs="Arial"/>
        </w:rPr>
        <w:t xml:space="preserve">Under Option 1, it is assumed that most engineered stone PCBUs would continue to work with natural stone, but a small number (5%) of medium sized engineered stone PCBUs may choose to expand their business to include non-stone products. This would result in new equipment costs of $2.1 million over the implementation period. </w:t>
      </w:r>
    </w:p>
    <w:p w14:paraId="3E6FBB3A" w14:textId="77777777" w:rsidR="002611CA" w:rsidRPr="000A53C0" w:rsidRDefault="002611CA" w:rsidP="002611CA">
      <w:pPr>
        <w:pStyle w:val="BodyText"/>
        <w:rPr>
          <w:rFonts w:cs="Arial"/>
        </w:rPr>
      </w:pPr>
      <w:r w:rsidRPr="000A53C0">
        <w:rPr>
          <w:rFonts w:cs="Arial"/>
        </w:rPr>
        <w:t xml:space="preserve">Medium sized PCBUs are assumed to be more able to expand their offering to include non-stone products than sole traders and small businesses, as they are expected to have better access to the capital required to invest in new equipment, processes and training, and may already be undertaking work with alternative products such as laminate. </w:t>
      </w:r>
    </w:p>
    <w:p w14:paraId="5F6E64EE" w14:textId="087075A4" w:rsidR="002611CA" w:rsidRPr="000A53C0" w:rsidRDefault="002611CA" w:rsidP="003B5178">
      <w:pPr>
        <w:pStyle w:val="Heading4numbered"/>
      </w:pPr>
      <w:bookmarkStart w:id="133" w:name="_Ref139638456"/>
      <w:r w:rsidRPr="000A53C0">
        <w:t>Other industry PCBUs</w:t>
      </w:r>
      <w:bookmarkEnd w:id="133"/>
    </w:p>
    <w:p w14:paraId="2922D588" w14:textId="2085C972" w:rsidR="002611CA" w:rsidRPr="000A53C0" w:rsidRDefault="002611CA" w:rsidP="002611CA">
      <w:pPr>
        <w:pStyle w:val="BodyText"/>
        <w:widowControl w:val="0"/>
        <w:rPr>
          <w:rFonts w:cs="Arial"/>
        </w:rPr>
      </w:pPr>
      <w:r w:rsidRPr="000A53C0">
        <w:rPr>
          <w:rFonts w:cs="Arial"/>
        </w:rPr>
        <w:t>It is assumed that 30% of other industry sole traders, 35% of small businesses and 40% of medium to large businesses would choose to acquire a licence to work with previously installed engineered stone (under the licensing framework for</w:t>
      </w:r>
      <w:r w:rsidR="00314BA4" w:rsidRPr="000A53C0">
        <w:rPr>
          <w:rFonts w:cs="Arial"/>
        </w:rPr>
        <w:t xml:space="preserve"> work with</w:t>
      </w:r>
      <w:r w:rsidRPr="000A53C0">
        <w:rPr>
          <w:rFonts w:cs="Arial"/>
        </w:rPr>
        <w:t xml:space="preserve"> legacy products). Costs include those administrative costs associated with applying for and renewing a licence, and participating in compliance inspections. These have been estimated to be $133.0 million, consistent for each option (see </w:t>
      </w:r>
      <w:r w:rsidR="006C4E01">
        <w:rPr>
          <w:rFonts w:cs="Arial"/>
        </w:rPr>
        <w:t>S</w:t>
      </w:r>
      <w:r w:rsidRPr="000A53C0">
        <w:rPr>
          <w:rFonts w:cs="Arial"/>
        </w:rPr>
        <w:t xml:space="preserve">ection </w:t>
      </w:r>
      <w:r w:rsidR="006D2E76" w:rsidRPr="000A53C0">
        <w:rPr>
          <w:rFonts w:cs="Arial"/>
        </w:rPr>
        <w:fldChar w:fldCharType="begin" w:fldLock="1"/>
      </w:r>
      <w:r w:rsidR="006D2E76" w:rsidRPr="000A53C0">
        <w:rPr>
          <w:rFonts w:cs="Arial"/>
        </w:rPr>
        <w:instrText xml:space="preserve"> REF _Ref139637617 \r \h  \* MERGEFORMAT </w:instrText>
      </w:r>
      <w:r w:rsidR="006D2E76" w:rsidRPr="000A53C0">
        <w:rPr>
          <w:rFonts w:cs="Arial"/>
        </w:rPr>
      </w:r>
      <w:r w:rsidR="006D2E76" w:rsidRPr="000A53C0">
        <w:rPr>
          <w:rFonts w:cs="Arial"/>
        </w:rPr>
        <w:fldChar w:fldCharType="separate"/>
      </w:r>
      <w:r w:rsidR="00D16271">
        <w:rPr>
          <w:rFonts w:cs="Arial"/>
        </w:rPr>
        <w:t>4.3.2</w:t>
      </w:r>
      <w:r w:rsidR="006D2E76" w:rsidRPr="000A53C0">
        <w:rPr>
          <w:rFonts w:cs="Arial"/>
        </w:rPr>
        <w:fldChar w:fldCharType="end"/>
      </w:r>
      <w:r w:rsidRPr="000A53C0">
        <w:rPr>
          <w:rFonts w:cs="Arial"/>
        </w:rPr>
        <w:t xml:space="preserve">). </w:t>
      </w:r>
    </w:p>
    <w:p w14:paraId="3866786E" w14:textId="60BF64B5" w:rsidR="002611CA" w:rsidRPr="000A53C0" w:rsidRDefault="002611CA" w:rsidP="002611CA">
      <w:pPr>
        <w:pStyle w:val="BodyText"/>
        <w:widowControl w:val="0"/>
        <w:rPr>
          <w:rFonts w:cs="Arial"/>
        </w:rPr>
      </w:pPr>
      <w:r w:rsidRPr="000A53C0">
        <w:rPr>
          <w:rFonts w:cs="Arial"/>
        </w:rPr>
        <w:t xml:space="preserve">Given that working with engineered stone is not </w:t>
      </w:r>
      <w:r w:rsidR="00313A00" w:rsidRPr="000A53C0">
        <w:rPr>
          <w:rFonts w:cs="Arial"/>
        </w:rPr>
        <w:t xml:space="preserve">likely to be </w:t>
      </w:r>
      <w:r w:rsidRPr="000A53C0">
        <w:rPr>
          <w:rFonts w:cs="Arial"/>
        </w:rPr>
        <w:t xml:space="preserve">the primary activity of other industry PCBUs, it is expected that only a very small number of these PCBUs would cease operating as a result of </w:t>
      </w:r>
      <w:r w:rsidR="00F80EBD" w:rsidRPr="000A53C0">
        <w:rPr>
          <w:rFonts w:cs="Arial"/>
        </w:rPr>
        <w:t>Option</w:t>
      </w:r>
      <w:r w:rsidR="00DB2B54" w:rsidRPr="000A53C0">
        <w:rPr>
          <w:rFonts w:cs="Arial"/>
        </w:rPr>
        <w:t xml:space="preserve"> </w:t>
      </w:r>
      <w:r w:rsidR="00F80EBD" w:rsidRPr="000A53C0">
        <w:rPr>
          <w:rFonts w:cs="Arial"/>
        </w:rPr>
        <w:t xml:space="preserve">1 (or the other </w:t>
      </w:r>
      <w:r w:rsidRPr="000A53C0">
        <w:rPr>
          <w:rFonts w:cs="Arial"/>
        </w:rPr>
        <w:t>prohibition options</w:t>
      </w:r>
      <w:r w:rsidR="00F80EBD" w:rsidRPr="000A53C0">
        <w:rPr>
          <w:rFonts w:cs="Arial"/>
        </w:rPr>
        <w:t xml:space="preserve">, </w:t>
      </w:r>
      <w:r w:rsidR="005608D0" w:rsidRPr="000A53C0">
        <w:rPr>
          <w:rFonts w:cs="Arial"/>
        </w:rPr>
        <w:t xml:space="preserve">as costs </w:t>
      </w:r>
      <w:r w:rsidR="00F80EBD" w:rsidRPr="000A53C0">
        <w:rPr>
          <w:rFonts w:cs="Arial"/>
        </w:rPr>
        <w:t xml:space="preserve">are </w:t>
      </w:r>
      <w:r w:rsidR="005608D0" w:rsidRPr="000A53C0">
        <w:rPr>
          <w:rFonts w:cs="Arial"/>
        </w:rPr>
        <w:t>consistent in</w:t>
      </w:r>
      <w:r w:rsidR="00F80EBD" w:rsidRPr="000A53C0">
        <w:rPr>
          <w:rFonts w:cs="Arial"/>
        </w:rPr>
        <w:t xml:space="preserve"> each)</w:t>
      </w:r>
      <w:r w:rsidRPr="000A53C0">
        <w:rPr>
          <w:rFonts w:cs="Arial"/>
        </w:rPr>
        <w:t xml:space="preserve">. Therefore, no business closure or redundancy costs have been estimated for other industry PCBUs. </w:t>
      </w:r>
    </w:p>
    <w:p w14:paraId="4E26EC60" w14:textId="521B9D5A" w:rsidR="002611CA" w:rsidRPr="000A53C0" w:rsidRDefault="002611CA" w:rsidP="00514CCB">
      <w:pPr>
        <w:pStyle w:val="Heading3numbered"/>
      </w:pPr>
      <w:bookmarkStart w:id="134" w:name="_Ref139637540"/>
      <w:r w:rsidRPr="000A53C0">
        <w:t>Cost to government</w:t>
      </w:r>
      <w:bookmarkEnd w:id="134"/>
    </w:p>
    <w:p w14:paraId="4647059A" w14:textId="7BFDE591" w:rsidR="002611CA" w:rsidRPr="000A53C0" w:rsidRDefault="002611CA" w:rsidP="002611CA">
      <w:pPr>
        <w:pStyle w:val="BodyText"/>
        <w:rPr>
          <w:rFonts w:cs="Arial"/>
        </w:rPr>
      </w:pPr>
      <w:r w:rsidRPr="000A53C0">
        <w:rPr>
          <w:rFonts w:cs="Arial"/>
        </w:rPr>
        <w:t xml:space="preserve">Total cost to government of Option 1 is estimated to be $108.2 million (see </w:t>
      </w:r>
      <w:r w:rsidR="006D2E76" w:rsidRPr="000A53C0">
        <w:rPr>
          <w:rFonts w:cs="Arial"/>
        </w:rPr>
        <w:fldChar w:fldCharType="begin" w:fldLock="1"/>
      </w:r>
      <w:r w:rsidR="006D2E76" w:rsidRPr="000A53C0">
        <w:rPr>
          <w:rFonts w:cs="Arial"/>
        </w:rPr>
        <w:instrText xml:space="preserve"> REF _Ref139636221 \h </w:instrText>
      </w:r>
      <w:r w:rsidR="000A53C0">
        <w:rPr>
          <w:rFonts w:cs="Arial"/>
        </w:rPr>
        <w:instrText xml:space="preserve"> \* MERGEFORMAT </w:instrText>
      </w:r>
      <w:r w:rsidR="006D2E76" w:rsidRPr="000A53C0">
        <w:rPr>
          <w:rFonts w:cs="Arial"/>
        </w:rPr>
      </w:r>
      <w:r w:rsidR="006D2E76" w:rsidRPr="000A53C0">
        <w:rPr>
          <w:rFonts w:cs="Arial"/>
        </w:rPr>
        <w:fldChar w:fldCharType="separate"/>
      </w:r>
      <w:r w:rsidR="00D16271" w:rsidRPr="00D16271">
        <w:rPr>
          <w:rFonts w:cs="Arial"/>
        </w:rPr>
        <w:t xml:space="preserve">Table </w:t>
      </w:r>
      <w:r w:rsidR="00D16271" w:rsidRPr="00D16271">
        <w:rPr>
          <w:rFonts w:cs="Arial"/>
          <w:noProof/>
        </w:rPr>
        <w:t>9</w:t>
      </w:r>
      <w:r w:rsidR="006D2E76" w:rsidRPr="000A53C0">
        <w:rPr>
          <w:rFonts w:cs="Arial"/>
        </w:rPr>
        <w:fldChar w:fldCharType="end"/>
      </w:r>
      <w:r w:rsidRPr="000A53C0">
        <w:rPr>
          <w:rFonts w:cs="Arial"/>
        </w:rPr>
        <w:t xml:space="preserve">). These costs fall in to </w:t>
      </w:r>
      <w:r w:rsidR="006111A5">
        <w:rPr>
          <w:rFonts w:cs="Arial"/>
        </w:rPr>
        <w:t>2</w:t>
      </w:r>
      <w:r w:rsidRPr="000A53C0">
        <w:rPr>
          <w:rFonts w:cs="Arial"/>
        </w:rPr>
        <w:t xml:space="preserve"> groups:</w:t>
      </w:r>
    </w:p>
    <w:p w14:paraId="2DAEBFE9" w14:textId="431A47C8" w:rsidR="002611CA" w:rsidRPr="000A53C0" w:rsidRDefault="002611CA" w:rsidP="001B44C4">
      <w:pPr>
        <w:pStyle w:val="IAListbullet2"/>
        <w:rPr>
          <w:rFonts w:cs="Arial"/>
        </w:rPr>
      </w:pPr>
      <w:r w:rsidRPr="000A53C0">
        <w:rPr>
          <w:rFonts w:cs="Arial"/>
          <w:b/>
        </w:rPr>
        <w:t>Implementation of a licensing framework for work with legacy products</w:t>
      </w:r>
      <w:r w:rsidR="00151D3D">
        <w:rPr>
          <w:rFonts w:cs="Arial"/>
          <w:b/>
        </w:rPr>
        <w:t xml:space="preserve"> </w:t>
      </w:r>
      <w:r w:rsidRPr="000A53C0">
        <w:rPr>
          <w:rFonts w:cs="Arial"/>
        </w:rPr>
        <w:t xml:space="preserve">– $107.5 million over the appraisal period, and is discussed in </w:t>
      </w:r>
      <w:r w:rsidR="00AA181C">
        <w:rPr>
          <w:rFonts w:cs="Arial"/>
        </w:rPr>
        <w:t>S</w:t>
      </w:r>
      <w:r w:rsidRPr="000A53C0">
        <w:rPr>
          <w:rFonts w:cs="Arial"/>
        </w:rPr>
        <w:t xml:space="preserve">ection </w:t>
      </w:r>
      <w:r w:rsidR="00B40792" w:rsidRPr="000A53C0">
        <w:rPr>
          <w:rFonts w:cs="Arial"/>
          <w:highlight w:val="yellow"/>
        </w:rPr>
        <w:fldChar w:fldCharType="begin" w:fldLock="1"/>
      </w:r>
      <w:r w:rsidR="00B40792" w:rsidRPr="000A53C0">
        <w:rPr>
          <w:rFonts w:cs="Arial"/>
        </w:rPr>
        <w:instrText xml:space="preserve"> REF _Ref139637617 \r \h </w:instrText>
      </w:r>
      <w:r w:rsidR="007F20D2" w:rsidRPr="000A53C0">
        <w:rPr>
          <w:rFonts w:cs="Arial"/>
          <w:highlight w:val="yellow"/>
        </w:rPr>
        <w:instrText xml:space="preserve"> \* MERGEFORMAT </w:instrText>
      </w:r>
      <w:r w:rsidR="00B40792" w:rsidRPr="000A53C0">
        <w:rPr>
          <w:rFonts w:cs="Arial"/>
          <w:highlight w:val="yellow"/>
        </w:rPr>
      </w:r>
      <w:r w:rsidR="00B40792" w:rsidRPr="000A53C0">
        <w:rPr>
          <w:rFonts w:cs="Arial"/>
          <w:highlight w:val="yellow"/>
        </w:rPr>
        <w:fldChar w:fldCharType="separate"/>
      </w:r>
      <w:r w:rsidR="00D16271">
        <w:rPr>
          <w:rFonts w:cs="Arial"/>
        </w:rPr>
        <w:t>4.3.2</w:t>
      </w:r>
      <w:r w:rsidR="00B40792" w:rsidRPr="000A53C0">
        <w:rPr>
          <w:rFonts w:cs="Arial"/>
          <w:highlight w:val="yellow"/>
        </w:rPr>
        <w:fldChar w:fldCharType="end"/>
      </w:r>
      <w:r w:rsidR="00B40792" w:rsidRPr="000A53C0">
        <w:rPr>
          <w:rFonts w:cs="Arial"/>
        </w:rPr>
        <w:t>.</w:t>
      </w:r>
    </w:p>
    <w:p w14:paraId="240514C1" w14:textId="64DB37D0" w:rsidR="002611CA" w:rsidRPr="000A53C0" w:rsidRDefault="002611CA" w:rsidP="001B44C4">
      <w:pPr>
        <w:pStyle w:val="IAListbullet2"/>
        <w:rPr>
          <w:rFonts w:cs="Arial"/>
          <w:color w:val="262626" w:themeColor="text1" w:themeTint="D9"/>
        </w:rPr>
      </w:pPr>
      <w:r w:rsidRPr="000A53C0">
        <w:rPr>
          <w:rFonts w:cs="Arial"/>
          <w:b/>
        </w:rPr>
        <w:t>Provision of income and vocational training support</w:t>
      </w:r>
      <w:r w:rsidRPr="000A53C0">
        <w:rPr>
          <w:rFonts w:cs="Arial"/>
        </w:rPr>
        <w:t xml:space="preserve"> </w:t>
      </w:r>
      <w:r w:rsidRPr="000A53C0">
        <w:rPr>
          <w:rFonts w:cs="Arial"/>
          <w:b/>
        </w:rPr>
        <w:t>for displaced workers</w:t>
      </w:r>
      <w:r w:rsidRPr="000A53C0">
        <w:rPr>
          <w:rFonts w:cs="Arial"/>
        </w:rPr>
        <w:t xml:space="preserve"> – $0.7 million over the appraisal period </w:t>
      </w:r>
      <w:r w:rsidRPr="000A53C0">
        <w:rPr>
          <w:rFonts w:cs="Arial"/>
          <w:color w:val="262626" w:themeColor="text1" w:themeTint="D9"/>
        </w:rPr>
        <w:t xml:space="preserve">for Jobseeker payments to displaced workers and financial incentive payments to workers and businesses for apprenticeships. </w:t>
      </w:r>
      <w:r w:rsidRPr="000A53C0">
        <w:rPr>
          <w:rFonts w:cs="Arial"/>
        </w:rPr>
        <w:t xml:space="preserve">As discussed in </w:t>
      </w:r>
      <w:r w:rsidR="00AA1B24">
        <w:rPr>
          <w:rFonts w:cs="Arial"/>
        </w:rPr>
        <w:t>S</w:t>
      </w:r>
      <w:r w:rsidRPr="000A53C0">
        <w:rPr>
          <w:rFonts w:cs="Arial"/>
        </w:rPr>
        <w:t xml:space="preserve">ection </w:t>
      </w:r>
      <w:r w:rsidR="00AB30AF" w:rsidRPr="000A53C0">
        <w:rPr>
          <w:rFonts w:cs="Arial"/>
        </w:rPr>
        <w:fldChar w:fldCharType="begin" w:fldLock="1"/>
      </w:r>
      <w:r w:rsidR="00AB30AF" w:rsidRPr="000A53C0">
        <w:rPr>
          <w:rFonts w:cs="Arial"/>
        </w:rPr>
        <w:instrText xml:space="preserve"> REF _Ref139637829 \r \h </w:instrText>
      </w:r>
      <w:r w:rsidR="006D2E76" w:rsidRPr="000A53C0">
        <w:rPr>
          <w:rFonts w:cs="Arial"/>
        </w:rPr>
        <w:instrText xml:space="preserve"> \* MERGEFORMAT </w:instrText>
      </w:r>
      <w:r w:rsidR="00AB30AF" w:rsidRPr="000A53C0">
        <w:rPr>
          <w:rFonts w:cs="Arial"/>
        </w:rPr>
      </w:r>
      <w:r w:rsidR="00AB30AF" w:rsidRPr="000A53C0">
        <w:rPr>
          <w:rFonts w:cs="Arial"/>
        </w:rPr>
        <w:fldChar w:fldCharType="separate"/>
      </w:r>
      <w:r w:rsidR="00D16271">
        <w:rPr>
          <w:rFonts w:cs="Arial"/>
        </w:rPr>
        <w:t>4.4.1.1</w:t>
      </w:r>
      <w:r w:rsidR="00AB30AF" w:rsidRPr="000A53C0">
        <w:rPr>
          <w:rFonts w:cs="Arial"/>
        </w:rPr>
        <w:fldChar w:fldCharType="end"/>
      </w:r>
      <w:r w:rsidR="00AB30AF" w:rsidRPr="000A53C0">
        <w:rPr>
          <w:rFonts w:cs="Arial"/>
        </w:rPr>
        <w:t>,</w:t>
      </w:r>
      <w:r w:rsidRPr="000A53C0">
        <w:rPr>
          <w:rFonts w:cs="Arial"/>
        </w:rPr>
        <w:t xml:space="preserve"> it is assumed </w:t>
      </w:r>
      <w:r w:rsidR="00AB30AF" w:rsidRPr="000A53C0">
        <w:rPr>
          <w:rFonts w:cs="Arial"/>
        </w:rPr>
        <w:t>J</w:t>
      </w:r>
      <w:r w:rsidRPr="000A53C0">
        <w:rPr>
          <w:rFonts w:cs="Arial"/>
        </w:rPr>
        <w:t>obseeker payments are made to workers displaced following the closure of sole-trader and small businesses. Estimated costs include an 8-week period of jobseeker payments, based on an assumption that any periods of unemployment will be relatively short given the tight labour market in the construction sector.</w:t>
      </w:r>
    </w:p>
    <w:p w14:paraId="71F9F20C" w14:textId="79C72CDB" w:rsidR="002611CA" w:rsidRPr="000A53C0" w:rsidRDefault="00D426B2" w:rsidP="00D75229">
      <w:pPr>
        <w:pStyle w:val="Caption"/>
        <w:rPr>
          <w:rFonts w:cs="Arial"/>
        </w:rPr>
      </w:pPr>
      <w:bookmarkStart w:id="135" w:name="_Ref139636221"/>
      <w:r w:rsidRPr="00723BFF">
        <w:rPr>
          <w:rFonts w:cs="Arial"/>
          <w:b/>
          <w:bCs/>
        </w:rPr>
        <w:lastRenderedPageBreak/>
        <w:t xml:space="preserve">Table </w:t>
      </w:r>
      <w:r w:rsidRPr="00723BFF">
        <w:rPr>
          <w:rFonts w:cs="Arial"/>
          <w:b/>
          <w:bCs/>
        </w:rPr>
        <w:fldChar w:fldCharType="begin"/>
      </w:r>
      <w:r w:rsidRPr="00723BFF">
        <w:rPr>
          <w:rFonts w:cs="Arial"/>
          <w:b/>
          <w:bCs/>
        </w:rPr>
        <w:instrText>SEQ Table \* ARABIC</w:instrText>
      </w:r>
      <w:r w:rsidRPr="00723BFF">
        <w:rPr>
          <w:rFonts w:cs="Arial"/>
          <w:b/>
          <w:bCs/>
        </w:rPr>
        <w:fldChar w:fldCharType="separate"/>
      </w:r>
      <w:r w:rsidR="00D16271">
        <w:rPr>
          <w:rFonts w:cs="Arial"/>
          <w:b/>
          <w:bCs/>
          <w:noProof/>
        </w:rPr>
        <w:t>9</w:t>
      </w:r>
      <w:r w:rsidRPr="00723BFF">
        <w:rPr>
          <w:rFonts w:cs="Arial"/>
          <w:b/>
          <w:bCs/>
        </w:rPr>
        <w:fldChar w:fldCharType="end"/>
      </w:r>
      <w:bookmarkEnd w:id="135"/>
      <w:r w:rsidR="002611CA" w:rsidRPr="000A53C0">
        <w:rPr>
          <w:rFonts w:cs="Arial"/>
        </w:rPr>
        <w:t xml:space="preserve"> Estimated cost of Option 1 </w:t>
      </w:r>
      <w:r w:rsidR="00AE7D76">
        <w:rPr>
          <w:rFonts w:cs="Arial"/>
        </w:rPr>
        <w:t>–</w:t>
      </w:r>
      <w:r w:rsidR="002611CA" w:rsidRPr="000A53C0">
        <w:rPr>
          <w:rFonts w:cs="Arial"/>
        </w:rPr>
        <w:t xml:space="preserve"> government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5529"/>
        <w:gridCol w:w="4675"/>
      </w:tblGrid>
      <w:tr w:rsidR="002611CA" w:rsidRPr="000A53C0" w14:paraId="6FDCFC8D" w14:textId="77777777" w:rsidTr="00723BFF">
        <w:trPr>
          <w:trHeight w:val="580"/>
          <w:tblHeader/>
        </w:trPr>
        <w:tc>
          <w:tcPr>
            <w:tcW w:w="2709" w:type="pct"/>
            <w:shd w:val="clear" w:color="auto" w:fill="E81D32"/>
            <w:vAlign w:val="center"/>
          </w:tcPr>
          <w:p w14:paraId="1CC7B092" w14:textId="77777777" w:rsidR="002611CA" w:rsidRPr="00723BFF" w:rsidRDefault="002611CA" w:rsidP="00723BFF">
            <w:pPr>
              <w:pStyle w:val="TableHeading"/>
              <w:keepNext/>
              <w:spacing w:before="0" w:after="0"/>
              <w:rPr>
                <w:rFonts w:ascii="Arial" w:hAnsi="Arial" w:cs="Arial"/>
                <w:color w:val="FFFFFF" w:themeColor="background1"/>
              </w:rPr>
            </w:pPr>
            <w:r w:rsidRPr="00723BFF">
              <w:rPr>
                <w:rFonts w:ascii="Arial" w:hAnsi="Arial" w:cs="Arial"/>
                <w:color w:val="FFFFFF" w:themeColor="background1"/>
              </w:rPr>
              <w:t>Cost</w:t>
            </w:r>
          </w:p>
        </w:tc>
        <w:tc>
          <w:tcPr>
            <w:tcW w:w="2291" w:type="pct"/>
            <w:shd w:val="clear" w:color="auto" w:fill="E81D32"/>
            <w:vAlign w:val="center"/>
          </w:tcPr>
          <w:p w14:paraId="33CD8E68" w14:textId="0E7A8C12" w:rsidR="002611CA" w:rsidRPr="00723BFF" w:rsidRDefault="0034596A" w:rsidP="00723BFF">
            <w:pPr>
              <w:pStyle w:val="TableHeading"/>
              <w:keepNext/>
              <w:spacing w:before="0" w:after="0"/>
              <w:rPr>
                <w:rFonts w:ascii="Arial" w:hAnsi="Arial" w:cs="Arial"/>
                <w:color w:val="FFFFFF" w:themeColor="background1"/>
              </w:rPr>
            </w:pPr>
            <w:r w:rsidRPr="00723BFF">
              <w:rPr>
                <w:rFonts w:ascii="Arial" w:hAnsi="Arial" w:cs="Arial"/>
                <w:color w:val="FFFFFF" w:themeColor="background1"/>
              </w:rPr>
              <w:t xml:space="preserve">Estimated cost </w:t>
            </w:r>
            <w:r w:rsidR="004C5B86" w:rsidRPr="00723BFF">
              <w:rPr>
                <w:rFonts w:ascii="Arial" w:hAnsi="Arial" w:cs="Arial"/>
                <w:color w:val="FFFFFF" w:themeColor="background1"/>
              </w:rPr>
              <w:t>–</w:t>
            </w:r>
            <w:r w:rsidRPr="00723BFF">
              <w:rPr>
                <w:rFonts w:ascii="Arial" w:hAnsi="Arial" w:cs="Arial"/>
                <w:color w:val="FFFFFF" w:themeColor="background1"/>
              </w:rPr>
              <w:t xml:space="preserve"> </w:t>
            </w:r>
            <w:r w:rsidR="00300900" w:rsidRPr="00723BFF">
              <w:rPr>
                <w:rFonts w:ascii="Arial" w:hAnsi="Arial" w:cs="Arial"/>
                <w:color w:val="FFFFFF" w:themeColor="background1"/>
              </w:rPr>
              <w:t>10-year</w:t>
            </w:r>
            <w:r w:rsidRPr="00723BFF">
              <w:rPr>
                <w:rFonts w:ascii="Arial" w:hAnsi="Arial" w:cs="Arial"/>
                <w:color w:val="FFFFFF" w:themeColor="background1"/>
              </w:rPr>
              <w:t xml:space="preserve"> appraisal period ($m)</w:t>
            </w:r>
          </w:p>
        </w:tc>
      </w:tr>
      <w:tr w:rsidR="002611CA" w:rsidRPr="000A53C0" w14:paraId="38E0870B" w14:textId="77777777" w:rsidTr="00297974">
        <w:trPr>
          <w:trHeight w:val="355"/>
        </w:trPr>
        <w:tc>
          <w:tcPr>
            <w:tcW w:w="2709" w:type="pct"/>
            <w:tcBorders>
              <w:bottom w:val="single" w:sz="8" w:space="0" w:color="D1D1D1" w:themeColor="background2"/>
            </w:tcBorders>
            <w:shd w:val="clear" w:color="auto" w:fill="F2F2F2" w:themeFill="background1" w:themeFillShade="F2"/>
            <w:vAlign w:val="center"/>
          </w:tcPr>
          <w:p w14:paraId="0BD1A616" w14:textId="1251BC1B" w:rsidR="002611CA" w:rsidRPr="000A53C0" w:rsidRDefault="002611CA" w:rsidP="00297974">
            <w:pPr>
              <w:pStyle w:val="TableBody"/>
              <w:keepNext/>
              <w:rPr>
                <w:rFonts w:cs="Arial"/>
                <w:b/>
              </w:rPr>
            </w:pPr>
            <w:r w:rsidRPr="000A53C0">
              <w:rPr>
                <w:rFonts w:cs="Arial"/>
                <w:b/>
              </w:rPr>
              <w:t xml:space="preserve">Licensing framework for </w:t>
            </w:r>
            <w:r w:rsidR="00314BA4" w:rsidRPr="000A53C0">
              <w:rPr>
                <w:rFonts w:cs="Arial"/>
                <w:b/>
              </w:rPr>
              <w:t xml:space="preserve">work with </w:t>
            </w:r>
            <w:r w:rsidRPr="000A53C0">
              <w:rPr>
                <w:rFonts w:cs="Arial"/>
                <w:b/>
              </w:rPr>
              <w:t>legacy products</w:t>
            </w:r>
          </w:p>
        </w:tc>
        <w:tc>
          <w:tcPr>
            <w:tcW w:w="2291" w:type="pct"/>
            <w:tcBorders>
              <w:top w:val="nil"/>
              <w:left w:val="nil"/>
              <w:bottom w:val="single" w:sz="8" w:space="0" w:color="D1D1D1"/>
              <w:right w:val="nil"/>
            </w:tcBorders>
            <w:shd w:val="clear" w:color="auto" w:fill="F2F2F2" w:themeFill="background1" w:themeFillShade="F2"/>
            <w:vAlign w:val="bottom"/>
          </w:tcPr>
          <w:p w14:paraId="04DD4D06" w14:textId="77777777" w:rsidR="002611CA" w:rsidRPr="000A53C0" w:rsidRDefault="002611CA" w:rsidP="00D75229">
            <w:pPr>
              <w:pStyle w:val="TableBody"/>
              <w:keepNext/>
              <w:jc w:val="center"/>
              <w:rPr>
                <w:rFonts w:cs="Arial"/>
              </w:rPr>
            </w:pPr>
          </w:p>
        </w:tc>
      </w:tr>
      <w:tr w:rsidR="002611CA" w:rsidRPr="000A53C0" w14:paraId="2666C974" w14:textId="77777777" w:rsidTr="00297974">
        <w:trPr>
          <w:trHeight w:val="355"/>
        </w:trPr>
        <w:tc>
          <w:tcPr>
            <w:tcW w:w="2709" w:type="pct"/>
            <w:tcBorders>
              <w:bottom w:val="single" w:sz="8" w:space="0" w:color="D1D1D1" w:themeColor="background2"/>
            </w:tcBorders>
            <w:vAlign w:val="center"/>
          </w:tcPr>
          <w:p w14:paraId="18A97CC0" w14:textId="77777777" w:rsidR="002611CA" w:rsidRPr="000A53C0" w:rsidRDefault="002611CA" w:rsidP="00297974">
            <w:pPr>
              <w:pStyle w:val="TableBody"/>
              <w:keepNext/>
              <w:rPr>
                <w:rFonts w:cs="Arial"/>
              </w:rPr>
            </w:pPr>
            <w:r w:rsidRPr="000A53C0">
              <w:rPr>
                <w:rFonts w:cs="Arial"/>
              </w:rPr>
              <w:t xml:space="preserve">Drafting of national licensing regulation </w:t>
            </w:r>
          </w:p>
        </w:tc>
        <w:tc>
          <w:tcPr>
            <w:tcW w:w="2291" w:type="pct"/>
            <w:tcBorders>
              <w:top w:val="nil"/>
              <w:left w:val="nil"/>
              <w:bottom w:val="single" w:sz="8" w:space="0" w:color="D1D1D1"/>
              <w:right w:val="nil"/>
            </w:tcBorders>
            <w:shd w:val="clear" w:color="auto" w:fill="auto"/>
            <w:vAlign w:val="center"/>
          </w:tcPr>
          <w:p w14:paraId="39239DBA" w14:textId="77777777" w:rsidR="002611CA" w:rsidRPr="000A53C0" w:rsidRDefault="002611CA" w:rsidP="00297974">
            <w:pPr>
              <w:pStyle w:val="TableBody"/>
              <w:keepNext/>
              <w:jc w:val="center"/>
              <w:rPr>
                <w:rFonts w:cs="Arial"/>
              </w:rPr>
            </w:pPr>
            <w:r w:rsidRPr="000A53C0">
              <w:rPr>
                <w:rFonts w:cs="Arial"/>
              </w:rPr>
              <w:t>$0.2</w:t>
            </w:r>
          </w:p>
        </w:tc>
      </w:tr>
      <w:tr w:rsidR="002611CA" w:rsidRPr="000A53C0" w14:paraId="3CA182B6" w14:textId="77777777" w:rsidTr="00297974">
        <w:trPr>
          <w:trHeight w:val="355"/>
        </w:trPr>
        <w:tc>
          <w:tcPr>
            <w:tcW w:w="2709" w:type="pct"/>
            <w:tcBorders>
              <w:bottom w:val="single" w:sz="8" w:space="0" w:color="D1D1D1" w:themeColor="background2"/>
            </w:tcBorders>
            <w:vAlign w:val="center"/>
          </w:tcPr>
          <w:p w14:paraId="504B3BA9" w14:textId="77777777" w:rsidR="002611CA" w:rsidRPr="000A53C0" w:rsidRDefault="002611CA" w:rsidP="00297974">
            <w:pPr>
              <w:pStyle w:val="TableBody"/>
              <w:keepNext/>
              <w:rPr>
                <w:rFonts w:cs="Arial"/>
              </w:rPr>
            </w:pPr>
            <w:r w:rsidRPr="000A53C0">
              <w:rPr>
                <w:rFonts w:cs="Arial"/>
              </w:rPr>
              <w:t xml:space="preserve">Licensing software </w:t>
            </w:r>
          </w:p>
        </w:tc>
        <w:tc>
          <w:tcPr>
            <w:tcW w:w="2291" w:type="pct"/>
            <w:tcBorders>
              <w:top w:val="nil"/>
              <w:left w:val="nil"/>
              <w:bottom w:val="single" w:sz="8" w:space="0" w:color="D1D1D1"/>
              <w:right w:val="nil"/>
            </w:tcBorders>
            <w:shd w:val="clear" w:color="auto" w:fill="auto"/>
            <w:vAlign w:val="center"/>
          </w:tcPr>
          <w:p w14:paraId="713C9809" w14:textId="77777777" w:rsidR="002611CA" w:rsidRPr="000A53C0" w:rsidRDefault="002611CA" w:rsidP="00297974">
            <w:pPr>
              <w:pStyle w:val="TableBody"/>
              <w:keepNext/>
              <w:jc w:val="center"/>
              <w:rPr>
                <w:rFonts w:cs="Arial"/>
              </w:rPr>
            </w:pPr>
            <w:r w:rsidRPr="000A53C0">
              <w:rPr>
                <w:rFonts w:cs="Arial"/>
              </w:rPr>
              <w:t>$9.2</w:t>
            </w:r>
          </w:p>
        </w:tc>
      </w:tr>
      <w:tr w:rsidR="002611CA" w:rsidRPr="000A53C0" w14:paraId="2489B6CD" w14:textId="77777777" w:rsidTr="00297974">
        <w:trPr>
          <w:trHeight w:val="355"/>
        </w:trPr>
        <w:tc>
          <w:tcPr>
            <w:tcW w:w="2709" w:type="pct"/>
            <w:tcBorders>
              <w:bottom w:val="single" w:sz="8" w:space="0" w:color="D1D1D1" w:themeColor="background2"/>
            </w:tcBorders>
            <w:vAlign w:val="center"/>
          </w:tcPr>
          <w:p w14:paraId="1B205A42" w14:textId="77777777" w:rsidR="002611CA" w:rsidRPr="000A53C0" w:rsidRDefault="002611CA" w:rsidP="00297974">
            <w:pPr>
              <w:pStyle w:val="TableBody"/>
              <w:keepNext/>
              <w:rPr>
                <w:rFonts w:cs="Arial"/>
              </w:rPr>
            </w:pPr>
            <w:r w:rsidRPr="000A53C0">
              <w:rPr>
                <w:rFonts w:cs="Arial"/>
              </w:rPr>
              <w:t xml:space="preserve">Processing of licence applications </w:t>
            </w:r>
          </w:p>
        </w:tc>
        <w:tc>
          <w:tcPr>
            <w:tcW w:w="2291" w:type="pct"/>
            <w:tcBorders>
              <w:top w:val="nil"/>
              <w:left w:val="nil"/>
              <w:bottom w:val="single" w:sz="8" w:space="0" w:color="D1D1D1"/>
              <w:right w:val="nil"/>
            </w:tcBorders>
            <w:shd w:val="clear" w:color="auto" w:fill="auto"/>
            <w:vAlign w:val="center"/>
          </w:tcPr>
          <w:p w14:paraId="43335D29" w14:textId="77777777" w:rsidR="002611CA" w:rsidRPr="000A53C0" w:rsidRDefault="002611CA" w:rsidP="00297974">
            <w:pPr>
              <w:pStyle w:val="TableBody"/>
              <w:keepNext/>
              <w:jc w:val="center"/>
              <w:rPr>
                <w:rFonts w:cs="Arial"/>
              </w:rPr>
            </w:pPr>
            <w:r w:rsidRPr="000A53C0">
              <w:rPr>
                <w:rFonts w:cs="Arial"/>
              </w:rPr>
              <w:t>$11.5</w:t>
            </w:r>
          </w:p>
        </w:tc>
      </w:tr>
      <w:tr w:rsidR="002611CA" w:rsidRPr="000A53C0" w14:paraId="377E3473" w14:textId="77777777" w:rsidTr="00297974">
        <w:trPr>
          <w:trHeight w:val="355"/>
        </w:trPr>
        <w:tc>
          <w:tcPr>
            <w:tcW w:w="2709" w:type="pct"/>
            <w:tcBorders>
              <w:top w:val="single" w:sz="8" w:space="0" w:color="D1D1D1" w:themeColor="background2"/>
              <w:bottom w:val="single" w:sz="8" w:space="0" w:color="D1D1D1" w:themeColor="background2"/>
            </w:tcBorders>
            <w:vAlign w:val="center"/>
          </w:tcPr>
          <w:p w14:paraId="5236A632" w14:textId="77777777" w:rsidR="002611CA" w:rsidRPr="000A53C0" w:rsidRDefault="002611CA" w:rsidP="00297974">
            <w:pPr>
              <w:pStyle w:val="TableBody"/>
              <w:keepNext/>
              <w:rPr>
                <w:rFonts w:cs="Arial"/>
              </w:rPr>
            </w:pPr>
            <w:r w:rsidRPr="000A53C0">
              <w:rPr>
                <w:rFonts w:cs="Arial"/>
              </w:rPr>
              <w:t xml:space="preserve">Compliance and monitoring /enforcement </w:t>
            </w:r>
          </w:p>
        </w:tc>
        <w:tc>
          <w:tcPr>
            <w:tcW w:w="2291" w:type="pct"/>
            <w:tcBorders>
              <w:top w:val="nil"/>
              <w:left w:val="nil"/>
              <w:bottom w:val="single" w:sz="8" w:space="0" w:color="D1D1D1"/>
              <w:right w:val="nil"/>
            </w:tcBorders>
            <w:shd w:val="clear" w:color="auto" w:fill="auto"/>
            <w:vAlign w:val="center"/>
          </w:tcPr>
          <w:p w14:paraId="1592B032" w14:textId="77777777" w:rsidR="002611CA" w:rsidRPr="000A53C0" w:rsidRDefault="002611CA" w:rsidP="00297974">
            <w:pPr>
              <w:pStyle w:val="TableBody"/>
              <w:keepNext/>
              <w:jc w:val="center"/>
              <w:rPr>
                <w:rFonts w:cs="Arial"/>
              </w:rPr>
            </w:pPr>
            <w:r w:rsidRPr="000A53C0">
              <w:rPr>
                <w:rFonts w:cs="Arial"/>
              </w:rPr>
              <w:t>$85.1</w:t>
            </w:r>
          </w:p>
        </w:tc>
      </w:tr>
      <w:tr w:rsidR="002611CA" w:rsidRPr="000A53C0" w14:paraId="1BEAA6B3" w14:textId="77777777" w:rsidTr="00297974">
        <w:trPr>
          <w:trHeight w:val="355"/>
        </w:trPr>
        <w:tc>
          <w:tcPr>
            <w:tcW w:w="2709" w:type="pct"/>
            <w:tcBorders>
              <w:top w:val="single" w:sz="8" w:space="0" w:color="D1D1D1" w:themeColor="background2"/>
              <w:bottom w:val="single" w:sz="8" w:space="0" w:color="D1D1D1" w:themeColor="background2"/>
            </w:tcBorders>
            <w:vAlign w:val="center"/>
          </w:tcPr>
          <w:p w14:paraId="7FAEE1C9" w14:textId="77777777" w:rsidR="002611CA" w:rsidRPr="000A53C0" w:rsidRDefault="002611CA" w:rsidP="00297974">
            <w:pPr>
              <w:pStyle w:val="TableBody"/>
              <w:keepNext/>
              <w:rPr>
                <w:rFonts w:cs="Arial"/>
              </w:rPr>
            </w:pPr>
            <w:r w:rsidRPr="000A53C0">
              <w:rPr>
                <w:rFonts w:cs="Arial"/>
              </w:rPr>
              <w:t>Communication costs</w:t>
            </w:r>
          </w:p>
        </w:tc>
        <w:tc>
          <w:tcPr>
            <w:tcW w:w="2291" w:type="pct"/>
            <w:tcBorders>
              <w:top w:val="nil"/>
              <w:left w:val="nil"/>
              <w:bottom w:val="single" w:sz="8" w:space="0" w:color="D1D1D1"/>
              <w:right w:val="nil"/>
            </w:tcBorders>
            <w:shd w:val="clear" w:color="auto" w:fill="auto"/>
            <w:vAlign w:val="center"/>
          </w:tcPr>
          <w:p w14:paraId="7318DD31" w14:textId="77777777" w:rsidR="002611CA" w:rsidRPr="000A53C0" w:rsidRDefault="002611CA" w:rsidP="00297974">
            <w:pPr>
              <w:pStyle w:val="TableBody"/>
              <w:keepNext/>
              <w:jc w:val="center"/>
              <w:rPr>
                <w:rFonts w:cs="Arial"/>
              </w:rPr>
            </w:pPr>
            <w:r w:rsidRPr="000A53C0">
              <w:rPr>
                <w:rFonts w:cs="Arial"/>
              </w:rPr>
              <w:t>$1.5</w:t>
            </w:r>
          </w:p>
        </w:tc>
      </w:tr>
      <w:tr w:rsidR="002611CA" w:rsidRPr="000A53C0" w14:paraId="5B940338" w14:textId="77777777" w:rsidTr="00297974">
        <w:trPr>
          <w:trHeight w:val="355"/>
        </w:trPr>
        <w:tc>
          <w:tcPr>
            <w:tcW w:w="5000" w:type="pct"/>
            <w:gridSpan w:val="2"/>
            <w:tcBorders>
              <w:top w:val="single" w:sz="8" w:space="0" w:color="D1D1D1" w:themeColor="background2"/>
              <w:bottom w:val="single" w:sz="8" w:space="0" w:color="D1D1D1" w:themeColor="background2"/>
            </w:tcBorders>
            <w:shd w:val="clear" w:color="auto" w:fill="F2F2F2" w:themeFill="background1" w:themeFillShade="F2"/>
            <w:vAlign w:val="center"/>
          </w:tcPr>
          <w:p w14:paraId="1409EB49" w14:textId="77777777" w:rsidR="002611CA" w:rsidRPr="000A53C0" w:rsidRDefault="002611CA" w:rsidP="00297974">
            <w:pPr>
              <w:pStyle w:val="TableBody"/>
              <w:keepNext/>
              <w:rPr>
                <w:rFonts w:cs="Arial"/>
              </w:rPr>
            </w:pPr>
            <w:r w:rsidRPr="000A53C0">
              <w:rPr>
                <w:rFonts w:cs="Arial"/>
                <w:b/>
              </w:rPr>
              <w:t>Provision of income and vocational training support for displaced workers</w:t>
            </w:r>
          </w:p>
        </w:tc>
      </w:tr>
      <w:tr w:rsidR="002611CA" w:rsidRPr="000A53C0" w14:paraId="387A7331" w14:textId="77777777" w:rsidTr="00297974">
        <w:trPr>
          <w:trHeight w:val="355"/>
        </w:trPr>
        <w:tc>
          <w:tcPr>
            <w:tcW w:w="2709" w:type="pct"/>
            <w:tcBorders>
              <w:top w:val="single" w:sz="8" w:space="0" w:color="D1D1D1" w:themeColor="background2"/>
              <w:bottom w:val="single" w:sz="8" w:space="0" w:color="D1D1D1" w:themeColor="background2"/>
            </w:tcBorders>
            <w:vAlign w:val="center"/>
          </w:tcPr>
          <w:p w14:paraId="584C61EB" w14:textId="77777777" w:rsidR="002611CA" w:rsidRPr="000A53C0" w:rsidRDefault="002611CA" w:rsidP="00297974">
            <w:pPr>
              <w:pStyle w:val="TableBody"/>
              <w:keepNext/>
              <w:rPr>
                <w:rFonts w:cs="Arial"/>
              </w:rPr>
            </w:pPr>
            <w:r w:rsidRPr="000A53C0">
              <w:rPr>
                <w:rFonts w:cs="Arial"/>
              </w:rPr>
              <w:t>Jobseeker payments</w:t>
            </w:r>
          </w:p>
        </w:tc>
        <w:tc>
          <w:tcPr>
            <w:tcW w:w="2291" w:type="pct"/>
            <w:tcBorders>
              <w:top w:val="nil"/>
              <w:left w:val="nil"/>
              <w:bottom w:val="single" w:sz="8" w:space="0" w:color="D1D1D1"/>
              <w:right w:val="nil"/>
            </w:tcBorders>
            <w:shd w:val="clear" w:color="auto" w:fill="auto"/>
            <w:vAlign w:val="center"/>
          </w:tcPr>
          <w:p w14:paraId="055567C4" w14:textId="77DC29FC" w:rsidR="002611CA" w:rsidRPr="000A53C0" w:rsidRDefault="002611CA" w:rsidP="00297974">
            <w:pPr>
              <w:pStyle w:val="TableBody"/>
              <w:keepNext/>
              <w:jc w:val="center"/>
              <w:rPr>
                <w:rFonts w:cs="Arial"/>
              </w:rPr>
            </w:pPr>
            <w:r w:rsidRPr="000A53C0">
              <w:rPr>
                <w:rFonts w:cs="Arial"/>
              </w:rPr>
              <w:t>$0.7</w:t>
            </w:r>
          </w:p>
        </w:tc>
      </w:tr>
      <w:tr w:rsidR="002611CA" w:rsidRPr="000A53C0" w14:paraId="136FC39D" w14:textId="77777777" w:rsidTr="00297974">
        <w:trPr>
          <w:trHeight w:val="355"/>
        </w:trPr>
        <w:tc>
          <w:tcPr>
            <w:tcW w:w="2709" w:type="pct"/>
            <w:tcBorders>
              <w:top w:val="single" w:sz="8" w:space="0" w:color="D1D1D1" w:themeColor="background2"/>
              <w:bottom w:val="single" w:sz="8" w:space="0" w:color="D1D1D1" w:themeColor="background2"/>
            </w:tcBorders>
            <w:vAlign w:val="center"/>
          </w:tcPr>
          <w:p w14:paraId="4CA1DFFD" w14:textId="77777777" w:rsidR="002611CA" w:rsidRPr="000A53C0" w:rsidRDefault="002611CA" w:rsidP="00297974">
            <w:pPr>
              <w:pStyle w:val="TableBody"/>
              <w:keepNext/>
              <w:rPr>
                <w:rFonts w:cs="Arial"/>
              </w:rPr>
            </w:pPr>
            <w:r w:rsidRPr="000A53C0">
              <w:rPr>
                <w:rFonts w:cs="Arial"/>
              </w:rPr>
              <w:t>Training support costs</w:t>
            </w:r>
          </w:p>
        </w:tc>
        <w:tc>
          <w:tcPr>
            <w:tcW w:w="2291" w:type="pct"/>
            <w:tcBorders>
              <w:top w:val="nil"/>
              <w:left w:val="nil"/>
              <w:bottom w:val="single" w:sz="8" w:space="0" w:color="D1D1D1"/>
              <w:right w:val="nil"/>
            </w:tcBorders>
            <w:shd w:val="clear" w:color="auto" w:fill="auto"/>
            <w:vAlign w:val="center"/>
          </w:tcPr>
          <w:p w14:paraId="791AC7CC" w14:textId="77777777" w:rsidR="002611CA" w:rsidRPr="000A53C0" w:rsidRDefault="002611CA" w:rsidP="00297974">
            <w:pPr>
              <w:pStyle w:val="TableBody"/>
              <w:keepNext/>
              <w:jc w:val="center"/>
              <w:rPr>
                <w:rFonts w:cs="Arial"/>
              </w:rPr>
            </w:pPr>
            <w:r w:rsidRPr="000A53C0">
              <w:rPr>
                <w:rFonts w:cs="Arial"/>
              </w:rPr>
              <w:t>$0.04</w:t>
            </w:r>
          </w:p>
        </w:tc>
      </w:tr>
      <w:tr w:rsidR="002611CA" w:rsidRPr="000A53C0" w14:paraId="59F3989D" w14:textId="77777777" w:rsidTr="00297974">
        <w:trPr>
          <w:trHeight w:val="355"/>
        </w:trPr>
        <w:tc>
          <w:tcPr>
            <w:tcW w:w="2709"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41B02418" w14:textId="77777777" w:rsidR="002611CA" w:rsidRPr="000A53C0" w:rsidRDefault="002611CA" w:rsidP="00297974">
            <w:pPr>
              <w:pStyle w:val="TableBody"/>
              <w:keepNext/>
              <w:rPr>
                <w:rFonts w:cs="Arial"/>
                <w:b/>
              </w:rPr>
            </w:pPr>
            <w:r w:rsidRPr="000A53C0">
              <w:rPr>
                <w:rFonts w:cs="Arial"/>
                <w:b/>
              </w:rPr>
              <w:t>Total</w:t>
            </w:r>
          </w:p>
        </w:tc>
        <w:tc>
          <w:tcPr>
            <w:tcW w:w="2291"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D658031" w14:textId="77777777" w:rsidR="002611CA" w:rsidRPr="000A53C0" w:rsidRDefault="002611CA" w:rsidP="00297974">
            <w:pPr>
              <w:pStyle w:val="TableBody"/>
              <w:keepNext/>
              <w:jc w:val="center"/>
              <w:rPr>
                <w:rFonts w:cs="Arial"/>
                <w:b/>
              </w:rPr>
            </w:pPr>
            <w:r w:rsidRPr="000A53C0">
              <w:rPr>
                <w:rFonts w:cs="Arial"/>
                <w:b/>
              </w:rPr>
              <w:t>$108.2</w:t>
            </w:r>
          </w:p>
        </w:tc>
      </w:tr>
    </w:tbl>
    <w:p w14:paraId="71329D71" w14:textId="77777777" w:rsidR="002611CA" w:rsidRPr="000A53C0" w:rsidRDefault="002611CA" w:rsidP="002611CA">
      <w:pPr>
        <w:pStyle w:val="BodyText"/>
        <w:rPr>
          <w:rFonts w:cs="Arial"/>
          <w:color w:val="014463" w:themeColor="text2"/>
        </w:rPr>
      </w:pPr>
    </w:p>
    <w:p w14:paraId="3DCEF329" w14:textId="3D3C6C82" w:rsidR="002611CA" w:rsidRPr="000A53C0" w:rsidRDefault="002611CA" w:rsidP="00514CCB">
      <w:pPr>
        <w:pStyle w:val="Heading3numbered"/>
      </w:pPr>
      <w:r w:rsidRPr="000A53C0">
        <w:t xml:space="preserve">Costs to workers </w:t>
      </w:r>
    </w:p>
    <w:p w14:paraId="47533027" w14:textId="668C338B" w:rsidR="002611CA" w:rsidRPr="000A53C0" w:rsidRDefault="002611CA" w:rsidP="002611CA">
      <w:pPr>
        <w:pStyle w:val="BodyText"/>
        <w:rPr>
          <w:rFonts w:cs="Arial"/>
        </w:rPr>
      </w:pPr>
      <w:r w:rsidRPr="000A53C0">
        <w:rPr>
          <w:rFonts w:cs="Arial"/>
        </w:rPr>
        <w:t>Total costs of Option 1 to workers, shown in</w:t>
      </w:r>
      <w:r w:rsidR="00082657" w:rsidRPr="000A53C0">
        <w:rPr>
          <w:rFonts w:cs="Arial"/>
        </w:rPr>
        <w:t xml:space="preserve"> </w:t>
      </w:r>
      <w:r w:rsidR="00082657" w:rsidRPr="000A53C0">
        <w:rPr>
          <w:rFonts w:cs="Arial"/>
        </w:rPr>
        <w:fldChar w:fldCharType="begin" w:fldLock="1"/>
      </w:r>
      <w:r w:rsidR="00082657" w:rsidRPr="000A53C0">
        <w:rPr>
          <w:rFonts w:cs="Arial"/>
        </w:rPr>
        <w:instrText xml:space="preserve"> REF _Ref139637892 \h </w:instrText>
      </w:r>
      <w:r w:rsidR="000A53C0">
        <w:rPr>
          <w:rFonts w:cs="Arial"/>
        </w:rPr>
        <w:instrText xml:space="preserve"> \* MERGEFORMAT </w:instrText>
      </w:r>
      <w:r w:rsidR="00082657" w:rsidRPr="000A53C0">
        <w:rPr>
          <w:rFonts w:cs="Arial"/>
        </w:rPr>
      </w:r>
      <w:r w:rsidR="00082657" w:rsidRPr="000A53C0">
        <w:rPr>
          <w:rFonts w:cs="Arial"/>
        </w:rPr>
        <w:fldChar w:fldCharType="separate"/>
      </w:r>
      <w:r w:rsidR="00D16271" w:rsidRPr="00D16271">
        <w:rPr>
          <w:rFonts w:cs="Arial"/>
        </w:rPr>
        <w:t xml:space="preserve">Table </w:t>
      </w:r>
      <w:r w:rsidR="00D16271" w:rsidRPr="00D16271">
        <w:rPr>
          <w:rFonts w:cs="Arial"/>
          <w:noProof/>
        </w:rPr>
        <w:t>10</w:t>
      </w:r>
      <w:r w:rsidR="00082657" w:rsidRPr="000A53C0">
        <w:rPr>
          <w:rFonts w:cs="Arial"/>
        </w:rPr>
        <w:fldChar w:fldCharType="end"/>
      </w:r>
      <w:r w:rsidR="00082657" w:rsidRPr="000A53C0">
        <w:rPr>
          <w:rFonts w:cs="Arial"/>
        </w:rPr>
        <w:t xml:space="preserve">, </w:t>
      </w:r>
      <w:r w:rsidRPr="000A53C0">
        <w:rPr>
          <w:rFonts w:cs="Arial"/>
        </w:rPr>
        <w:t xml:space="preserve">are estimated to be $3.1 million over the appraisal period.  </w:t>
      </w:r>
    </w:p>
    <w:p w14:paraId="5D6B3437" w14:textId="0B5799B9" w:rsidR="002611CA" w:rsidRPr="000A53C0" w:rsidRDefault="002611CA" w:rsidP="00766916">
      <w:pPr>
        <w:pStyle w:val="BodyText"/>
        <w:numPr>
          <w:ilvl w:val="0"/>
          <w:numId w:val="32"/>
        </w:numPr>
        <w:spacing w:after="200" w:line="260" w:lineRule="exact"/>
        <w:rPr>
          <w:rFonts w:cs="Arial"/>
        </w:rPr>
      </w:pPr>
      <w:r w:rsidRPr="000A53C0">
        <w:rPr>
          <w:rFonts w:cs="Arial"/>
          <w:b/>
        </w:rPr>
        <w:t>Lost income</w:t>
      </w:r>
      <w:r w:rsidRPr="000A53C0">
        <w:rPr>
          <w:rFonts w:cs="Arial"/>
        </w:rPr>
        <w:t xml:space="preserve"> – $2.9 million, covering the difference between average wage in this sector and current jobseeker payments for the displaced workers from th</w:t>
      </w:r>
      <w:r w:rsidR="00EE0274" w:rsidRPr="000A53C0">
        <w:rPr>
          <w:rFonts w:cs="Arial"/>
        </w:rPr>
        <w:t>ose</w:t>
      </w:r>
      <w:r w:rsidRPr="000A53C0">
        <w:rPr>
          <w:rFonts w:cs="Arial"/>
        </w:rPr>
        <w:t xml:space="preserve"> sole trader and small business PCBU</w:t>
      </w:r>
      <w:r w:rsidR="00EE0274" w:rsidRPr="000A53C0">
        <w:rPr>
          <w:rFonts w:cs="Arial"/>
        </w:rPr>
        <w:t xml:space="preserve">s that close as a result of a prohibition. The cost is calculated </w:t>
      </w:r>
      <w:r w:rsidR="00DD55D7" w:rsidRPr="000A53C0">
        <w:rPr>
          <w:rFonts w:cs="Arial"/>
        </w:rPr>
        <w:t>based on a worker receiving Jobseeker</w:t>
      </w:r>
      <w:r w:rsidRPr="000A53C0">
        <w:rPr>
          <w:rFonts w:cs="Arial"/>
        </w:rPr>
        <w:t xml:space="preserve"> for an </w:t>
      </w:r>
      <w:r w:rsidR="00CC6048" w:rsidRPr="000A53C0">
        <w:rPr>
          <w:rFonts w:cs="Arial"/>
        </w:rPr>
        <w:t>8-</w:t>
      </w:r>
      <w:r w:rsidRPr="000A53C0">
        <w:rPr>
          <w:rFonts w:cs="Arial"/>
        </w:rPr>
        <w:t xml:space="preserve">week period. As discussed in </w:t>
      </w:r>
      <w:r w:rsidR="00DD55D7" w:rsidRPr="000A53C0">
        <w:rPr>
          <w:rFonts w:cs="Arial"/>
        </w:rPr>
        <w:t>S</w:t>
      </w:r>
      <w:r w:rsidRPr="000A53C0">
        <w:rPr>
          <w:rFonts w:cs="Arial"/>
        </w:rPr>
        <w:t xml:space="preserve">ection </w:t>
      </w:r>
      <w:r w:rsidR="00AD7071" w:rsidRPr="000A53C0">
        <w:rPr>
          <w:rFonts w:cs="Arial"/>
          <w:highlight w:val="yellow"/>
        </w:rPr>
        <w:fldChar w:fldCharType="begin" w:fldLock="1"/>
      </w:r>
      <w:r w:rsidR="00AD7071" w:rsidRPr="000A53C0">
        <w:rPr>
          <w:rFonts w:cs="Arial"/>
        </w:rPr>
        <w:instrText xml:space="preserve"> REF _Ref139637540 \r \h </w:instrText>
      </w:r>
      <w:r w:rsidR="000A53C0">
        <w:rPr>
          <w:rFonts w:cs="Arial"/>
          <w:highlight w:val="yellow"/>
        </w:rPr>
        <w:instrText xml:space="preserve"> \* MERGEFORMAT </w:instrText>
      </w:r>
      <w:r w:rsidR="00AD7071" w:rsidRPr="000A53C0">
        <w:rPr>
          <w:rFonts w:cs="Arial"/>
          <w:highlight w:val="yellow"/>
        </w:rPr>
      </w:r>
      <w:r w:rsidR="00AD7071" w:rsidRPr="000A53C0">
        <w:rPr>
          <w:rFonts w:cs="Arial"/>
          <w:highlight w:val="yellow"/>
        </w:rPr>
        <w:fldChar w:fldCharType="separate"/>
      </w:r>
      <w:r w:rsidR="00D16271">
        <w:rPr>
          <w:rFonts w:cs="Arial"/>
        </w:rPr>
        <w:t>4.4.2</w:t>
      </w:r>
      <w:r w:rsidR="00AD7071" w:rsidRPr="000A53C0">
        <w:rPr>
          <w:rFonts w:cs="Arial"/>
          <w:highlight w:val="yellow"/>
        </w:rPr>
        <w:fldChar w:fldCharType="end"/>
      </w:r>
      <w:r w:rsidRPr="000A53C0">
        <w:rPr>
          <w:rFonts w:cs="Arial"/>
        </w:rPr>
        <w:t xml:space="preserve">, this relatively short period is based on an assumption that any periods of unemployment will be minimal given the tight labour market in the construction sector. </w:t>
      </w:r>
    </w:p>
    <w:p w14:paraId="74BEF8F8" w14:textId="14685EE7" w:rsidR="002611CA" w:rsidRPr="000A53C0" w:rsidRDefault="002611CA" w:rsidP="00766916">
      <w:pPr>
        <w:pStyle w:val="BodyText"/>
        <w:numPr>
          <w:ilvl w:val="0"/>
          <w:numId w:val="32"/>
        </w:numPr>
        <w:spacing w:after="200" w:line="260" w:lineRule="exact"/>
        <w:rPr>
          <w:rFonts w:cs="Arial"/>
        </w:rPr>
      </w:pPr>
      <w:r w:rsidRPr="000A53C0">
        <w:rPr>
          <w:rFonts w:cs="Arial"/>
          <w:b/>
        </w:rPr>
        <w:t>Retraining costs</w:t>
      </w:r>
      <w:r w:rsidRPr="000A53C0">
        <w:rPr>
          <w:rFonts w:cs="Arial"/>
        </w:rPr>
        <w:t xml:space="preserve"> </w:t>
      </w:r>
      <w:r w:rsidR="00C60AB3">
        <w:rPr>
          <w:rFonts w:cs="Arial"/>
        </w:rPr>
        <w:t>–</w:t>
      </w:r>
      <w:r w:rsidRPr="000A53C0">
        <w:rPr>
          <w:rFonts w:cs="Arial"/>
        </w:rPr>
        <w:t xml:space="preserve"> $0.2 million over the appraisal period, based on average course fees for a Certificate III qualification for Civil Construction, Cabinet Making, Tiling and Fabrication Trades, for the 3% of displaced workers from PCBU closures who are assumed to retrain.</w:t>
      </w:r>
    </w:p>
    <w:p w14:paraId="5D623DE0" w14:textId="1C1D3EA1" w:rsidR="002611CA" w:rsidRPr="000A53C0" w:rsidRDefault="00D426B2" w:rsidP="00CB1198">
      <w:pPr>
        <w:pStyle w:val="Caption"/>
        <w:rPr>
          <w:rFonts w:cs="Arial"/>
        </w:rPr>
      </w:pPr>
      <w:bookmarkStart w:id="136" w:name="_Ref139637892"/>
      <w:bookmarkStart w:id="137" w:name="_Ref139637885"/>
      <w:r w:rsidRPr="003A47C3">
        <w:rPr>
          <w:rFonts w:cs="Arial"/>
          <w:b/>
          <w:bCs/>
        </w:rPr>
        <w:t xml:space="preserve">Table </w:t>
      </w:r>
      <w:r w:rsidRPr="003A47C3">
        <w:rPr>
          <w:rFonts w:cs="Arial"/>
          <w:b/>
          <w:bCs/>
        </w:rPr>
        <w:fldChar w:fldCharType="begin"/>
      </w:r>
      <w:r w:rsidRPr="003A47C3">
        <w:rPr>
          <w:rFonts w:cs="Arial"/>
          <w:b/>
          <w:bCs/>
        </w:rPr>
        <w:instrText>SEQ Table \* ARABIC</w:instrText>
      </w:r>
      <w:r w:rsidRPr="003A47C3">
        <w:rPr>
          <w:rFonts w:cs="Arial"/>
          <w:b/>
          <w:bCs/>
        </w:rPr>
        <w:fldChar w:fldCharType="separate"/>
      </w:r>
      <w:r w:rsidR="00D16271">
        <w:rPr>
          <w:rFonts w:cs="Arial"/>
          <w:b/>
          <w:bCs/>
          <w:noProof/>
        </w:rPr>
        <w:t>10</w:t>
      </w:r>
      <w:r w:rsidRPr="003A47C3">
        <w:rPr>
          <w:rFonts w:cs="Arial"/>
          <w:b/>
          <w:bCs/>
        </w:rPr>
        <w:fldChar w:fldCharType="end"/>
      </w:r>
      <w:bookmarkEnd w:id="136"/>
      <w:r w:rsidR="002611CA" w:rsidRPr="000A53C0">
        <w:rPr>
          <w:rFonts w:cs="Arial"/>
        </w:rPr>
        <w:t xml:space="preserve"> Estimated cost of Option 1 – workers</w:t>
      </w:r>
      <w:bookmarkEnd w:id="137"/>
    </w:p>
    <w:tbl>
      <w:tblPr>
        <w:tblStyle w:val="TableGrid"/>
        <w:tblW w:w="5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4820"/>
        <w:gridCol w:w="5386"/>
        <w:gridCol w:w="33"/>
      </w:tblGrid>
      <w:tr w:rsidR="002611CA" w:rsidRPr="000A53C0" w14:paraId="5EF16B1F" w14:textId="77777777" w:rsidTr="003A47C3">
        <w:trPr>
          <w:gridAfter w:val="1"/>
          <w:wAfter w:w="16" w:type="pct"/>
          <w:trHeight w:val="568"/>
          <w:tblHeader/>
        </w:trPr>
        <w:tc>
          <w:tcPr>
            <w:tcW w:w="2354" w:type="pct"/>
            <w:shd w:val="clear" w:color="auto" w:fill="E81D32"/>
            <w:vAlign w:val="center"/>
          </w:tcPr>
          <w:p w14:paraId="1CEC96EA" w14:textId="77777777" w:rsidR="002611CA" w:rsidRPr="003A47C3" w:rsidRDefault="002611CA" w:rsidP="003A47C3">
            <w:pPr>
              <w:pStyle w:val="TableHeading"/>
              <w:keepNext/>
              <w:keepLines/>
              <w:spacing w:before="0" w:after="0"/>
              <w:rPr>
                <w:rFonts w:ascii="Arial" w:hAnsi="Arial" w:cs="Arial"/>
                <w:color w:val="FFFFFF" w:themeColor="background1"/>
              </w:rPr>
            </w:pPr>
            <w:r w:rsidRPr="003A47C3">
              <w:rPr>
                <w:rFonts w:ascii="Arial" w:hAnsi="Arial" w:cs="Arial"/>
                <w:color w:val="FFFFFF" w:themeColor="background1"/>
              </w:rPr>
              <w:t>Cost</w:t>
            </w:r>
          </w:p>
        </w:tc>
        <w:tc>
          <w:tcPr>
            <w:tcW w:w="2630" w:type="pct"/>
            <w:shd w:val="clear" w:color="auto" w:fill="E81D32"/>
            <w:vAlign w:val="center"/>
          </w:tcPr>
          <w:p w14:paraId="3B664EFF" w14:textId="0593D729" w:rsidR="002611CA" w:rsidRPr="003A47C3" w:rsidRDefault="0034596A" w:rsidP="003A47C3">
            <w:pPr>
              <w:pStyle w:val="TableHeading"/>
              <w:keepNext/>
              <w:keepLines/>
              <w:spacing w:before="0" w:after="0"/>
              <w:rPr>
                <w:rFonts w:ascii="Arial" w:hAnsi="Arial" w:cs="Arial"/>
                <w:color w:val="FFFFFF" w:themeColor="background1"/>
              </w:rPr>
            </w:pPr>
            <w:r w:rsidRPr="003A47C3">
              <w:rPr>
                <w:rFonts w:ascii="Arial" w:hAnsi="Arial" w:cs="Arial"/>
                <w:color w:val="FFFFFF" w:themeColor="background1"/>
              </w:rPr>
              <w:t xml:space="preserve">Estimated cost </w:t>
            </w:r>
            <w:r w:rsidR="004C5B86" w:rsidRPr="003A47C3">
              <w:rPr>
                <w:rFonts w:ascii="Arial" w:hAnsi="Arial" w:cs="Arial"/>
                <w:color w:val="FFFFFF" w:themeColor="background1"/>
              </w:rPr>
              <w:t>–</w:t>
            </w:r>
            <w:r w:rsidRPr="003A47C3">
              <w:rPr>
                <w:rFonts w:ascii="Arial" w:hAnsi="Arial" w:cs="Arial"/>
                <w:color w:val="FFFFFF" w:themeColor="background1"/>
              </w:rPr>
              <w:t xml:space="preserve"> </w:t>
            </w:r>
            <w:r w:rsidR="004C5B86" w:rsidRPr="003A47C3">
              <w:rPr>
                <w:rFonts w:ascii="Arial" w:hAnsi="Arial" w:cs="Arial"/>
                <w:color w:val="FFFFFF" w:themeColor="background1"/>
              </w:rPr>
              <w:t>10-year</w:t>
            </w:r>
            <w:r w:rsidRPr="003A47C3">
              <w:rPr>
                <w:rFonts w:ascii="Arial" w:hAnsi="Arial" w:cs="Arial"/>
                <w:color w:val="FFFFFF" w:themeColor="background1"/>
              </w:rPr>
              <w:t xml:space="preserve"> appraisal period ($m)</w:t>
            </w:r>
          </w:p>
        </w:tc>
      </w:tr>
      <w:tr w:rsidR="002611CA" w:rsidRPr="000A53C0" w14:paraId="43FCF8A1" w14:textId="77777777" w:rsidTr="007D745F">
        <w:trPr>
          <w:trHeight w:val="355"/>
        </w:trPr>
        <w:tc>
          <w:tcPr>
            <w:tcW w:w="2354" w:type="pct"/>
            <w:tcBorders>
              <w:bottom w:val="single" w:sz="8" w:space="0" w:color="D1D1D1" w:themeColor="background2"/>
            </w:tcBorders>
            <w:vAlign w:val="center"/>
          </w:tcPr>
          <w:p w14:paraId="6EA75FF9" w14:textId="77777777" w:rsidR="002611CA" w:rsidRPr="000A53C0" w:rsidRDefault="002611CA" w:rsidP="007D745F">
            <w:pPr>
              <w:pStyle w:val="TableBody"/>
              <w:keepNext/>
              <w:keepLines/>
              <w:rPr>
                <w:rFonts w:cs="Arial"/>
              </w:rPr>
            </w:pPr>
            <w:r w:rsidRPr="000A53C0">
              <w:rPr>
                <w:rFonts w:cs="Arial"/>
              </w:rPr>
              <w:t>Lost income over period of unemployment net of JobSeeker</w:t>
            </w:r>
          </w:p>
        </w:tc>
        <w:tc>
          <w:tcPr>
            <w:tcW w:w="2646" w:type="pct"/>
            <w:gridSpan w:val="2"/>
            <w:tcBorders>
              <w:top w:val="nil"/>
              <w:left w:val="nil"/>
              <w:bottom w:val="single" w:sz="8" w:space="0" w:color="D1D1D1"/>
              <w:right w:val="nil"/>
            </w:tcBorders>
            <w:vAlign w:val="center"/>
          </w:tcPr>
          <w:p w14:paraId="2619B9E3" w14:textId="77777777" w:rsidR="002611CA" w:rsidRPr="000A53C0" w:rsidRDefault="002611CA" w:rsidP="007D745F">
            <w:pPr>
              <w:pStyle w:val="TableBody"/>
              <w:jc w:val="center"/>
              <w:rPr>
                <w:rFonts w:cs="Arial"/>
              </w:rPr>
            </w:pPr>
            <w:r w:rsidRPr="000A53C0">
              <w:rPr>
                <w:rFonts w:cs="Arial"/>
              </w:rPr>
              <w:t>$2.9</w:t>
            </w:r>
          </w:p>
        </w:tc>
      </w:tr>
      <w:tr w:rsidR="002611CA" w:rsidRPr="000A53C0" w14:paraId="5C5E03F0" w14:textId="77777777" w:rsidTr="007D745F">
        <w:trPr>
          <w:trHeight w:val="355"/>
        </w:trPr>
        <w:tc>
          <w:tcPr>
            <w:tcW w:w="2354" w:type="pct"/>
            <w:tcBorders>
              <w:bottom w:val="single" w:sz="8" w:space="0" w:color="D1D1D1" w:themeColor="background2"/>
            </w:tcBorders>
            <w:vAlign w:val="center"/>
          </w:tcPr>
          <w:p w14:paraId="5ADB170C" w14:textId="77777777" w:rsidR="002611CA" w:rsidRPr="000A53C0" w:rsidRDefault="002611CA" w:rsidP="007D745F">
            <w:pPr>
              <w:pStyle w:val="TableBody"/>
              <w:keepNext/>
              <w:keepLines/>
              <w:rPr>
                <w:rFonts w:cs="Arial"/>
              </w:rPr>
            </w:pPr>
            <w:r w:rsidRPr="000A53C0">
              <w:rPr>
                <w:rFonts w:cs="Arial"/>
              </w:rPr>
              <w:t xml:space="preserve">Out-of-pocket costs for retraining to other trade  </w:t>
            </w:r>
          </w:p>
        </w:tc>
        <w:tc>
          <w:tcPr>
            <w:tcW w:w="2646" w:type="pct"/>
            <w:gridSpan w:val="2"/>
            <w:tcBorders>
              <w:top w:val="nil"/>
              <w:left w:val="nil"/>
              <w:bottom w:val="single" w:sz="8" w:space="0" w:color="D1D1D1"/>
              <w:right w:val="nil"/>
            </w:tcBorders>
            <w:vAlign w:val="center"/>
          </w:tcPr>
          <w:p w14:paraId="22100A0B" w14:textId="77777777" w:rsidR="002611CA" w:rsidRPr="000A53C0" w:rsidRDefault="002611CA" w:rsidP="007D745F">
            <w:pPr>
              <w:pStyle w:val="TableBody"/>
              <w:jc w:val="center"/>
              <w:rPr>
                <w:rFonts w:cs="Arial"/>
              </w:rPr>
            </w:pPr>
            <w:r w:rsidRPr="000A53C0">
              <w:rPr>
                <w:rFonts w:cs="Arial"/>
              </w:rPr>
              <w:t>$0.2</w:t>
            </w:r>
          </w:p>
        </w:tc>
      </w:tr>
      <w:tr w:rsidR="002611CA" w:rsidRPr="000A53C0" w14:paraId="75E413E0" w14:textId="77777777" w:rsidTr="007D745F">
        <w:trPr>
          <w:trHeight w:val="355"/>
        </w:trPr>
        <w:tc>
          <w:tcPr>
            <w:tcW w:w="2354"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DC9F404" w14:textId="77777777" w:rsidR="002611CA" w:rsidRPr="000A53C0" w:rsidRDefault="002611CA" w:rsidP="007D745F">
            <w:pPr>
              <w:pStyle w:val="TableBody"/>
              <w:keepNext/>
              <w:keepLines/>
              <w:rPr>
                <w:rFonts w:cs="Arial"/>
                <w:b/>
              </w:rPr>
            </w:pPr>
            <w:r w:rsidRPr="000A53C0">
              <w:rPr>
                <w:rFonts w:cs="Arial"/>
                <w:b/>
              </w:rPr>
              <w:t>Total</w:t>
            </w:r>
          </w:p>
        </w:tc>
        <w:tc>
          <w:tcPr>
            <w:tcW w:w="2646" w:type="pct"/>
            <w:gridSpan w:val="2"/>
            <w:tcBorders>
              <w:top w:val="single" w:sz="8" w:space="0" w:color="D1D1D1" w:themeColor="background2"/>
              <w:bottom w:val="single" w:sz="8" w:space="0" w:color="D1D1D1" w:themeColor="background2"/>
            </w:tcBorders>
            <w:shd w:val="clear" w:color="auto" w:fill="D9D9D9" w:themeFill="background1" w:themeFillShade="D9"/>
            <w:vAlign w:val="center"/>
          </w:tcPr>
          <w:p w14:paraId="67A31185" w14:textId="77777777" w:rsidR="002611CA" w:rsidRPr="000A53C0" w:rsidRDefault="002611CA" w:rsidP="007D745F">
            <w:pPr>
              <w:pStyle w:val="TableBody"/>
              <w:jc w:val="center"/>
              <w:rPr>
                <w:rFonts w:cs="Arial"/>
                <w:b/>
              </w:rPr>
            </w:pPr>
            <w:r w:rsidRPr="000A53C0">
              <w:rPr>
                <w:rFonts w:cs="Arial"/>
                <w:b/>
                <w:bCs/>
              </w:rPr>
              <w:t>$3.1</w:t>
            </w:r>
          </w:p>
        </w:tc>
      </w:tr>
    </w:tbl>
    <w:p w14:paraId="7358B883" w14:textId="6C9728F2" w:rsidR="002611CA" w:rsidRPr="000A53C0" w:rsidRDefault="002611CA" w:rsidP="00514CCB">
      <w:pPr>
        <w:pStyle w:val="Heading2numbered"/>
      </w:pPr>
      <w:bookmarkStart w:id="138" w:name="_Toc142991339"/>
      <w:r w:rsidRPr="000A53C0">
        <w:t>Option 2 monetised costs</w:t>
      </w:r>
      <w:bookmarkEnd w:id="138"/>
    </w:p>
    <w:p w14:paraId="2DAB79CB" w14:textId="590D58B2" w:rsidR="002611CA" w:rsidRPr="000A53C0" w:rsidRDefault="00C53D3D" w:rsidP="002611CA">
      <w:pPr>
        <w:pStyle w:val="BodyText"/>
        <w:rPr>
          <w:rFonts w:cs="Arial"/>
          <w:color w:val="014463" w:themeColor="text2"/>
          <w:sz w:val="24"/>
          <w:szCs w:val="24"/>
        </w:rPr>
      </w:pPr>
      <w:r w:rsidRPr="000A53C0">
        <w:rPr>
          <w:rFonts w:cs="Arial"/>
        </w:rPr>
        <w:t xml:space="preserve">The costs associated with </w:t>
      </w:r>
      <w:r w:rsidR="002611CA" w:rsidRPr="000A53C0">
        <w:rPr>
          <w:rFonts w:cs="Arial"/>
        </w:rPr>
        <w:t xml:space="preserve">prohibition of higher silica engineered stone (engineered stone with a crystalline silica content of 40% or more) </w:t>
      </w:r>
      <w:r w:rsidRPr="000A53C0">
        <w:rPr>
          <w:rFonts w:cs="Arial"/>
        </w:rPr>
        <w:t>are</w:t>
      </w:r>
      <w:r w:rsidR="002611CA" w:rsidRPr="000A53C0">
        <w:rPr>
          <w:rFonts w:cs="Arial"/>
        </w:rPr>
        <w:t xml:space="preserve"> those attributed to government and other industry PCBUs for a licensing framework for work with legacy products</w:t>
      </w:r>
      <w:r w:rsidRPr="000A53C0">
        <w:rPr>
          <w:rFonts w:cs="Arial"/>
        </w:rPr>
        <w:t>, as</w:t>
      </w:r>
      <w:r w:rsidR="00F52418" w:rsidRPr="000A53C0">
        <w:rPr>
          <w:rFonts w:cs="Arial"/>
        </w:rPr>
        <w:t xml:space="preserve"> </w:t>
      </w:r>
      <w:r w:rsidR="00362CCA" w:rsidRPr="000A53C0">
        <w:rPr>
          <w:rFonts w:cs="Arial"/>
        </w:rPr>
        <w:t xml:space="preserve">discussed </w:t>
      </w:r>
      <w:r w:rsidR="002611CA" w:rsidRPr="000A53C0">
        <w:rPr>
          <w:rFonts w:cs="Arial"/>
        </w:rPr>
        <w:t>in sections</w:t>
      </w:r>
      <w:r w:rsidR="00DD55D7" w:rsidRPr="000A53C0">
        <w:rPr>
          <w:rFonts w:cs="Arial"/>
        </w:rPr>
        <w:t xml:space="preserve"> </w:t>
      </w:r>
      <w:r w:rsidR="00DD55D7" w:rsidRPr="000A53C0">
        <w:rPr>
          <w:rFonts w:cs="Arial"/>
        </w:rPr>
        <w:fldChar w:fldCharType="begin" w:fldLock="1"/>
      </w:r>
      <w:r w:rsidR="00DD55D7" w:rsidRPr="000A53C0">
        <w:rPr>
          <w:rFonts w:cs="Arial"/>
        </w:rPr>
        <w:instrText xml:space="preserve"> REF _Ref139637617 \r \h </w:instrText>
      </w:r>
      <w:r w:rsidR="000A53C0">
        <w:rPr>
          <w:rFonts w:cs="Arial"/>
        </w:rPr>
        <w:instrText xml:space="preserve"> \* MERGEFORMAT </w:instrText>
      </w:r>
      <w:r w:rsidR="00DD55D7" w:rsidRPr="000A53C0">
        <w:rPr>
          <w:rFonts w:cs="Arial"/>
        </w:rPr>
      </w:r>
      <w:r w:rsidR="00DD55D7" w:rsidRPr="000A53C0">
        <w:rPr>
          <w:rFonts w:cs="Arial"/>
        </w:rPr>
        <w:fldChar w:fldCharType="separate"/>
      </w:r>
      <w:r w:rsidR="00D16271">
        <w:rPr>
          <w:rFonts w:cs="Arial"/>
        </w:rPr>
        <w:t>4.3.2</w:t>
      </w:r>
      <w:r w:rsidR="00DD55D7" w:rsidRPr="000A53C0">
        <w:rPr>
          <w:rFonts w:cs="Arial"/>
        </w:rPr>
        <w:fldChar w:fldCharType="end"/>
      </w:r>
      <w:r w:rsidR="000761C5" w:rsidRPr="000A53C0">
        <w:rPr>
          <w:rFonts w:cs="Arial"/>
        </w:rPr>
        <w:t>,</w:t>
      </w:r>
      <w:r w:rsidR="002C53D7">
        <w:rPr>
          <w:rFonts w:cs="Arial"/>
        </w:rPr>
        <w:t xml:space="preserve"> </w:t>
      </w:r>
      <w:r w:rsidR="000761C5" w:rsidRPr="000A53C0">
        <w:rPr>
          <w:rFonts w:cs="Arial"/>
        </w:rPr>
        <w:fldChar w:fldCharType="begin" w:fldLock="1"/>
      </w:r>
      <w:r w:rsidR="000761C5" w:rsidRPr="000A53C0">
        <w:rPr>
          <w:rFonts w:cs="Arial"/>
        </w:rPr>
        <w:instrText xml:space="preserve"> REF _Ref139638456 \r \h </w:instrText>
      </w:r>
      <w:r w:rsidR="000A53C0">
        <w:rPr>
          <w:rFonts w:cs="Arial"/>
        </w:rPr>
        <w:instrText xml:space="preserve"> \* MERGEFORMAT </w:instrText>
      </w:r>
      <w:r w:rsidR="000761C5" w:rsidRPr="000A53C0">
        <w:rPr>
          <w:rFonts w:cs="Arial"/>
        </w:rPr>
      </w:r>
      <w:r w:rsidR="000761C5" w:rsidRPr="000A53C0">
        <w:rPr>
          <w:rFonts w:cs="Arial"/>
        </w:rPr>
        <w:fldChar w:fldCharType="separate"/>
      </w:r>
      <w:r w:rsidR="00D16271">
        <w:rPr>
          <w:rFonts w:cs="Arial"/>
        </w:rPr>
        <w:t>4.4.1.2</w:t>
      </w:r>
      <w:r w:rsidR="000761C5" w:rsidRPr="000A53C0">
        <w:rPr>
          <w:rFonts w:cs="Arial"/>
        </w:rPr>
        <w:fldChar w:fldCharType="end"/>
      </w:r>
      <w:r w:rsidR="002C53D7">
        <w:rPr>
          <w:rFonts w:cs="Arial"/>
        </w:rPr>
        <w:t xml:space="preserve"> </w:t>
      </w:r>
      <w:r w:rsidR="000761C5" w:rsidRPr="000A53C0">
        <w:rPr>
          <w:rFonts w:cs="Arial"/>
        </w:rPr>
        <w:t xml:space="preserve">and </w:t>
      </w:r>
      <w:r w:rsidR="000761C5" w:rsidRPr="000A53C0">
        <w:rPr>
          <w:rFonts w:cs="Arial"/>
        </w:rPr>
        <w:fldChar w:fldCharType="begin" w:fldLock="1"/>
      </w:r>
      <w:r w:rsidR="000761C5" w:rsidRPr="000A53C0">
        <w:rPr>
          <w:rFonts w:cs="Arial"/>
        </w:rPr>
        <w:instrText xml:space="preserve"> REF _Ref139637540 \r \h </w:instrText>
      </w:r>
      <w:r w:rsidR="000A53C0">
        <w:rPr>
          <w:rFonts w:cs="Arial"/>
        </w:rPr>
        <w:instrText xml:space="preserve"> \* MERGEFORMAT </w:instrText>
      </w:r>
      <w:r w:rsidR="000761C5" w:rsidRPr="000A53C0">
        <w:rPr>
          <w:rFonts w:cs="Arial"/>
        </w:rPr>
      </w:r>
      <w:r w:rsidR="000761C5" w:rsidRPr="000A53C0">
        <w:rPr>
          <w:rFonts w:cs="Arial"/>
        </w:rPr>
        <w:fldChar w:fldCharType="separate"/>
      </w:r>
      <w:r w:rsidR="00D16271">
        <w:rPr>
          <w:rFonts w:cs="Arial"/>
        </w:rPr>
        <w:t>4.4.2</w:t>
      </w:r>
      <w:r w:rsidR="000761C5" w:rsidRPr="000A53C0">
        <w:rPr>
          <w:rFonts w:cs="Arial"/>
        </w:rPr>
        <w:fldChar w:fldCharType="end"/>
      </w:r>
      <w:r w:rsidR="000761C5" w:rsidRPr="000A53C0">
        <w:rPr>
          <w:rFonts w:cs="Arial"/>
        </w:rPr>
        <w:t>.</w:t>
      </w:r>
      <w:r w:rsidR="002611CA" w:rsidRPr="000A53C0">
        <w:rPr>
          <w:rFonts w:cs="Arial"/>
        </w:rPr>
        <w:t xml:space="preserve"> </w:t>
      </w:r>
      <w:r w:rsidR="00D1466E" w:rsidRPr="000A53C0">
        <w:rPr>
          <w:rFonts w:cs="Arial"/>
        </w:rPr>
        <w:t>E</w:t>
      </w:r>
      <w:r w:rsidR="002611CA" w:rsidRPr="000A53C0">
        <w:rPr>
          <w:rFonts w:cs="Arial"/>
        </w:rPr>
        <w:t xml:space="preserve">ngineered stone PCBUs will still be able to fabricate and install lower silica engineered stone (less than 40% crystalline silica content), and expected market availability of this product means there </w:t>
      </w:r>
      <w:r w:rsidR="002611CA" w:rsidRPr="000A53C0">
        <w:rPr>
          <w:rFonts w:cs="Arial"/>
        </w:rPr>
        <w:lastRenderedPageBreak/>
        <w:t>will not be an impact on engineered stone PCBUs</w:t>
      </w:r>
      <w:r w:rsidR="0093121F" w:rsidRPr="000A53C0">
        <w:rPr>
          <w:rFonts w:cs="Arial"/>
        </w:rPr>
        <w:t xml:space="preserve">. </w:t>
      </w:r>
      <w:r w:rsidR="0022031E" w:rsidRPr="000A53C0">
        <w:rPr>
          <w:rFonts w:cs="Arial"/>
        </w:rPr>
        <w:t>According to</w:t>
      </w:r>
      <w:r w:rsidR="0093121F" w:rsidRPr="000A53C0">
        <w:rPr>
          <w:rFonts w:cs="Arial"/>
        </w:rPr>
        <w:t xml:space="preserve"> the consultation submissions, </w:t>
      </w:r>
      <w:r w:rsidR="002611CA" w:rsidRPr="000A53C0">
        <w:rPr>
          <w:rFonts w:cs="Arial"/>
        </w:rPr>
        <w:t>40% of engineered stone PCBUs already work with lower silica engineered stone, and several suppliers have indicated their ability to meet market demand by 2024. There are no estimated costs to workers for this option.</w:t>
      </w:r>
    </w:p>
    <w:p w14:paraId="266C327F" w14:textId="125FC472" w:rsidR="002611CA" w:rsidRPr="000A53C0" w:rsidRDefault="002611CA" w:rsidP="00514CCB">
      <w:pPr>
        <w:pStyle w:val="Heading3numbered"/>
      </w:pPr>
      <w:r w:rsidRPr="000A53C0">
        <w:t>Costs to PCBUs</w:t>
      </w:r>
    </w:p>
    <w:p w14:paraId="1FD9EC22" w14:textId="629E351B" w:rsidR="002611CA" w:rsidRPr="000A53C0" w:rsidRDefault="002611CA" w:rsidP="002611CA">
      <w:pPr>
        <w:pStyle w:val="BodyText"/>
        <w:rPr>
          <w:rFonts w:cs="Arial"/>
        </w:rPr>
      </w:pPr>
      <w:r w:rsidRPr="000A53C0">
        <w:rPr>
          <w:rFonts w:cs="Arial"/>
        </w:rPr>
        <w:t xml:space="preserve">Under Option 2, costs to PCBUs are estimated to be $133.0 million, comprising costs to other industry PCBUs arising from the licensing framework for work with legacy products (see </w:t>
      </w:r>
      <w:r w:rsidRPr="000A53C0">
        <w:rPr>
          <w:rFonts w:cs="Arial"/>
        </w:rPr>
        <w:fldChar w:fldCharType="begin" w:fldLock="1"/>
      </w:r>
      <w:r w:rsidRPr="000A53C0">
        <w:rPr>
          <w:rFonts w:cs="Arial"/>
        </w:rPr>
        <w:instrText xml:space="preserve"> REF _Ref138360645 \h  \* MERGEFORMAT </w:instrText>
      </w:r>
      <w:r w:rsidRPr="000A53C0">
        <w:rPr>
          <w:rFonts w:cs="Arial"/>
        </w:rPr>
      </w:r>
      <w:r w:rsidRPr="000A53C0">
        <w:rPr>
          <w:rFonts w:cs="Arial"/>
        </w:rPr>
        <w:fldChar w:fldCharType="separate"/>
      </w:r>
      <w:r w:rsidR="00D16271" w:rsidRPr="00D16271">
        <w:rPr>
          <w:rFonts w:cs="Arial"/>
        </w:rPr>
        <w:t>Table 11</w:t>
      </w:r>
      <w:r w:rsidRPr="000A53C0">
        <w:rPr>
          <w:rFonts w:cs="Arial"/>
        </w:rPr>
        <w:fldChar w:fldCharType="end"/>
      </w:r>
      <w:r w:rsidRPr="000A53C0">
        <w:rPr>
          <w:rFonts w:cs="Arial"/>
        </w:rPr>
        <w:t xml:space="preserve">).  </w:t>
      </w:r>
    </w:p>
    <w:p w14:paraId="06449E76" w14:textId="230649F2" w:rsidR="002611CA" w:rsidRPr="000A53C0" w:rsidRDefault="002611CA" w:rsidP="00CB1198">
      <w:pPr>
        <w:pStyle w:val="Caption"/>
        <w:rPr>
          <w:rFonts w:cs="Arial"/>
        </w:rPr>
      </w:pPr>
      <w:bookmarkStart w:id="139" w:name="_Ref138360645"/>
      <w:r w:rsidRPr="00847E32">
        <w:rPr>
          <w:rFonts w:cs="Arial"/>
          <w:b/>
          <w:bCs/>
        </w:rPr>
        <w:t xml:space="preserve">Table </w:t>
      </w:r>
      <w:r w:rsidRPr="00847E32">
        <w:rPr>
          <w:rFonts w:cs="Arial"/>
          <w:b/>
          <w:bCs/>
        </w:rPr>
        <w:fldChar w:fldCharType="begin"/>
      </w:r>
      <w:r w:rsidRPr="00847E32">
        <w:rPr>
          <w:rFonts w:cs="Arial"/>
          <w:b/>
          <w:bCs/>
        </w:rPr>
        <w:instrText>SEQ Table \* ARABIC</w:instrText>
      </w:r>
      <w:r w:rsidRPr="00847E32">
        <w:rPr>
          <w:rFonts w:cs="Arial"/>
          <w:b/>
          <w:bCs/>
        </w:rPr>
        <w:fldChar w:fldCharType="separate"/>
      </w:r>
      <w:r w:rsidR="00D16271">
        <w:rPr>
          <w:rFonts w:cs="Arial"/>
          <w:b/>
          <w:bCs/>
          <w:noProof/>
        </w:rPr>
        <w:t>11</w:t>
      </w:r>
      <w:r w:rsidRPr="00847E32">
        <w:rPr>
          <w:rFonts w:cs="Arial"/>
          <w:b/>
          <w:bCs/>
        </w:rPr>
        <w:fldChar w:fldCharType="end"/>
      </w:r>
      <w:bookmarkEnd w:id="139"/>
      <w:r w:rsidRPr="000A53C0">
        <w:rPr>
          <w:rFonts w:cs="Arial"/>
        </w:rPr>
        <w:t xml:space="preserve"> Estimated cost of Option 2 – PCBUs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UPSLIDE_TablePasted`_#[%£=+@"/>
      </w:tblPr>
      <w:tblGrid>
        <w:gridCol w:w="5367"/>
        <w:gridCol w:w="1129"/>
        <w:gridCol w:w="1262"/>
        <w:gridCol w:w="1213"/>
        <w:gridCol w:w="1223"/>
      </w:tblGrid>
      <w:tr w:rsidR="002611CA" w:rsidRPr="000A53C0" w14:paraId="47641FFA" w14:textId="77777777" w:rsidTr="00106562">
        <w:trPr>
          <w:trHeight w:val="533"/>
          <w:tblHeader/>
        </w:trPr>
        <w:tc>
          <w:tcPr>
            <w:tcW w:w="2632" w:type="pct"/>
            <w:shd w:val="clear" w:color="auto" w:fill="E81D32"/>
            <w:vAlign w:val="center"/>
          </w:tcPr>
          <w:p w14:paraId="117FBAA2" w14:textId="77777777" w:rsidR="002611CA" w:rsidRPr="00106562" w:rsidRDefault="002611CA" w:rsidP="00106562">
            <w:pPr>
              <w:pStyle w:val="TableHeading"/>
              <w:keepNext/>
              <w:keepLines/>
              <w:spacing w:before="0" w:after="0"/>
              <w:rPr>
                <w:rFonts w:ascii="Arial" w:hAnsi="Arial" w:cs="Arial"/>
                <w:color w:val="FFFFFF" w:themeColor="background1"/>
              </w:rPr>
            </w:pPr>
            <w:r w:rsidRPr="00106562">
              <w:rPr>
                <w:rFonts w:ascii="Arial" w:hAnsi="Arial" w:cs="Arial"/>
                <w:color w:val="FFFFFF" w:themeColor="background1"/>
              </w:rPr>
              <w:t>Cost</w:t>
            </w:r>
          </w:p>
        </w:tc>
        <w:tc>
          <w:tcPr>
            <w:tcW w:w="2368" w:type="pct"/>
            <w:gridSpan w:val="4"/>
            <w:shd w:val="clear" w:color="auto" w:fill="E81D32"/>
            <w:vAlign w:val="center"/>
          </w:tcPr>
          <w:p w14:paraId="6C27A14E" w14:textId="43FB5BE2" w:rsidR="002611CA" w:rsidRPr="00106562" w:rsidRDefault="0034596A" w:rsidP="00106562">
            <w:pPr>
              <w:pStyle w:val="TableHeading"/>
              <w:keepNext/>
              <w:keepLines/>
              <w:spacing w:before="0" w:after="0"/>
              <w:rPr>
                <w:rFonts w:ascii="Arial" w:hAnsi="Arial" w:cs="Arial"/>
                <w:color w:val="FFFFFF" w:themeColor="background1"/>
              </w:rPr>
            </w:pPr>
            <w:r w:rsidRPr="00106562">
              <w:rPr>
                <w:rFonts w:ascii="Arial" w:hAnsi="Arial" w:cs="Arial"/>
                <w:color w:val="FFFFFF" w:themeColor="background1"/>
              </w:rPr>
              <w:t xml:space="preserve">Estimated cost </w:t>
            </w:r>
            <w:r w:rsidR="0023465D" w:rsidRPr="00106562">
              <w:rPr>
                <w:rFonts w:ascii="Arial" w:hAnsi="Arial" w:cs="Arial"/>
                <w:color w:val="FFFFFF" w:themeColor="background1"/>
              </w:rPr>
              <w:t>–</w:t>
            </w:r>
            <w:r w:rsidRPr="00106562">
              <w:rPr>
                <w:rFonts w:ascii="Arial" w:hAnsi="Arial" w:cs="Arial"/>
                <w:color w:val="FFFFFF" w:themeColor="background1"/>
              </w:rPr>
              <w:t xml:space="preserve"> </w:t>
            </w:r>
            <w:r w:rsidR="0023465D" w:rsidRPr="00106562">
              <w:rPr>
                <w:rFonts w:ascii="Arial" w:hAnsi="Arial" w:cs="Arial"/>
                <w:color w:val="FFFFFF" w:themeColor="background1"/>
              </w:rPr>
              <w:t>10-year</w:t>
            </w:r>
            <w:r w:rsidRPr="00106562">
              <w:rPr>
                <w:rFonts w:ascii="Arial" w:hAnsi="Arial" w:cs="Arial"/>
                <w:color w:val="FFFFFF" w:themeColor="background1"/>
              </w:rPr>
              <w:t xml:space="preserve"> appraisal period ($m)</w:t>
            </w:r>
          </w:p>
        </w:tc>
      </w:tr>
      <w:tr w:rsidR="002611CA" w:rsidRPr="000A53C0" w14:paraId="356E44A7" w14:textId="77777777" w:rsidTr="00106562">
        <w:trPr>
          <w:trHeight w:val="355"/>
        </w:trPr>
        <w:tc>
          <w:tcPr>
            <w:tcW w:w="2632" w:type="pct"/>
            <w:shd w:val="clear" w:color="auto" w:fill="F9C3C5" w:themeFill="accent6" w:themeFillTint="33"/>
            <w:vAlign w:val="center"/>
          </w:tcPr>
          <w:p w14:paraId="672B905C" w14:textId="77777777" w:rsidR="002611CA" w:rsidRPr="000A53C0" w:rsidRDefault="002611CA">
            <w:pPr>
              <w:pStyle w:val="TableBody"/>
              <w:rPr>
                <w:rFonts w:cs="Arial"/>
                <w:b/>
                <w:szCs w:val="18"/>
              </w:rPr>
            </w:pPr>
            <w:r w:rsidRPr="000A53C0">
              <w:rPr>
                <w:rFonts w:cs="Arial"/>
                <w:b/>
                <w:szCs w:val="18"/>
              </w:rPr>
              <w:t>Other industry PCBUs</w:t>
            </w:r>
          </w:p>
        </w:tc>
        <w:tc>
          <w:tcPr>
            <w:tcW w:w="554" w:type="pct"/>
            <w:shd w:val="clear" w:color="auto" w:fill="F9C3C5" w:themeFill="accent6" w:themeFillTint="33"/>
            <w:vAlign w:val="center"/>
          </w:tcPr>
          <w:p w14:paraId="0D4E11C3" w14:textId="77777777" w:rsidR="002611CA" w:rsidRPr="000A53C0" w:rsidRDefault="002611CA">
            <w:pPr>
              <w:pStyle w:val="TableBody"/>
              <w:jc w:val="center"/>
              <w:rPr>
                <w:rFonts w:cs="Arial"/>
                <w:szCs w:val="18"/>
              </w:rPr>
            </w:pPr>
            <w:r w:rsidRPr="000A53C0">
              <w:rPr>
                <w:rFonts w:cs="Arial"/>
                <w:b/>
              </w:rPr>
              <w:t>Sole traders</w:t>
            </w:r>
          </w:p>
        </w:tc>
        <w:tc>
          <w:tcPr>
            <w:tcW w:w="619" w:type="pct"/>
            <w:shd w:val="clear" w:color="auto" w:fill="F9C3C5" w:themeFill="accent6" w:themeFillTint="33"/>
            <w:vAlign w:val="center"/>
          </w:tcPr>
          <w:p w14:paraId="070C0E61" w14:textId="77777777" w:rsidR="002611CA" w:rsidRPr="000A53C0" w:rsidRDefault="002611CA">
            <w:pPr>
              <w:pStyle w:val="TableBody"/>
              <w:jc w:val="center"/>
              <w:rPr>
                <w:rFonts w:cs="Arial"/>
                <w:szCs w:val="18"/>
              </w:rPr>
            </w:pPr>
            <w:r w:rsidRPr="000A53C0">
              <w:rPr>
                <w:rFonts w:cs="Arial"/>
                <w:b/>
              </w:rPr>
              <w:t>Small</w:t>
            </w:r>
          </w:p>
        </w:tc>
        <w:tc>
          <w:tcPr>
            <w:tcW w:w="595" w:type="pct"/>
            <w:shd w:val="clear" w:color="auto" w:fill="F9C3C5" w:themeFill="accent6" w:themeFillTint="33"/>
            <w:vAlign w:val="center"/>
          </w:tcPr>
          <w:p w14:paraId="74905CFA" w14:textId="77777777" w:rsidR="002611CA" w:rsidRPr="000A53C0" w:rsidRDefault="002611CA">
            <w:pPr>
              <w:pStyle w:val="TableBody"/>
              <w:jc w:val="center"/>
              <w:rPr>
                <w:rFonts w:cs="Arial"/>
                <w:szCs w:val="18"/>
              </w:rPr>
            </w:pPr>
            <w:r w:rsidRPr="000A53C0">
              <w:rPr>
                <w:rFonts w:cs="Arial"/>
                <w:b/>
              </w:rPr>
              <w:t>Medium-Large</w:t>
            </w:r>
          </w:p>
        </w:tc>
        <w:tc>
          <w:tcPr>
            <w:tcW w:w="600" w:type="pct"/>
            <w:shd w:val="clear" w:color="auto" w:fill="F9C3C5" w:themeFill="accent6" w:themeFillTint="33"/>
            <w:vAlign w:val="center"/>
          </w:tcPr>
          <w:p w14:paraId="614BD66F" w14:textId="77777777" w:rsidR="002611CA" w:rsidRPr="000A53C0" w:rsidRDefault="002611CA">
            <w:pPr>
              <w:pStyle w:val="TableBody"/>
              <w:jc w:val="center"/>
              <w:rPr>
                <w:rFonts w:cs="Arial"/>
              </w:rPr>
            </w:pPr>
            <w:r w:rsidRPr="000A53C0">
              <w:rPr>
                <w:rFonts w:cs="Arial"/>
                <w:b/>
              </w:rPr>
              <w:t>Total</w:t>
            </w:r>
          </w:p>
        </w:tc>
      </w:tr>
      <w:tr w:rsidR="002611CA" w:rsidRPr="000A53C0" w14:paraId="7203EBF9" w14:textId="77777777" w:rsidTr="007D745F">
        <w:trPr>
          <w:trHeight w:val="355"/>
        </w:trPr>
        <w:tc>
          <w:tcPr>
            <w:tcW w:w="2632" w:type="pct"/>
            <w:shd w:val="clear" w:color="auto" w:fill="F2F2F2" w:themeFill="background1" w:themeFillShade="F2"/>
            <w:vAlign w:val="center"/>
          </w:tcPr>
          <w:p w14:paraId="624C9CD2" w14:textId="0506F086" w:rsidR="002611CA" w:rsidRPr="000A53C0" w:rsidRDefault="002611CA" w:rsidP="007D745F">
            <w:pPr>
              <w:pStyle w:val="TableBody"/>
              <w:rPr>
                <w:rFonts w:cs="Arial"/>
                <w:szCs w:val="18"/>
              </w:rPr>
            </w:pPr>
            <w:r w:rsidRPr="000A53C0">
              <w:rPr>
                <w:rFonts w:cs="Arial"/>
                <w:b/>
                <w:szCs w:val="18"/>
              </w:rPr>
              <w:t xml:space="preserve">Licensing framework for </w:t>
            </w:r>
            <w:r w:rsidR="00F52418" w:rsidRPr="000A53C0">
              <w:rPr>
                <w:rFonts w:cs="Arial"/>
                <w:b/>
                <w:szCs w:val="18"/>
              </w:rPr>
              <w:t xml:space="preserve">work with </w:t>
            </w:r>
            <w:r w:rsidRPr="000A53C0">
              <w:rPr>
                <w:rFonts w:cs="Arial"/>
                <w:b/>
                <w:szCs w:val="18"/>
              </w:rPr>
              <w:t>legacy products</w:t>
            </w:r>
          </w:p>
        </w:tc>
        <w:tc>
          <w:tcPr>
            <w:tcW w:w="554" w:type="pct"/>
            <w:shd w:val="clear" w:color="auto" w:fill="F2F2F2" w:themeFill="background1" w:themeFillShade="F2"/>
          </w:tcPr>
          <w:p w14:paraId="3029228B" w14:textId="77777777" w:rsidR="002611CA" w:rsidRPr="000A53C0" w:rsidRDefault="002611CA">
            <w:pPr>
              <w:pStyle w:val="TableBody"/>
              <w:jc w:val="center"/>
              <w:rPr>
                <w:rFonts w:cs="Arial"/>
              </w:rPr>
            </w:pPr>
          </w:p>
        </w:tc>
        <w:tc>
          <w:tcPr>
            <w:tcW w:w="619" w:type="pct"/>
            <w:shd w:val="clear" w:color="auto" w:fill="F2F2F2" w:themeFill="background1" w:themeFillShade="F2"/>
          </w:tcPr>
          <w:p w14:paraId="351F0ACF" w14:textId="77777777" w:rsidR="002611CA" w:rsidRPr="000A53C0" w:rsidRDefault="002611CA">
            <w:pPr>
              <w:pStyle w:val="TableBody"/>
              <w:jc w:val="center"/>
              <w:rPr>
                <w:rFonts w:cs="Arial"/>
              </w:rPr>
            </w:pPr>
          </w:p>
        </w:tc>
        <w:tc>
          <w:tcPr>
            <w:tcW w:w="595" w:type="pct"/>
            <w:shd w:val="clear" w:color="auto" w:fill="F2F2F2" w:themeFill="background1" w:themeFillShade="F2"/>
          </w:tcPr>
          <w:p w14:paraId="02EE78A6" w14:textId="77777777" w:rsidR="002611CA" w:rsidRPr="000A53C0" w:rsidRDefault="002611CA">
            <w:pPr>
              <w:pStyle w:val="TableBody"/>
              <w:jc w:val="center"/>
              <w:rPr>
                <w:rFonts w:cs="Arial"/>
              </w:rPr>
            </w:pPr>
          </w:p>
        </w:tc>
        <w:tc>
          <w:tcPr>
            <w:tcW w:w="600" w:type="pct"/>
            <w:shd w:val="clear" w:color="auto" w:fill="F2F2F2" w:themeFill="background1" w:themeFillShade="F2"/>
          </w:tcPr>
          <w:p w14:paraId="11973CCB" w14:textId="77777777" w:rsidR="002611CA" w:rsidRPr="000A53C0" w:rsidRDefault="002611CA">
            <w:pPr>
              <w:pStyle w:val="TableBody"/>
              <w:jc w:val="center"/>
              <w:rPr>
                <w:rFonts w:cs="Arial"/>
              </w:rPr>
            </w:pPr>
          </w:p>
        </w:tc>
      </w:tr>
      <w:tr w:rsidR="002611CA" w:rsidRPr="000A53C0" w14:paraId="4602E601" w14:textId="77777777" w:rsidTr="007D745F">
        <w:trPr>
          <w:trHeight w:val="355"/>
        </w:trPr>
        <w:tc>
          <w:tcPr>
            <w:tcW w:w="2632" w:type="pct"/>
            <w:vAlign w:val="center"/>
          </w:tcPr>
          <w:p w14:paraId="1B809117" w14:textId="77777777" w:rsidR="002611CA" w:rsidRPr="000A53C0" w:rsidRDefault="002611CA" w:rsidP="007D745F">
            <w:pPr>
              <w:pStyle w:val="TableBody"/>
              <w:rPr>
                <w:rFonts w:cs="Arial"/>
                <w:szCs w:val="18"/>
              </w:rPr>
            </w:pPr>
            <w:r w:rsidRPr="000A53C0">
              <w:rPr>
                <w:rFonts w:cs="Arial"/>
                <w:szCs w:val="18"/>
              </w:rPr>
              <w:t xml:space="preserve">Licence application costs </w:t>
            </w:r>
          </w:p>
        </w:tc>
        <w:tc>
          <w:tcPr>
            <w:tcW w:w="554" w:type="pct"/>
            <w:shd w:val="clear" w:color="auto" w:fill="auto"/>
            <w:vAlign w:val="center"/>
          </w:tcPr>
          <w:p w14:paraId="2E4AECE8" w14:textId="77777777" w:rsidR="002611CA" w:rsidRPr="000A53C0" w:rsidRDefault="002611CA" w:rsidP="007D745F">
            <w:pPr>
              <w:pStyle w:val="TableBody"/>
              <w:jc w:val="center"/>
              <w:rPr>
                <w:rFonts w:cs="Arial"/>
              </w:rPr>
            </w:pPr>
            <w:r w:rsidRPr="000A53C0">
              <w:rPr>
                <w:rFonts w:cs="Arial"/>
              </w:rPr>
              <w:t>$26.2</w:t>
            </w:r>
          </w:p>
        </w:tc>
        <w:tc>
          <w:tcPr>
            <w:tcW w:w="619" w:type="pct"/>
            <w:shd w:val="clear" w:color="auto" w:fill="auto"/>
            <w:vAlign w:val="center"/>
          </w:tcPr>
          <w:p w14:paraId="0B6F5A0D" w14:textId="77777777" w:rsidR="002611CA" w:rsidRPr="000A53C0" w:rsidRDefault="002611CA" w:rsidP="007D745F">
            <w:pPr>
              <w:pStyle w:val="TableBody"/>
              <w:jc w:val="center"/>
              <w:rPr>
                <w:rFonts w:cs="Arial"/>
              </w:rPr>
            </w:pPr>
            <w:r w:rsidRPr="000A53C0">
              <w:rPr>
                <w:rFonts w:cs="Arial"/>
              </w:rPr>
              <w:t>$24.2</w:t>
            </w:r>
          </w:p>
        </w:tc>
        <w:tc>
          <w:tcPr>
            <w:tcW w:w="595" w:type="pct"/>
            <w:shd w:val="clear" w:color="auto" w:fill="auto"/>
            <w:vAlign w:val="center"/>
          </w:tcPr>
          <w:p w14:paraId="49DE4910" w14:textId="77777777" w:rsidR="002611CA" w:rsidRPr="000A53C0" w:rsidRDefault="002611CA" w:rsidP="007D745F">
            <w:pPr>
              <w:pStyle w:val="TableBody"/>
              <w:jc w:val="center"/>
              <w:rPr>
                <w:rFonts w:cs="Arial"/>
              </w:rPr>
            </w:pPr>
            <w:r w:rsidRPr="000A53C0">
              <w:rPr>
                <w:rFonts w:cs="Arial"/>
              </w:rPr>
              <w:t>$0.7</w:t>
            </w:r>
          </w:p>
        </w:tc>
        <w:tc>
          <w:tcPr>
            <w:tcW w:w="600" w:type="pct"/>
            <w:vAlign w:val="center"/>
          </w:tcPr>
          <w:p w14:paraId="6FA5C852" w14:textId="77777777" w:rsidR="002611CA" w:rsidRPr="000A53C0" w:rsidRDefault="002611CA" w:rsidP="007D745F">
            <w:pPr>
              <w:pStyle w:val="TableBody"/>
              <w:jc w:val="center"/>
              <w:rPr>
                <w:rFonts w:cs="Arial"/>
              </w:rPr>
            </w:pPr>
            <w:r w:rsidRPr="000A53C0">
              <w:rPr>
                <w:rFonts w:cs="Arial"/>
              </w:rPr>
              <w:t>$51.2</w:t>
            </w:r>
          </w:p>
        </w:tc>
      </w:tr>
      <w:tr w:rsidR="002611CA" w:rsidRPr="000A53C0" w14:paraId="69B7D4A6" w14:textId="77777777" w:rsidTr="007D745F">
        <w:trPr>
          <w:trHeight w:val="355"/>
        </w:trPr>
        <w:tc>
          <w:tcPr>
            <w:tcW w:w="2632" w:type="pct"/>
            <w:vAlign w:val="center"/>
          </w:tcPr>
          <w:p w14:paraId="783E83B6" w14:textId="77777777" w:rsidR="002611CA" w:rsidRPr="000A53C0" w:rsidRDefault="002611CA" w:rsidP="007D745F">
            <w:pPr>
              <w:pStyle w:val="TableBody"/>
              <w:rPr>
                <w:rFonts w:cs="Arial"/>
                <w:szCs w:val="18"/>
              </w:rPr>
            </w:pPr>
            <w:r w:rsidRPr="000A53C0">
              <w:rPr>
                <w:rFonts w:cs="Arial"/>
                <w:szCs w:val="18"/>
              </w:rPr>
              <w:t xml:space="preserve">Licence renewal application costs </w:t>
            </w:r>
          </w:p>
        </w:tc>
        <w:tc>
          <w:tcPr>
            <w:tcW w:w="554" w:type="pct"/>
            <w:shd w:val="clear" w:color="auto" w:fill="auto"/>
            <w:vAlign w:val="center"/>
          </w:tcPr>
          <w:p w14:paraId="114FC4AC" w14:textId="77777777" w:rsidR="002611CA" w:rsidRPr="000A53C0" w:rsidRDefault="002611CA" w:rsidP="007D745F">
            <w:pPr>
              <w:pStyle w:val="TableBody"/>
              <w:jc w:val="center"/>
              <w:rPr>
                <w:rFonts w:cs="Arial"/>
              </w:rPr>
            </w:pPr>
            <w:r w:rsidRPr="000A53C0">
              <w:rPr>
                <w:rFonts w:cs="Arial"/>
              </w:rPr>
              <w:t>$16.0</w:t>
            </w:r>
          </w:p>
        </w:tc>
        <w:tc>
          <w:tcPr>
            <w:tcW w:w="619" w:type="pct"/>
            <w:shd w:val="clear" w:color="auto" w:fill="auto"/>
            <w:vAlign w:val="center"/>
          </w:tcPr>
          <w:p w14:paraId="3C38AF29" w14:textId="77777777" w:rsidR="002611CA" w:rsidRPr="000A53C0" w:rsidRDefault="002611CA" w:rsidP="007D745F">
            <w:pPr>
              <w:pStyle w:val="TableBody"/>
              <w:jc w:val="center"/>
              <w:rPr>
                <w:rFonts w:cs="Arial"/>
              </w:rPr>
            </w:pPr>
            <w:r w:rsidRPr="000A53C0">
              <w:rPr>
                <w:rFonts w:cs="Arial"/>
              </w:rPr>
              <w:t>$14.8</w:t>
            </w:r>
          </w:p>
        </w:tc>
        <w:tc>
          <w:tcPr>
            <w:tcW w:w="595" w:type="pct"/>
            <w:shd w:val="clear" w:color="auto" w:fill="auto"/>
            <w:vAlign w:val="center"/>
          </w:tcPr>
          <w:p w14:paraId="65A485F8" w14:textId="77777777" w:rsidR="002611CA" w:rsidRPr="000A53C0" w:rsidRDefault="002611CA" w:rsidP="007D745F">
            <w:pPr>
              <w:pStyle w:val="TableBody"/>
              <w:jc w:val="center"/>
              <w:rPr>
                <w:rFonts w:cs="Arial"/>
              </w:rPr>
            </w:pPr>
            <w:r w:rsidRPr="000A53C0">
              <w:rPr>
                <w:rFonts w:cs="Arial"/>
              </w:rPr>
              <w:t>$0.4</w:t>
            </w:r>
          </w:p>
        </w:tc>
        <w:tc>
          <w:tcPr>
            <w:tcW w:w="600" w:type="pct"/>
            <w:vAlign w:val="center"/>
          </w:tcPr>
          <w:p w14:paraId="73B45F45" w14:textId="77777777" w:rsidR="002611CA" w:rsidRPr="000A53C0" w:rsidRDefault="002611CA" w:rsidP="007D745F">
            <w:pPr>
              <w:pStyle w:val="TableBody"/>
              <w:jc w:val="center"/>
              <w:rPr>
                <w:rFonts w:cs="Arial"/>
              </w:rPr>
            </w:pPr>
            <w:r w:rsidRPr="000A53C0">
              <w:rPr>
                <w:rFonts w:cs="Arial"/>
              </w:rPr>
              <w:t>$31.2</w:t>
            </w:r>
          </w:p>
        </w:tc>
      </w:tr>
      <w:tr w:rsidR="002611CA" w:rsidRPr="000A53C0" w14:paraId="212A874B" w14:textId="77777777" w:rsidTr="007D745F">
        <w:trPr>
          <w:trHeight w:val="355"/>
        </w:trPr>
        <w:tc>
          <w:tcPr>
            <w:tcW w:w="2632" w:type="pct"/>
            <w:vAlign w:val="center"/>
          </w:tcPr>
          <w:p w14:paraId="4C65C470" w14:textId="77777777" w:rsidR="002611CA" w:rsidRPr="000A53C0" w:rsidRDefault="002611CA" w:rsidP="007D745F">
            <w:pPr>
              <w:pStyle w:val="TableBody"/>
              <w:rPr>
                <w:rFonts w:cs="Arial"/>
                <w:szCs w:val="18"/>
              </w:rPr>
            </w:pPr>
            <w:r w:rsidRPr="000A53C0">
              <w:rPr>
                <w:rFonts w:cs="Arial"/>
                <w:szCs w:val="18"/>
              </w:rPr>
              <w:t>Licence compliance costs (audit preparation)</w:t>
            </w:r>
          </w:p>
        </w:tc>
        <w:tc>
          <w:tcPr>
            <w:tcW w:w="554" w:type="pct"/>
            <w:shd w:val="clear" w:color="auto" w:fill="auto"/>
            <w:vAlign w:val="center"/>
          </w:tcPr>
          <w:p w14:paraId="772DD83F" w14:textId="77777777" w:rsidR="002611CA" w:rsidRPr="000A53C0" w:rsidRDefault="002611CA" w:rsidP="007D745F">
            <w:pPr>
              <w:pStyle w:val="TableBody"/>
              <w:jc w:val="center"/>
              <w:rPr>
                <w:rFonts w:cs="Arial"/>
              </w:rPr>
            </w:pPr>
            <w:r w:rsidRPr="000A53C0">
              <w:rPr>
                <w:rFonts w:cs="Arial"/>
              </w:rPr>
              <w:t>$25.9</w:t>
            </w:r>
          </w:p>
        </w:tc>
        <w:tc>
          <w:tcPr>
            <w:tcW w:w="619" w:type="pct"/>
            <w:shd w:val="clear" w:color="auto" w:fill="auto"/>
            <w:vAlign w:val="center"/>
          </w:tcPr>
          <w:p w14:paraId="34CDE7BE" w14:textId="77777777" w:rsidR="002611CA" w:rsidRPr="000A53C0" w:rsidRDefault="002611CA" w:rsidP="007D745F">
            <w:pPr>
              <w:pStyle w:val="TableBody"/>
              <w:jc w:val="center"/>
              <w:rPr>
                <w:rFonts w:cs="Arial"/>
              </w:rPr>
            </w:pPr>
            <w:r w:rsidRPr="000A53C0">
              <w:rPr>
                <w:rFonts w:cs="Arial"/>
              </w:rPr>
              <w:t>$24.0</w:t>
            </w:r>
          </w:p>
        </w:tc>
        <w:tc>
          <w:tcPr>
            <w:tcW w:w="595" w:type="pct"/>
            <w:shd w:val="clear" w:color="auto" w:fill="auto"/>
            <w:vAlign w:val="center"/>
          </w:tcPr>
          <w:p w14:paraId="5A402B6E" w14:textId="77777777" w:rsidR="002611CA" w:rsidRPr="000A53C0" w:rsidRDefault="002611CA" w:rsidP="007D745F">
            <w:pPr>
              <w:pStyle w:val="TableBody"/>
              <w:jc w:val="center"/>
              <w:rPr>
                <w:rFonts w:cs="Arial"/>
              </w:rPr>
            </w:pPr>
            <w:r w:rsidRPr="000A53C0">
              <w:rPr>
                <w:rFonts w:cs="Arial"/>
              </w:rPr>
              <w:t>$0.7</w:t>
            </w:r>
          </w:p>
        </w:tc>
        <w:tc>
          <w:tcPr>
            <w:tcW w:w="600" w:type="pct"/>
            <w:vAlign w:val="center"/>
          </w:tcPr>
          <w:p w14:paraId="6ACEF8C5" w14:textId="77777777" w:rsidR="002611CA" w:rsidRPr="000A53C0" w:rsidRDefault="002611CA" w:rsidP="007D745F">
            <w:pPr>
              <w:pStyle w:val="TableBody"/>
              <w:jc w:val="center"/>
              <w:rPr>
                <w:rFonts w:cs="Arial"/>
              </w:rPr>
            </w:pPr>
            <w:r w:rsidRPr="000A53C0">
              <w:rPr>
                <w:rFonts w:cs="Arial"/>
              </w:rPr>
              <w:t>$50.6</w:t>
            </w:r>
          </w:p>
        </w:tc>
      </w:tr>
      <w:tr w:rsidR="002611CA" w:rsidRPr="000A53C0" w14:paraId="0F333576" w14:textId="77777777" w:rsidTr="007D745F">
        <w:trPr>
          <w:trHeight w:val="355"/>
        </w:trPr>
        <w:tc>
          <w:tcPr>
            <w:tcW w:w="2632" w:type="pct"/>
            <w:shd w:val="clear" w:color="auto" w:fill="D1D1D1" w:themeFill="background2"/>
            <w:vAlign w:val="center"/>
          </w:tcPr>
          <w:p w14:paraId="7795071C" w14:textId="77777777" w:rsidR="002611CA" w:rsidRPr="000A53C0" w:rsidRDefault="002611CA" w:rsidP="007D745F">
            <w:pPr>
              <w:pStyle w:val="TableBody"/>
              <w:rPr>
                <w:rFonts w:cs="Arial"/>
                <w:b/>
                <w:szCs w:val="18"/>
              </w:rPr>
            </w:pPr>
            <w:r w:rsidRPr="000A53C0">
              <w:rPr>
                <w:rFonts w:cs="Arial"/>
                <w:b/>
                <w:szCs w:val="18"/>
              </w:rPr>
              <w:t>Total</w:t>
            </w:r>
          </w:p>
        </w:tc>
        <w:tc>
          <w:tcPr>
            <w:tcW w:w="554" w:type="pct"/>
            <w:shd w:val="clear" w:color="auto" w:fill="D1D1D1" w:themeFill="background2"/>
            <w:vAlign w:val="center"/>
          </w:tcPr>
          <w:p w14:paraId="2B3EA639" w14:textId="77777777" w:rsidR="002611CA" w:rsidRPr="000A53C0" w:rsidRDefault="002611CA" w:rsidP="007D745F">
            <w:pPr>
              <w:pStyle w:val="TableBody"/>
              <w:jc w:val="center"/>
              <w:rPr>
                <w:rFonts w:cs="Arial"/>
                <w:b/>
              </w:rPr>
            </w:pPr>
            <w:r w:rsidRPr="000A53C0">
              <w:rPr>
                <w:rFonts w:cs="Arial"/>
                <w:b/>
                <w:bCs/>
              </w:rPr>
              <w:t>$68.2</w:t>
            </w:r>
          </w:p>
        </w:tc>
        <w:tc>
          <w:tcPr>
            <w:tcW w:w="619" w:type="pct"/>
            <w:shd w:val="clear" w:color="auto" w:fill="D1D1D1" w:themeFill="background2"/>
            <w:vAlign w:val="center"/>
          </w:tcPr>
          <w:p w14:paraId="1D7BA5A9" w14:textId="77777777" w:rsidR="002611CA" w:rsidRPr="000A53C0" w:rsidRDefault="002611CA" w:rsidP="007D745F">
            <w:pPr>
              <w:pStyle w:val="TableBody"/>
              <w:jc w:val="center"/>
              <w:rPr>
                <w:rFonts w:cs="Arial"/>
                <w:b/>
              </w:rPr>
            </w:pPr>
            <w:r w:rsidRPr="000A53C0">
              <w:rPr>
                <w:rFonts w:cs="Arial"/>
                <w:b/>
                <w:bCs/>
              </w:rPr>
              <w:t>$63.0</w:t>
            </w:r>
          </w:p>
        </w:tc>
        <w:tc>
          <w:tcPr>
            <w:tcW w:w="595" w:type="pct"/>
            <w:shd w:val="clear" w:color="auto" w:fill="D1D1D1" w:themeFill="background2"/>
            <w:vAlign w:val="center"/>
          </w:tcPr>
          <w:p w14:paraId="2B8F0CC7" w14:textId="77777777" w:rsidR="002611CA" w:rsidRPr="000A53C0" w:rsidRDefault="002611CA" w:rsidP="007D745F">
            <w:pPr>
              <w:pStyle w:val="TableBody"/>
              <w:jc w:val="center"/>
              <w:rPr>
                <w:rFonts w:cs="Arial"/>
                <w:b/>
              </w:rPr>
            </w:pPr>
            <w:r w:rsidRPr="000A53C0">
              <w:rPr>
                <w:rFonts w:cs="Arial"/>
                <w:b/>
                <w:bCs/>
              </w:rPr>
              <w:t>$1.8</w:t>
            </w:r>
          </w:p>
        </w:tc>
        <w:tc>
          <w:tcPr>
            <w:tcW w:w="600" w:type="pct"/>
            <w:shd w:val="clear" w:color="auto" w:fill="D1D1D1" w:themeFill="background2"/>
            <w:vAlign w:val="center"/>
          </w:tcPr>
          <w:p w14:paraId="29E9F39A" w14:textId="77777777" w:rsidR="002611CA" w:rsidRPr="000A53C0" w:rsidRDefault="002611CA" w:rsidP="007D745F">
            <w:pPr>
              <w:pStyle w:val="TableBody"/>
              <w:jc w:val="center"/>
              <w:rPr>
                <w:rFonts w:cs="Arial"/>
                <w:b/>
                <w:highlight w:val="green"/>
              </w:rPr>
            </w:pPr>
            <w:r w:rsidRPr="000A53C0">
              <w:rPr>
                <w:rFonts w:cs="Arial"/>
                <w:b/>
                <w:bCs/>
              </w:rPr>
              <w:t>$133.0</w:t>
            </w:r>
          </w:p>
        </w:tc>
      </w:tr>
    </w:tbl>
    <w:p w14:paraId="3A96B387" w14:textId="77777777" w:rsidR="002611CA" w:rsidRPr="000A53C0" w:rsidRDefault="002611CA" w:rsidP="002611CA">
      <w:pPr>
        <w:pStyle w:val="BodyText"/>
        <w:rPr>
          <w:rFonts w:cs="Arial"/>
        </w:rPr>
      </w:pPr>
    </w:p>
    <w:p w14:paraId="42721CB5" w14:textId="1D02E033" w:rsidR="002611CA" w:rsidRPr="000A53C0" w:rsidRDefault="002611CA" w:rsidP="00514CCB">
      <w:pPr>
        <w:pStyle w:val="Heading3numbered"/>
      </w:pPr>
      <w:r w:rsidRPr="000A53C0">
        <w:t>Cost to government</w:t>
      </w:r>
    </w:p>
    <w:p w14:paraId="476DA6C0" w14:textId="3AA4E8B3" w:rsidR="00D426B2" w:rsidRPr="000A53C0" w:rsidRDefault="002611CA" w:rsidP="00D426B2">
      <w:pPr>
        <w:pStyle w:val="BodyText"/>
        <w:keepNext/>
        <w:rPr>
          <w:rFonts w:cs="Arial"/>
        </w:rPr>
      </w:pPr>
      <w:r w:rsidRPr="000A53C0">
        <w:rPr>
          <w:rFonts w:cs="Arial"/>
        </w:rPr>
        <w:t xml:space="preserve">Total cost of Option 2 to government is for the licensing framework for work with legacy products- estimated to be $107.5 million over the appraisal period (see </w:t>
      </w:r>
      <w:r w:rsidR="0023465D">
        <w:rPr>
          <w:rFonts w:cs="Arial"/>
        </w:rPr>
        <w:t>S</w:t>
      </w:r>
      <w:r w:rsidRPr="000A53C0">
        <w:rPr>
          <w:rFonts w:cs="Arial"/>
        </w:rPr>
        <w:t xml:space="preserve">ection </w:t>
      </w:r>
      <w:r w:rsidR="00A91E08" w:rsidRPr="000A53C0">
        <w:rPr>
          <w:rFonts w:cs="Arial"/>
          <w:highlight w:val="yellow"/>
        </w:rPr>
        <w:fldChar w:fldCharType="begin" w:fldLock="1"/>
      </w:r>
      <w:r w:rsidR="00A91E08" w:rsidRPr="000A53C0">
        <w:rPr>
          <w:rFonts w:cs="Arial"/>
        </w:rPr>
        <w:instrText xml:space="preserve"> REF _Ref139637617 \r \h </w:instrText>
      </w:r>
      <w:r w:rsidR="000A53C0">
        <w:rPr>
          <w:rFonts w:cs="Arial"/>
          <w:highlight w:val="yellow"/>
        </w:rPr>
        <w:instrText xml:space="preserve"> \* MERGEFORMAT </w:instrText>
      </w:r>
      <w:r w:rsidR="00A91E08" w:rsidRPr="000A53C0">
        <w:rPr>
          <w:rFonts w:cs="Arial"/>
          <w:highlight w:val="yellow"/>
        </w:rPr>
      </w:r>
      <w:r w:rsidR="00A91E08" w:rsidRPr="000A53C0">
        <w:rPr>
          <w:rFonts w:cs="Arial"/>
          <w:highlight w:val="yellow"/>
        </w:rPr>
        <w:fldChar w:fldCharType="separate"/>
      </w:r>
      <w:r w:rsidR="00D16271">
        <w:rPr>
          <w:rFonts w:cs="Arial"/>
        </w:rPr>
        <w:t>4.3.2</w:t>
      </w:r>
      <w:r w:rsidR="00A91E08" w:rsidRPr="000A53C0">
        <w:rPr>
          <w:rFonts w:cs="Arial"/>
          <w:highlight w:val="yellow"/>
        </w:rPr>
        <w:fldChar w:fldCharType="end"/>
      </w:r>
      <w:r w:rsidRPr="000A53C0">
        <w:rPr>
          <w:rFonts w:cs="Arial"/>
        </w:rPr>
        <w:t>).</w:t>
      </w:r>
      <w:bookmarkStart w:id="140" w:name="_Ref138334412"/>
    </w:p>
    <w:p w14:paraId="34A6D81E" w14:textId="2EE4AFD8" w:rsidR="002611CA" w:rsidRPr="000A53C0" w:rsidRDefault="002611CA" w:rsidP="00CB1198">
      <w:pPr>
        <w:pStyle w:val="Caption"/>
        <w:rPr>
          <w:rFonts w:cs="Arial"/>
        </w:rPr>
      </w:pPr>
      <w:r w:rsidRPr="00847E32">
        <w:rPr>
          <w:rFonts w:cs="Arial"/>
          <w:b/>
          <w:bCs/>
        </w:rPr>
        <w:t xml:space="preserve">Table </w:t>
      </w:r>
      <w:r w:rsidRPr="00847E32">
        <w:rPr>
          <w:rFonts w:cs="Arial"/>
          <w:b/>
          <w:bCs/>
        </w:rPr>
        <w:fldChar w:fldCharType="begin"/>
      </w:r>
      <w:r w:rsidRPr="00847E32">
        <w:rPr>
          <w:rFonts w:cs="Arial"/>
          <w:b/>
          <w:bCs/>
        </w:rPr>
        <w:instrText>SEQ Table \* ARABIC</w:instrText>
      </w:r>
      <w:r w:rsidRPr="00847E32">
        <w:rPr>
          <w:rFonts w:cs="Arial"/>
          <w:b/>
          <w:bCs/>
        </w:rPr>
        <w:fldChar w:fldCharType="separate"/>
      </w:r>
      <w:r w:rsidR="00D16271">
        <w:rPr>
          <w:rFonts w:cs="Arial"/>
          <w:b/>
          <w:bCs/>
          <w:noProof/>
        </w:rPr>
        <w:t>12</w:t>
      </w:r>
      <w:r w:rsidRPr="00847E32">
        <w:rPr>
          <w:rFonts w:cs="Arial"/>
          <w:b/>
          <w:bCs/>
        </w:rPr>
        <w:fldChar w:fldCharType="end"/>
      </w:r>
      <w:bookmarkEnd w:id="140"/>
      <w:r w:rsidRPr="000A53C0">
        <w:rPr>
          <w:rFonts w:cs="Arial"/>
        </w:rPr>
        <w:t xml:space="preserve"> Estimated cost of Option 2 </w:t>
      </w:r>
      <w:r w:rsidR="0023417C">
        <w:rPr>
          <w:rFonts w:cs="Arial"/>
        </w:rPr>
        <w:t>–</w:t>
      </w:r>
      <w:r w:rsidRPr="000A53C0">
        <w:rPr>
          <w:rFonts w:cs="Arial"/>
        </w:rPr>
        <w:t xml:space="preserve"> government  </w:t>
      </w:r>
    </w:p>
    <w:tbl>
      <w:tblPr>
        <w:tblStyle w:val="TableGrid"/>
        <w:tblW w:w="47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4961"/>
        <w:gridCol w:w="455"/>
        <w:gridCol w:w="4215"/>
      </w:tblGrid>
      <w:tr w:rsidR="002611CA" w:rsidRPr="000A53C0" w14:paraId="1F7A9D5B" w14:textId="77777777" w:rsidTr="00106562">
        <w:trPr>
          <w:trHeight w:val="558"/>
          <w:tblHeader/>
        </w:trPr>
        <w:tc>
          <w:tcPr>
            <w:tcW w:w="2576" w:type="pct"/>
            <w:shd w:val="clear" w:color="auto" w:fill="E81D32"/>
            <w:vAlign w:val="center"/>
          </w:tcPr>
          <w:p w14:paraId="7FBDC93E" w14:textId="77777777" w:rsidR="002611CA" w:rsidRPr="00106562" w:rsidRDefault="002611CA" w:rsidP="00106562">
            <w:pPr>
              <w:pStyle w:val="TableHeading"/>
              <w:keepNext/>
              <w:keepLines/>
              <w:spacing w:before="0" w:after="0"/>
              <w:rPr>
                <w:rFonts w:ascii="Arial" w:hAnsi="Arial" w:cs="Arial"/>
                <w:color w:val="FFFFFF" w:themeColor="background1"/>
              </w:rPr>
            </w:pPr>
            <w:r w:rsidRPr="00106562">
              <w:rPr>
                <w:rFonts w:ascii="Arial" w:hAnsi="Arial" w:cs="Arial"/>
                <w:color w:val="FFFFFF" w:themeColor="background1"/>
              </w:rPr>
              <w:t>Cost</w:t>
            </w:r>
          </w:p>
        </w:tc>
        <w:tc>
          <w:tcPr>
            <w:tcW w:w="2424" w:type="pct"/>
            <w:gridSpan w:val="2"/>
            <w:shd w:val="clear" w:color="auto" w:fill="E81D32"/>
            <w:vAlign w:val="center"/>
          </w:tcPr>
          <w:p w14:paraId="2EDE4144" w14:textId="0C91C474" w:rsidR="002611CA" w:rsidRPr="00106562" w:rsidRDefault="0034596A" w:rsidP="00106562">
            <w:pPr>
              <w:pStyle w:val="TableHeading"/>
              <w:keepNext/>
              <w:keepLines/>
              <w:spacing w:before="0" w:after="0"/>
              <w:rPr>
                <w:rFonts w:ascii="Arial" w:hAnsi="Arial" w:cs="Arial"/>
                <w:color w:val="FFFFFF" w:themeColor="background1"/>
              </w:rPr>
            </w:pPr>
            <w:r w:rsidRPr="00106562">
              <w:rPr>
                <w:rFonts w:ascii="Arial" w:hAnsi="Arial" w:cs="Arial"/>
                <w:color w:val="FFFFFF" w:themeColor="background1"/>
              </w:rPr>
              <w:t xml:space="preserve">Estimated cost </w:t>
            </w:r>
            <w:r w:rsidR="00D156DF" w:rsidRPr="00106562">
              <w:rPr>
                <w:rFonts w:ascii="Arial" w:hAnsi="Arial" w:cs="Arial"/>
                <w:color w:val="FFFFFF" w:themeColor="background1"/>
              </w:rPr>
              <w:t>–</w:t>
            </w:r>
            <w:r w:rsidRPr="00106562">
              <w:rPr>
                <w:rFonts w:ascii="Arial" w:hAnsi="Arial" w:cs="Arial"/>
                <w:color w:val="FFFFFF" w:themeColor="background1"/>
              </w:rPr>
              <w:t xml:space="preserve"> </w:t>
            </w:r>
            <w:r w:rsidR="0023465D" w:rsidRPr="00106562">
              <w:rPr>
                <w:rFonts w:ascii="Arial" w:hAnsi="Arial" w:cs="Arial"/>
                <w:color w:val="FFFFFF" w:themeColor="background1"/>
              </w:rPr>
              <w:t>10-year</w:t>
            </w:r>
            <w:r w:rsidRPr="00106562">
              <w:rPr>
                <w:rFonts w:ascii="Arial" w:hAnsi="Arial" w:cs="Arial"/>
                <w:color w:val="FFFFFF" w:themeColor="background1"/>
              </w:rPr>
              <w:t xml:space="preserve"> appraisal period ($m)</w:t>
            </w:r>
          </w:p>
        </w:tc>
      </w:tr>
      <w:tr w:rsidR="002611CA" w:rsidRPr="000A53C0" w14:paraId="217D7DBE" w14:textId="77777777" w:rsidTr="007D745F">
        <w:trPr>
          <w:trHeight w:val="355"/>
        </w:trPr>
        <w:tc>
          <w:tcPr>
            <w:tcW w:w="2812" w:type="pct"/>
            <w:gridSpan w:val="2"/>
            <w:tcBorders>
              <w:bottom w:val="single" w:sz="8" w:space="0" w:color="D1D1D1" w:themeColor="background2"/>
            </w:tcBorders>
            <w:shd w:val="clear" w:color="auto" w:fill="F2F2F2" w:themeFill="background1" w:themeFillShade="F2"/>
            <w:vAlign w:val="center"/>
          </w:tcPr>
          <w:p w14:paraId="3DF362C2" w14:textId="17F91732" w:rsidR="002611CA" w:rsidRPr="000A53C0" w:rsidRDefault="002611CA" w:rsidP="007D745F">
            <w:pPr>
              <w:pStyle w:val="TableBody"/>
              <w:rPr>
                <w:rFonts w:cs="Arial"/>
              </w:rPr>
            </w:pPr>
            <w:r w:rsidRPr="000A53C0">
              <w:rPr>
                <w:rFonts w:cs="Arial"/>
                <w:b/>
              </w:rPr>
              <w:t xml:space="preserve">Licensing framework for </w:t>
            </w:r>
            <w:r w:rsidR="00F52418" w:rsidRPr="000A53C0">
              <w:rPr>
                <w:rFonts w:cs="Arial"/>
                <w:b/>
              </w:rPr>
              <w:t xml:space="preserve">work with </w:t>
            </w:r>
            <w:r w:rsidRPr="000A53C0">
              <w:rPr>
                <w:rFonts w:cs="Arial"/>
                <w:b/>
              </w:rPr>
              <w:t>legacy products</w:t>
            </w:r>
          </w:p>
        </w:tc>
        <w:tc>
          <w:tcPr>
            <w:tcW w:w="2188" w:type="pct"/>
            <w:tcBorders>
              <w:top w:val="nil"/>
              <w:left w:val="nil"/>
              <w:bottom w:val="single" w:sz="8" w:space="0" w:color="D1D1D1"/>
              <w:right w:val="nil"/>
            </w:tcBorders>
            <w:shd w:val="clear" w:color="auto" w:fill="F2F2F2" w:themeFill="background1" w:themeFillShade="F2"/>
            <w:vAlign w:val="center"/>
          </w:tcPr>
          <w:p w14:paraId="3D2076E1" w14:textId="77777777" w:rsidR="002611CA" w:rsidRPr="000A53C0" w:rsidRDefault="002611CA" w:rsidP="007D745F">
            <w:pPr>
              <w:pStyle w:val="TableBody"/>
              <w:rPr>
                <w:rFonts w:cs="Arial"/>
              </w:rPr>
            </w:pPr>
          </w:p>
        </w:tc>
      </w:tr>
      <w:tr w:rsidR="002611CA" w:rsidRPr="000A53C0" w14:paraId="531F3FD0" w14:textId="77777777" w:rsidTr="007D745F">
        <w:trPr>
          <w:trHeight w:val="355"/>
        </w:trPr>
        <w:tc>
          <w:tcPr>
            <w:tcW w:w="2812" w:type="pct"/>
            <w:gridSpan w:val="2"/>
            <w:tcBorders>
              <w:bottom w:val="single" w:sz="8" w:space="0" w:color="D1D1D1" w:themeColor="background2"/>
            </w:tcBorders>
            <w:vAlign w:val="center"/>
          </w:tcPr>
          <w:p w14:paraId="664D99FE" w14:textId="77777777" w:rsidR="002611CA" w:rsidRPr="000A53C0" w:rsidRDefault="002611CA" w:rsidP="007D745F">
            <w:pPr>
              <w:pStyle w:val="TableBody"/>
              <w:rPr>
                <w:rFonts w:cs="Arial"/>
              </w:rPr>
            </w:pPr>
            <w:r w:rsidRPr="000A53C0">
              <w:rPr>
                <w:rFonts w:cs="Arial"/>
              </w:rPr>
              <w:t>Drafting of national licensing regulation</w:t>
            </w:r>
          </w:p>
        </w:tc>
        <w:tc>
          <w:tcPr>
            <w:tcW w:w="2188" w:type="pct"/>
            <w:tcBorders>
              <w:top w:val="nil"/>
              <w:left w:val="nil"/>
              <w:bottom w:val="single" w:sz="8" w:space="0" w:color="D1D1D1"/>
              <w:right w:val="nil"/>
            </w:tcBorders>
            <w:shd w:val="clear" w:color="auto" w:fill="auto"/>
            <w:vAlign w:val="center"/>
          </w:tcPr>
          <w:p w14:paraId="4A199969" w14:textId="77777777" w:rsidR="002611CA" w:rsidRPr="000A53C0" w:rsidRDefault="002611CA" w:rsidP="007D745F">
            <w:pPr>
              <w:pStyle w:val="TableBody"/>
              <w:jc w:val="center"/>
              <w:rPr>
                <w:rFonts w:cs="Arial"/>
              </w:rPr>
            </w:pPr>
            <w:r w:rsidRPr="000A53C0">
              <w:rPr>
                <w:rFonts w:cs="Arial"/>
              </w:rPr>
              <w:t>$0.2</w:t>
            </w:r>
          </w:p>
        </w:tc>
      </w:tr>
      <w:tr w:rsidR="002611CA" w:rsidRPr="000A53C0" w14:paraId="21F10AF8" w14:textId="77777777" w:rsidTr="007D745F">
        <w:trPr>
          <w:trHeight w:val="355"/>
        </w:trPr>
        <w:tc>
          <w:tcPr>
            <w:tcW w:w="2812" w:type="pct"/>
            <w:gridSpan w:val="2"/>
            <w:tcBorders>
              <w:bottom w:val="single" w:sz="8" w:space="0" w:color="D1D1D1" w:themeColor="background2"/>
            </w:tcBorders>
            <w:vAlign w:val="center"/>
          </w:tcPr>
          <w:p w14:paraId="70DFF343" w14:textId="77777777" w:rsidR="002611CA" w:rsidRPr="000A53C0" w:rsidRDefault="002611CA" w:rsidP="007D745F">
            <w:pPr>
              <w:pStyle w:val="TableBody"/>
              <w:rPr>
                <w:rFonts w:cs="Arial"/>
              </w:rPr>
            </w:pPr>
            <w:r w:rsidRPr="000A53C0">
              <w:rPr>
                <w:rFonts w:cs="Arial"/>
              </w:rPr>
              <w:t xml:space="preserve">Licensing software </w:t>
            </w:r>
          </w:p>
        </w:tc>
        <w:tc>
          <w:tcPr>
            <w:tcW w:w="2188" w:type="pct"/>
            <w:tcBorders>
              <w:top w:val="nil"/>
              <w:left w:val="nil"/>
              <w:bottom w:val="single" w:sz="8" w:space="0" w:color="D1D1D1"/>
              <w:right w:val="nil"/>
            </w:tcBorders>
            <w:shd w:val="clear" w:color="auto" w:fill="auto"/>
            <w:vAlign w:val="center"/>
          </w:tcPr>
          <w:p w14:paraId="5A845656" w14:textId="77777777" w:rsidR="002611CA" w:rsidRPr="000A53C0" w:rsidRDefault="002611CA" w:rsidP="007D745F">
            <w:pPr>
              <w:pStyle w:val="TableBody"/>
              <w:jc w:val="center"/>
              <w:rPr>
                <w:rFonts w:cs="Arial"/>
              </w:rPr>
            </w:pPr>
            <w:r w:rsidRPr="000A53C0">
              <w:rPr>
                <w:rFonts w:cs="Arial"/>
              </w:rPr>
              <w:t>$9.2</w:t>
            </w:r>
          </w:p>
        </w:tc>
      </w:tr>
      <w:tr w:rsidR="002611CA" w:rsidRPr="000A53C0" w14:paraId="6D8BF5FF" w14:textId="77777777" w:rsidTr="007D745F">
        <w:trPr>
          <w:trHeight w:val="355"/>
        </w:trPr>
        <w:tc>
          <w:tcPr>
            <w:tcW w:w="2812" w:type="pct"/>
            <w:gridSpan w:val="2"/>
            <w:tcBorders>
              <w:bottom w:val="single" w:sz="8" w:space="0" w:color="D1D1D1" w:themeColor="background2"/>
            </w:tcBorders>
            <w:vAlign w:val="center"/>
          </w:tcPr>
          <w:p w14:paraId="373E8AE2" w14:textId="77777777" w:rsidR="002611CA" w:rsidRPr="000A53C0" w:rsidRDefault="002611CA" w:rsidP="007D745F">
            <w:pPr>
              <w:pStyle w:val="TableBody"/>
              <w:rPr>
                <w:rFonts w:cs="Arial"/>
              </w:rPr>
            </w:pPr>
            <w:r w:rsidRPr="000A53C0">
              <w:rPr>
                <w:rFonts w:cs="Arial"/>
              </w:rPr>
              <w:t xml:space="preserve">Processing of licence applications </w:t>
            </w:r>
          </w:p>
        </w:tc>
        <w:tc>
          <w:tcPr>
            <w:tcW w:w="2188" w:type="pct"/>
            <w:tcBorders>
              <w:top w:val="nil"/>
              <w:left w:val="nil"/>
              <w:bottom w:val="single" w:sz="8" w:space="0" w:color="D1D1D1"/>
              <w:right w:val="nil"/>
            </w:tcBorders>
            <w:shd w:val="clear" w:color="auto" w:fill="auto"/>
            <w:vAlign w:val="center"/>
          </w:tcPr>
          <w:p w14:paraId="7562E22E" w14:textId="77777777" w:rsidR="002611CA" w:rsidRPr="000A53C0" w:rsidRDefault="002611CA" w:rsidP="007D745F">
            <w:pPr>
              <w:pStyle w:val="TableBody"/>
              <w:jc w:val="center"/>
              <w:rPr>
                <w:rFonts w:cs="Arial"/>
              </w:rPr>
            </w:pPr>
            <w:r w:rsidRPr="000A53C0">
              <w:rPr>
                <w:rFonts w:cs="Arial"/>
              </w:rPr>
              <w:t>$11.5</w:t>
            </w:r>
          </w:p>
        </w:tc>
      </w:tr>
      <w:tr w:rsidR="002611CA" w:rsidRPr="000A53C0" w14:paraId="63779DE9" w14:textId="77777777" w:rsidTr="007D745F">
        <w:trPr>
          <w:trHeight w:val="355"/>
        </w:trPr>
        <w:tc>
          <w:tcPr>
            <w:tcW w:w="2812" w:type="pct"/>
            <w:gridSpan w:val="2"/>
            <w:tcBorders>
              <w:top w:val="single" w:sz="8" w:space="0" w:color="D1D1D1" w:themeColor="background2"/>
              <w:bottom w:val="single" w:sz="8" w:space="0" w:color="D1D1D1" w:themeColor="background2"/>
            </w:tcBorders>
            <w:vAlign w:val="center"/>
          </w:tcPr>
          <w:p w14:paraId="2D691812" w14:textId="77777777" w:rsidR="002611CA" w:rsidRPr="000A53C0" w:rsidRDefault="002611CA" w:rsidP="007D745F">
            <w:pPr>
              <w:pStyle w:val="TableBody"/>
              <w:rPr>
                <w:rFonts w:cs="Arial"/>
              </w:rPr>
            </w:pPr>
            <w:r w:rsidRPr="000A53C0">
              <w:rPr>
                <w:rFonts w:cs="Arial"/>
              </w:rPr>
              <w:t xml:space="preserve">Compliance and monitoring /enforcement </w:t>
            </w:r>
          </w:p>
        </w:tc>
        <w:tc>
          <w:tcPr>
            <w:tcW w:w="2188" w:type="pct"/>
            <w:tcBorders>
              <w:top w:val="nil"/>
              <w:left w:val="nil"/>
              <w:bottom w:val="single" w:sz="8" w:space="0" w:color="D1D1D1"/>
              <w:right w:val="nil"/>
            </w:tcBorders>
            <w:shd w:val="clear" w:color="auto" w:fill="auto"/>
            <w:vAlign w:val="center"/>
          </w:tcPr>
          <w:p w14:paraId="33CD3BB0" w14:textId="77777777" w:rsidR="002611CA" w:rsidRPr="000A53C0" w:rsidRDefault="002611CA" w:rsidP="007D745F">
            <w:pPr>
              <w:pStyle w:val="TableBody"/>
              <w:jc w:val="center"/>
              <w:rPr>
                <w:rFonts w:cs="Arial"/>
              </w:rPr>
            </w:pPr>
            <w:r w:rsidRPr="000A53C0">
              <w:rPr>
                <w:rFonts w:cs="Arial"/>
              </w:rPr>
              <w:t>$85.1</w:t>
            </w:r>
          </w:p>
        </w:tc>
      </w:tr>
      <w:tr w:rsidR="002611CA" w:rsidRPr="000A53C0" w14:paraId="552A9216" w14:textId="77777777" w:rsidTr="007D745F">
        <w:trPr>
          <w:trHeight w:val="355"/>
        </w:trPr>
        <w:tc>
          <w:tcPr>
            <w:tcW w:w="2812" w:type="pct"/>
            <w:gridSpan w:val="2"/>
            <w:tcBorders>
              <w:top w:val="single" w:sz="8" w:space="0" w:color="D1D1D1" w:themeColor="background2"/>
              <w:bottom w:val="single" w:sz="8" w:space="0" w:color="D1D1D1" w:themeColor="background2"/>
            </w:tcBorders>
            <w:vAlign w:val="center"/>
          </w:tcPr>
          <w:p w14:paraId="7EF1DEB7" w14:textId="77777777" w:rsidR="002611CA" w:rsidRPr="000A53C0" w:rsidRDefault="002611CA" w:rsidP="007D745F">
            <w:pPr>
              <w:pStyle w:val="TableBody"/>
              <w:rPr>
                <w:rFonts w:cs="Arial"/>
                <w:b/>
              </w:rPr>
            </w:pPr>
            <w:r w:rsidRPr="000A53C0">
              <w:rPr>
                <w:rFonts w:cs="Arial"/>
              </w:rPr>
              <w:t>Communication costs</w:t>
            </w:r>
          </w:p>
        </w:tc>
        <w:tc>
          <w:tcPr>
            <w:tcW w:w="2188" w:type="pct"/>
            <w:tcBorders>
              <w:top w:val="nil"/>
              <w:left w:val="nil"/>
              <w:bottom w:val="single" w:sz="8" w:space="0" w:color="D1D1D1"/>
              <w:right w:val="nil"/>
            </w:tcBorders>
            <w:shd w:val="clear" w:color="auto" w:fill="auto"/>
            <w:vAlign w:val="center"/>
          </w:tcPr>
          <w:p w14:paraId="1FFA01FA" w14:textId="77777777" w:rsidR="002611CA" w:rsidRPr="000A53C0" w:rsidRDefault="002611CA" w:rsidP="007D745F">
            <w:pPr>
              <w:pStyle w:val="TableBody"/>
              <w:jc w:val="center"/>
              <w:rPr>
                <w:rFonts w:cs="Arial"/>
              </w:rPr>
            </w:pPr>
            <w:r w:rsidRPr="000A53C0">
              <w:rPr>
                <w:rFonts w:cs="Arial"/>
              </w:rPr>
              <w:t>$1.5</w:t>
            </w:r>
          </w:p>
        </w:tc>
      </w:tr>
      <w:tr w:rsidR="002611CA" w:rsidRPr="000A53C0" w14:paraId="28465D49" w14:textId="77777777" w:rsidTr="007D745F">
        <w:trPr>
          <w:trHeight w:val="355"/>
        </w:trPr>
        <w:tc>
          <w:tcPr>
            <w:tcW w:w="2812" w:type="pct"/>
            <w:gridSpan w:val="2"/>
            <w:tcBorders>
              <w:top w:val="single" w:sz="8" w:space="0" w:color="D1D1D1" w:themeColor="background2"/>
              <w:bottom w:val="single" w:sz="8" w:space="0" w:color="D1D1D1" w:themeColor="background2"/>
            </w:tcBorders>
            <w:shd w:val="clear" w:color="auto" w:fill="D9D9D9" w:themeFill="background1" w:themeFillShade="D9"/>
            <w:vAlign w:val="center"/>
          </w:tcPr>
          <w:p w14:paraId="5D332DA8" w14:textId="77777777" w:rsidR="002611CA" w:rsidRPr="000A53C0" w:rsidRDefault="002611CA" w:rsidP="007D745F">
            <w:pPr>
              <w:pStyle w:val="TableBody"/>
              <w:rPr>
                <w:rFonts w:cs="Arial"/>
                <w:b/>
              </w:rPr>
            </w:pPr>
            <w:r w:rsidRPr="000A53C0">
              <w:rPr>
                <w:rFonts w:cs="Arial"/>
                <w:b/>
              </w:rPr>
              <w:t>Total</w:t>
            </w:r>
          </w:p>
        </w:tc>
        <w:tc>
          <w:tcPr>
            <w:tcW w:w="2188"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0F6B73CE" w14:textId="77777777" w:rsidR="002611CA" w:rsidRPr="000A53C0" w:rsidRDefault="002611CA" w:rsidP="007D745F">
            <w:pPr>
              <w:pStyle w:val="TableBody"/>
              <w:jc w:val="center"/>
              <w:rPr>
                <w:rFonts w:cs="Arial"/>
                <w:b/>
              </w:rPr>
            </w:pPr>
            <w:r w:rsidRPr="000A53C0">
              <w:rPr>
                <w:rFonts w:cs="Arial"/>
                <w:b/>
              </w:rPr>
              <w:t>$107.5</w:t>
            </w:r>
          </w:p>
        </w:tc>
      </w:tr>
    </w:tbl>
    <w:p w14:paraId="6C44A8E4" w14:textId="58D488F6" w:rsidR="002611CA" w:rsidRPr="000A53C0" w:rsidRDefault="002611CA" w:rsidP="00514CCB">
      <w:pPr>
        <w:pStyle w:val="Heading2numbered"/>
      </w:pPr>
      <w:bookmarkStart w:id="141" w:name="_Ref140670169"/>
      <w:bookmarkStart w:id="142" w:name="_Toc142991340"/>
      <w:r w:rsidRPr="000A53C0">
        <w:lastRenderedPageBreak/>
        <w:t>Option 3 monetised costs</w:t>
      </w:r>
      <w:bookmarkEnd w:id="141"/>
      <w:bookmarkEnd w:id="142"/>
    </w:p>
    <w:p w14:paraId="211014E9" w14:textId="77777777" w:rsidR="002611CA" w:rsidRPr="000A53C0" w:rsidRDefault="002611CA" w:rsidP="007152C0">
      <w:pPr>
        <w:pStyle w:val="BodyText"/>
        <w:keepNext/>
        <w:keepLines/>
        <w:rPr>
          <w:rFonts w:cs="Arial"/>
        </w:rPr>
      </w:pPr>
      <w:r w:rsidRPr="000A53C0">
        <w:rPr>
          <w:rFonts w:cs="Arial"/>
        </w:rPr>
        <w:t xml:space="preserve">In addition to the prohibition on the use of higher silica engineered stone proposed in Option 2, Option 3 also outlines an additional licensing framework for PCBUs working with lower silica engineered stone (&lt; 40% crystalline silica content). Under this option there are additional estimated costs to PCBUs, government and workers. </w:t>
      </w:r>
    </w:p>
    <w:p w14:paraId="00FEFFA5" w14:textId="59D9D722" w:rsidR="002611CA" w:rsidRPr="000A53C0" w:rsidRDefault="002611CA" w:rsidP="00514CCB">
      <w:pPr>
        <w:pStyle w:val="Heading3numbered"/>
      </w:pPr>
      <w:r w:rsidRPr="000A53C0">
        <w:t>Costs to PCBUs</w:t>
      </w:r>
    </w:p>
    <w:p w14:paraId="51A21DFA" w14:textId="3EB2B21E" w:rsidR="002611CA" w:rsidRPr="000A53C0" w:rsidRDefault="002611CA" w:rsidP="002611CA">
      <w:pPr>
        <w:pStyle w:val="BodyText"/>
        <w:rPr>
          <w:rFonts w:cs="Arial"/>
        </w:rPr>
      </w:pPr>
      <w:r w:rsidRPr="000A53C0">
        <w:rPr>
          <w:rFonts w:cs="Arial"/>
        </w:rPr>
        <w:t xml:space="preserve">Under Option 3, costs to PCBUs are estimated to be $137.1 million over the appraisal period, as shown in the table below. Estimated costs are higher than Option 2 for </w:t>
      </w:r>
      <w:r w:rsidR="00EB3E16">
        <w:rPr>
          <w:rFonts w:cs="Arial"/>
        </w:rPr>
        <w:t>2</w:t>
      </w:r>
      <w:r w:rsidRPr="000A53C0">
        <w:rPr>
          <w:rFonts w:cs="Arial"/>
        </w:rPr>
        <w:t xml:space="preserve"> main reasons:</w:t>
      </w:r>
    </w:p>
    <w:p w14:paraId="5364F323" w14:textId="6CECFD54" w:rsidR="002611CA" w:rsidRPr="000A53C0" w:rsidRDefault="002611CA" w:rsidP="001B44C4">
      <w:pPr>
        <w:pStyle w:val="IAListbullet2"/>
        <w:rPr>
          <w:rFonts w:cs="Arial"/>
        </w:rPr>
      </w:pPr>
      <w:r w:rsidRPr="000A53C0">
        <w:rPr>
          <w:rFonts w:cs="Arial"/>
        </w:rPr>
        <w:t>the administrative costs</w:t>
      </w:r>
      <w:r w:rsidR="0054388D" w:rsidRPr="000A53C0">
        <w:rPr>
          <w:rFonts w:cs="Arial"/>
        </w:rPr>
        <w:t xml:space="preserve"> to engineered stone PCBUs</w:t>
      </w:r>
      <w:r w:rsidRPr="000A53C0">
        <w:rPr>
          <w:rFonts w:cs="Arial"/>
        </w:rPr>
        <w:t xml:space="preserve"> of applying for (and renewing) a licence</w:t>
      </w:r>
      <w:r w:rsidR="00A50237" w:rsidRPr="000A53C0">
        <w:rPr>
          <w:rFonts w:cs="Arial"/>
        </w:rPr>
        <w:t xml:space="preserve"> to work</w:t>
      </w:r>
      <w:r w:rsidR="00332E56" w:rsidRPr="000A53C0">
        <w:rPr>
          <w:rFonts w:cs="Arial"/>
        </w:rPr>
        <w:t xml:space="preserve"> with lower silica engineered stone</w:t>
      </w:r>
      <w:r w:rsidRPr="000A53C0">
        <w:rPr>
          <w:rFonts w:cs="Arial"/>
        </w:rPr>
        <w:t>, and participating in compliance inspections</w:t>
      </w:r>
      <w:r w:rsidR="00CB457D">
        <w:rPr>
          <w:rFonts w:cs="Arial"/>
        </w:rPr>
        <w:t>,</w:t>
      </w:r>
      <w:r w:rsidRPr="000A53C0">
        <w:rPr>
          <w:rFonts w:cs="Arial"/>
        </w:rPr>
        <w:t xml:space="preserve"> and </w:t>
      </w:r>
    </w:p>
    <w:p w14:paraId="62D0598F" w14:textId="5B480E72" w:rsidR="002611CA" w:rsidRPr="000A53C0" w:rsidRDefault="002611CA" w:rsidP="001B44C4">
      <w:pPr>
        <w:pStyle w:val="IAListbullet2"/>
        <w:rPr>
          <w:rFonts w:cs="Arial"/>
        </w:rPr>
      </w:pPr>
      <w:r w:rsidRPr="000A53C0">
        <w:rPr>
          <w:rFonts w:cs="Arial"/>
        </w:rPr>
        <w:t xml:space="preserve">some </w:t>
      </w:r>
      <w:r w:rsidR="0054388D" w:rsidRPr="000A53C0">
        <w:rPr>
          <w:rFonts w:cs="Arial"/>
        </w:rPr>
        <w:t xml:space="preserve">engineered stone </w:t>
      </w:r>
      <w:r w:rsidRPr="000A53C0">
        <w:rPr>
          <w:rFonts w:cs="Arial"/>
        </w:rPr>
        <w:t>PCBUs are expected to close, or pivot to non-stone products</w:t>
      </w:r>
      <w:r w:rsidR="001B1996">
        <w:rPr>
          <w:rFonts w:cs="Arial"/>
        </w:rPr>
        <w:t>,</w:t>
      </w:r>
      <w:r w:rsidRPr="000A53C0">
        <w:rPr>
          <w:rFonts w:cs="Arial"/>
        </w:rPr>
        <w:t xml:space="preserve"> as a result of the additional cost and administrative burden of a licensing scheme</w:t>
      </w:r>
      <w:r w:rsidR="00DB757D" w:rsidRPr="000A53C0">
        <w:rPr>
          <w:rFonts w:cs="Arial"/>
        </w:rPr>
        <w:t xml:space="preserve"> to work with lower silica engineered stone</w:t>
      </w:r>
      <w:r w:rsidRPr="000A53C0">
        <w:rPr>
          <w:rFonts w:cs="Arial"/>
        </w:rPr>
        <w:t>.</w:t>
      </w:r>
    </w:p>
    <w:p w14:paraId="6E08A69A" w14:textId="4C19894E" w:rsidR="002611CA" w:rsidRPr="000A53C0" w:rsidRDefault="002611CA" w:rsidP="00CB1198">
      <w:pPr>
        <w:pStyle w:val="Caption"/>
        <w:rPr>
          <w:rFonts w:cs="Arial"/>
        </w:rPr>
      </w:pPr>
      <w:r w:rsidRPr="00B17EDD">
        <w:rPr>
          <w:rFonts w:cs="Arial"/>
          <w:b/>
          <w:bCs/>
        </w:rPr>
        <w:t xml:space="preserve">Table </w:t>
      </w:r>
      <w:r w:rsidRPr="00B17EDD">
        <w:rPr>
          <w:rFonts w:cs="Arial"/>
          <w:b/>
          <w:bCs/>
        </w:rPr>
        <w:fldChar w:fldCharType="begin"/>
      </w:r>
      <w:r w:rsidRPr="00B17EDD">
        <w:rPr>
          <w:rFonts w:cs="Arial"/>
          <w:b/>
          <w:bCs/>
        </w:rPr>
        <w:instrText>SEQ Table \* ARABIC</w:instrText>
      </w:r>
      <w:r w:rsidRPr="00B17EDD">
        <w:rPr>
          <w:rFonts w:cs="Arial"/>
          <w:b/>
          <w:bCs/>
        </w:rPr>
        <w:fldChar w:fldCharType="separate"/>
      </w:r>
      <w:r w:rsidR="00D16271">
        <w:rPr>
          <w:rFonts w:cs="Arial"/>
          <w:b/>
          <w:bCs/>
          <w:noProof/>
        </w:rPr>
        <w:t>13</w:t>
      </w:r>
      <w:r w:rsidRPr="00B17EDD">
        <w:rPr>
          <w:rFonts w:cs="Arial"/>
          <w:b/>
          <w:bCs/>
        </w:rPr>
        <w:fldChar w:fldCharType="end"/>
      </w:r>
      <w:r w:rsidRPr="000A53C0">
        <w:rPr>
          <w:rFonts w:cs="Arial"/>
        </w:rPr>
        <w:t xml:space="preserve"> Estimated cost of Option 3 – PCBUs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UPSLIDE_TablePasted`_#[%£=+@"/>
      </w:tblPr>
      <w:tblGrid>
        <w:gridCol w:w="5367"/>
        <w:gridCol w:w="1129"/>
        <w:gridCol w:w="1262"/>
        <w:gridCol w:w="1213"/>
        <w:gridCol w:w="1223"/>
      </w:tblGrid>
      <w:tr w:rsidR="002611CA" w:rsidRPr="000A53C0" w14:paraId="196405FB" w14:textId="77777777" w:rsidTr="00B17EDD">
        <w:trPr>
          <w:trHeight w:val="636"/>
          <w:tblHeader/>
        </w:trPr>
        <w:tc>
          <w:tcPr>
            <w:tcW w:w="2632" w:type="pct"/>
            <w:shd w:val="clear" w:color="auto" w:fill="E81D32"/>
            <w:vAlign w:val="center"/>
          </w:tcPr>
          <w:p w14:paraId="5CEC521D" w14:textId="77777777" w:rsidR="002611CA" w:rsidRPr="00B17EDD" w:rsidRDefault="002611CA" w:rsidP="00B17EDD">
            <w:pPr>
              <w:pStyle w:val="TableHeading"/>
              <w:keepNext/>
              <w:keepLines/>
              <w:spacing w:before="0" w:after="0"/>
              <w:rPr>
                <w:rFonts w:ascii="Arial" w:hAnsi="Arial" w:cs="Arial"/>
                <w:color w:val="FFFFFF" w:themeColor="background1"/>
              </w:rPr>
            </w:pPr>
            <w:r w:rsidRPr="00B17EDD">
              <w:rPr>
                <w:rFonts w:ascii="Arial" w:hAnsi="Arial" w:cs="Arial"/>
                <w:color w:val="FFFFFF" w:themeColor="background1"/>
              </w:rPr>
              <w:t>Cost</w:t>
            </w:r>
          </w:p>
        </w:tc>
        <w:tc>
          <w:tcPr>
            <w:tcW w:w="2368" w:type="pct"/>
            <w:gridSpan w:val="4"/>
            <w:shd w:val="clear" w:color="auto" w:fill="E81D32"/>
            <w:vAlign w:val="center"/>
          </w:tcPr>
          <w:p w14:paraId="7116F939" w14:textId="3BE6C0EA" w:rsidR="002611CA" w:rsidRPr="00B17EDD" w:rsidRDefault="0034596A" w:rsidP="00B17EDD">
            <w:pPr>
              <w:pStyle w:val="TableHeading"/>
              <w:keepNext/>
              <w:keepLines/>
              <w:spacing w:before="0" w:after="0"/>
              <w:rPr>
                <w:rFonts w:ascii="Arial" w:hAnsi="Arial" w:cs="Arial"/>
                <w:color w:val="FFFFFF" w:themeColor="background1"/>
              </w:rPr>
            </w:pPr>
            <w:r w:rsidRPr="00B17EDD">
              <w:rPr>
                <w:rFonts w:ascii="Arial" w:hAnsi="Arial" w:cs="Arial"/>
                <w:color w:val="FFFFFF" w:themeColor="background1"/>
              </w:rPr>
              <w:t xml:space="preserve">Estimated cost </w:t>
            </w:r>
            <w:r w:rsidR="00191FEC" w:rsidRPr="00B17EDD">
              <w:rPr>
                <w:rFonts w:ascii="Arial" w:hAnsi="Arial" w:cs="Arial"/>
                <w:color w:val="FFFFFF" w:themeColor="background1"/>
              </w:rPr>
              <w:t>– 10-year</w:t>
            </w:r>
            <w:r w:rsidRPr="00B17EDD">
              <w:rPr>
                <w:rFonts w:ascii="Arial" w:hAnsi="Arial" w:cs="Arial"/>
                <w:color w:val="FFFFFF" w:themeColor="background1"/>
              </w:rPr>
              <w:t xml:space="preserve"> appraisal period ($m)</w:t>
            </w:r>
          </w:p>
        </w:tc>
      </w:tr>
      <w:tr w:rsidR="002611CA" w:rsidRPr="000A53C0" w14:paraId="66688C66" w14:textId="77777777" w:rsidTr="00B17EDD">
        <w:trPr>
          <w:trHeight w:val="355"/>
        </w:trPr>
        <w:tc>
          <w:tcPr>
            <w:tcW w:w="2632" w:type="pct"/>
            <w:shd w:val="clear" w:color="auto" w:fill="F9C3C5" w:themeFill="accent6" w:themeFillTint="33"/>
            <w:vAlign w:val="center"/>
          </w:tcPr>
          <w:p w14:paraId="2D4634D8" w14:textId="77777777" w:rsidR="002611CA" w:rsidRPr="000A53C0" w:rsidRDefault="002611CA" w:rsidP="00B17EDD">
            <w:pPr>
              <w:pStyle w:val="TableBody"/>
              <w:rPr>
                <w:rFonts w:cs="Arial"/>
                <w:b/>
                <w:szCs w:val="18"/>
              </w:rPr>
            </w:pPr>
            <w:r w:rsidRPr="000A53C0">
              <w:rPr>
                <w:rFonts w:cs="Arial"/>
                <w:b/>
                <w:szCs w:val="18"/>
              </w:rPr>
              <w:t>Engineered stone PCBUs</w:t>
            </w:r>
          </w:p>
        </w:tc>
        <w:tc>
          <w:tcPr>
            <w:tcW w:w="554" w:type="pct"/>
            <w:shd w:val="clear" w:color="auto" w:fill="F9C3C5" w:themeFill="accent6" w:themeFillTint="33"/>
            <w:vAlign w:val="center"/>
          </w:tcPr>
          <w:p w14:paraId="796600F5" w14:textId="77777777" w:rsidR="002611CA" w:rsidRPr="000A53C0" w:rsidRDefault="002611CA" w:rsidP="00B17EDD">
            <w:pPr>
              <w:pStyle w:val="TableBody"/>
              <w:jc w:val="center"/>
              <w:rPr>
                <w:rFonts w:cs="Arial"/>
                <w:b/>
                <w:szCs w:val="18"/>
              </w:rPr>
            </w:pPr>
            <w:r w:rsidRPr="000A53C0">
              <w:rPr>
                <w:rFonts w:cs="Arial"/>
                <w:b/>
              </w:rPr>
              <w:t>Sole traders</w:t>
            </w:r>
          </w:p>
        </w:tc>
        <w:tc>
          <w:tcPr>
            <w:tcW w:w="619" w:type="pct"/>
            <w:shd w:val="clear" w:color="auto" w:fill="F9C3C5" w:themeFill="accent6" w:themeFillTint="33"/>
            <w:vAlign w:val="center"/>
          </w:tcPr>
          <w:p w14:paraId="593FA393" w14:textId="77777777" w:rsidR="002611CA" w:rsidRPr="000A53C0" w:rsidRDefault="002611CA" w:rsidP="00B17EDD">
            <w:pPr>
              <w:pStyle w:val="TableBody"/>
              <w:jc w:val="center"/>
              <w:rPr>
                <w:rFonts w:cs="Arial"/>
                <w:b/>
                <w:szCs w:val="18"/>
              </w:rPr>
            </w:pPr>
            <w:r w:rsidRPr="000A53C0">
              <w:rPr>
                <w:rFonts w:cs="Arial"/>
                <w:b/>
              </w:rPr>
              <w:t>Small</w:t>
            </w:r>
          </w:p>
        </w:tc>
        <w:tc>
          <w:tcPr>
            <w:tcW w:w="595" w:type="pct"/>
            <w:shd w:val="clear" w:color="auto" w:fill="F9C3C5" w:themeFill="accent6" w:themeFillTint="33"/>
            <w:vAlign w:val="center"/>
          </w:tcPr>
          <w:p w14:paraId="79731FE2" w14:textId="77777777" w:rsidR="002611CA" w:rsidRPr="000A53C0" w:rsidRDefault="002611CA" w:rsidP="00B17EDD">
            <w:pPr>
              <w:pStyle w:val="TableBody"/>
              <w:jc w:val="center"/>
              <w:rPr>
                <w:rFonts w:cs="Arial"/>
                <w:b/>
                <w:szCs w:val="18"/>
              </w:rPr>
            </w:pPr>
            <w:r w:rsidRPr="000A53C0">
              <w:rPr>
                <w:rFonts w:cs="Arial"/>
                <w:b/>
              </w:rPr>
              <w:t>Medium</w:t>
            </w:r>
          </w:p>
        </w:tc>
        <w:tc>
          <w:tcPr>
            <w:tcW w:w="600" w:type="pct"/>
            <w:shd w:val="clear" w:color="auto" w:fill="F9C3C5" w:themeFill="accent6" w:themeFillTint="33"/>
            <w:vAlign w:val="center"/>
          </w:tcPr>
          <w:p w14:paraId="509B0701" w14:textId="77777777" w:rsidR="002611CA" w:rsidRPr="000A53C0" w:rsidRDefault="002611CA" w:rsidP="00B17EDD">
            <w:pPr>
              <w:pStyle w:val="TableBody"/>
              <w:jc w:val="center"/>
              <w:rPr>
                <w:rFonts w:cs="Arial"/>
                <w:b/>
              </w:rPr>
            </w:pPr>
            <w:r w:rsidRPr="000A53C0">
              <w:rPr>
                <w:rFonts w:cs="Arial"/>
                <w:b/>
              </w:rPr>
              <w:t>Total</w:t>
            </w:r>
          </w:p>
        </w:tc>
      </w:tr>
      <w:tr w:rsidR="002611CA" w:rsidRPr="000A53C0" w14:paraId="1072E2CC" w14:textId="77777777" w:rsidTr="00B17EDD">
        <w:trPr>
          <w:trHeight w:val="355"/>
        </w:trPr>
        <w:tc>
          <w:tcPr>
            <w:tcW w:w="2632" w:type="pct"/>
            <w:shd w:val="clear" w:color="auto" w:fill="F2F2F2" w:themeFill="background1" w:themeFillShade="F2"/>
            <w:vAlign w:val="center"/>
          </w:tcPr>
          <w:p w14:paraId="53DF197E" w14:textId="77777777" w:rsidR="002611CA" w:rsidRPr="000A53C0" w:rsidRDefault="002611CA" w:rsidP="00B17EDD">
            <w:pPr>
              <w:pStyle w:val="TableBody"/>
              <w:rPr>
                <w:rFonts w:cs="Arial"/>
                <w:b/>
                <w:szCs w:val="18"/>
              </w:rPr>
            </w:pPr>
            <w:r w:rsidRPr="000A53C0">
              <w:rPr>
                <w:rFonts w:cs="Arial"/>
                <w:b/>
                <w:szCs w:val="18"/>
              </w:rPr>
              <w:t>Business exit and switching costs</w:t>
            </w:r>
          </w:p>
        </w:tc>
        <w:tc>
          <w:tcPr>
            <w:tcW w:w="554" w:type="pct"/>
            <w:shd w:val="clear" w:color="auto" w:fill="F2F2F2" w:themeFill="background1" w:themeFillShade="F2"/>
          </w:tcPr>
          <w:p w14:paraId="30E1DAF4" w14:textId="77777777" w:rsidR="002611CA" w:rsidRPr="000A53C0" w:rsidRDefault="002611CA">
            <w:pPr>
              <w:pStyle w:val="TableBody"/>
              <w:jc w:val="center"/>
              <w:rPr>
                <w:rFonts w:cs="Arial"/>
              </w:rPr>
            </w:pPr>
          </w:p>
        </w:tc>
        <w:tc>
          <w:tcPr>
            <w:tcW w:w="619" w:type="pct"/>
            <w:shd w:val="clear" w:color="auto" w:fill="F2F2F2" w:themeFill="background1" w:themeFillShade="F2"/>
          </w:tcPr>
          <w:p w14:paraId="639996DC" w14:textId="77777777" w:rsidR="002611CA" w:rsidRPr="000A53C0" w:rsidRDefault="002611CA">
            <w:pPr>
              <w:pStyle w:val="TableBody"/>
              <w:jc w:val="center"/>
              <w:rPr>
                <w:rFonts w:cs="Arial"/>
              </w:rPr>
            </w:pPr>
          </w:p>
        </w:tc>
        <w:tc>
          <w:tcPr>
            <w:tcW w:w="595" w:type="pct"/>
            <w:shd w:val="clear" w:color="auto" w:fill="F2F2F2" w:themeFill="background1" w:themeFillShade="F2"/>
          </w:tcPr>
          <w:p w14:paraId="163D560F" w14:textId="77777777" w:rsidR="002611CA" w:rsidRPr="000A53C0" w:rsidRDefault="002611CA">
            <w:pPr>
              <w:pStyle w:val="TableBody"/>
              <w:jc w:val="center"/>
              <w:rPr>
                <w:rFonts w:cs="Arial"/>
              </w:rPr>
            </w:pPr>
          </w:p>
        </w:tc>
        <w:tc>
          <w:tcPr>
            <w:tcW w:w="600" w:type="pct"/>
            <w:shd w:val="clear" w:color="auto" w:fill="F2F2F2" w:themeFill="background1" w:themeFillShade="F2"/>
          </w:tcPr>
          <w:p w14:paraId="4A1B32A6" w14:textId="77777777" w:rsidR="002611CA" w:rsidRPr="000A53C0" w:rsidRDefault="002611CA">
            <w:pPr>
              <w:pStyle w:val="TableBody"/>
              <w:jc w:val="center"/>
              <w:rPr>
                <w:rFonts w:cs="Arial"/>
              </w:rPr>
            </w:pPr>
          </w:p>
        </w:tc>
      </w:tr>
      <w:tr w:rsidR="002611CA" w:rsidRPr="000A53C0" w14:paraId="7C2FBCF2" w14:textId="77777777" w:rsidTr="00B17EDD">
        <w:trPr>
          <w:trHeight w:val="355"/>
        </w:trPr>
        <w:tc>
          <w:tcPr>
            <w:tcW w:w="2632" w:type="pct"/>
            <w:vAlign w:val="center"/>
          </w:tcPr>
          <w:p w14:paraId="22737371" w14:textId="77777777" w:rsidR="002611CA" w:rsidRPr="000A53C0" w:rsidRDefault="002611CA" w:rsidP="00B17EDD">
            <w:pPr>
              <w:pStyle w:val="TableBody"/>
              <w:rPr>
                <w:rFonts w:cs="Arial"/>
                <w:szCs w:val="18"/>
              </w:rPr>
            </w:pPr>
            <w:r w:rsidRPr="000A53C0">
              <w:rPr>
                <w:rFonts w:cs="Arial"/>
                <w:szCs w:val="18"/>
              </w:rPr>
              <w:t>Business closure costs</w:t>
            </w:r>
          </w:p>
        </w:tc>
        <w:tc>
          <w:tcPr>
            <w:tcW w:w="554" w:type="pct"/>
            <w:shd w:val="clear" w:color="auto" w:fill="auto"/>
            <w:vAlign w:val="center"/>
          </w:tcPr>
          <w:p w14:paraId="42208CE5" w14:textId="77777777" w:rsidR="002611CA" w:rsidRPr="000A53C0" w:rsidRDefault="002611CA" w:rsidP="00B17EDD">
            <w:pPr>
              <w:pStyle w:val="TableBody"/>
              <w:jc w:val="center"/>
              <w:rPr>
                <w:rFonts w:cs="Arial"/>
              </w:rPr>
            </w:pPr>
            <w:r w:rsidRPr="000A53C0">
              <w:rPr>
                <w:rFonts w:cs="Arial"/>
              </w:rPr>
              <w:t>$0.1</w:t>
            </w:r>
          </w:p>
        </w:tc>
        <w:tc>
          <w:tcPr>
            <w:tcW w:w="619" w:type="pct"/>
            <w:shd w:val="clear" w:color="auto" w:fill="auto"/>
            <w:vAlign w:val="center"/>
          </w:tcPr>
          <w:p w14:paraId="75C9F4AC" w14:textId="77777777" w:rsidR="002611CA" w:rsidRPr="000A53C0" w:rsidRDefault="002611CA" w:rsidP="00B17EDD">
            <w:pPr>
              <w:pStyle w:val="TableBody"/>
              <w:jc w:val="center"/>
              <w:rPr>
                <w:rFonts w:cs="Arial"/>
              </w:rPr>
            </w:pPr>
            <w:r w:rsidRPr="000A53C0">
              <w:rPr>
                <w:rFonts w:cs="Arial"/>
              </w:rPr>
              <w:t>$0.1</w:t>
            </w:r>
          </w:p>
        </w:tc>
        <w:tc>
          <w:tcPr>
            <w:tcW w:w="595" w:type="pct"/>
            <w:shd w:val="clear" w:color="auto" w:fill="auto"/>
            <w:vAlign w:val="center"/>
          </w:tcPr>
          <w:p w14:paraId="5FBC4F43" w14:textId="77777777" w:rsidR="002611CA" w:rsidRPr="000A53C0" w:rsidRDefault="002611CA" w:rsidP="00B17EDD">
            <w:pPr>
              <w:pStyle w:val="TableBody"/>
              <w:jc w:val="center"/>
              <w:rPr>
                <w:rFonts w:cs="Arial"/>
              </w:rPr>
            </w:pPr>
            <w:r w:rsidRPr="000A53C0">
              <w:rPr>
                <w:rFonts w:cs="Arial"/>
              </w:rPr>
              <w:t>$0.02</w:t>
            </w:r>
          </w:p>
        </w:tc>
        <w:tc>
          <w:tcPr>
            <w:tcW w:w="600" w:type="pct"/>
            <w:vAlign w:val="center"/>
          </w:tcPr>
          <w:p w14:paraId="5639A304" w14:textId="77777777" w:rsidR="002611CA" w:rsidRPr="000A53C0" w:rsidRDefault="002611CA" w:rsidP="00B17EDD">
            <w:pPr>
              <w:pStyle w:val="TableBody"/>
              <w:jc w:val="center"/>
              <w:rPr>
                <w:rFonts w:cs="Arial"/>
              </w:rPr>
            </w:pPr>
            <w:r w:rsidRPr="000A53C0">
              <w:rPr>
                <w:rFonts w:cs="Arial"/>
              </w:rPr>
              <w:t>$0.3</w:t>
            </w:r>
            <w:r w:rsidRPr="000A53C0">
              <w:rPr>
                <w:rStyle w:val="FootnoteReference"/>
                <w:rFonts w:cs="Arial"/>
              </w:rPr>
              <w:footnoteReference w:id="8"/>
            </w:r>
          </w:p>
        </w:tc>
      </w:tr>
      <w:tr w:rsidR="002611CA" w:rsidRPr="000A53C0" w14:paraId="019E5767" w14:textId="77777777" w:rsidTr="00B17EDD">
        <w:trPr>
          <w:trHeight w:val="355"/>
        </w:trPr>
        <w:tc>
          <w:tcPr>
            <w:tcW w:w="2632" w:type="pct"/>
            <w:vAlign w:val="center"/>
          </w:tcPr>
          <w:p w14:paraId="4E7090B7" w14:textId="77777777" w:rsidR="002611CA" w:rsidRPr="000A53C0" w:rsidRDefault="002611CA" w:rsidP="00B17EDD">
            <w:pPr>
              <w:pStyle w:val="TableBody"/>
              <w:rPr>
                <w:rFonts w:cs="Arial"/>
                <w:szCs w:val="18"/>
              </w:rPr>
            </w:pPr>
            <w:r w:rsidRPr="000A53C0">
              <w:rPr>
                <w:rFonts w:cs="Arial"/>
                <w:szCs w:val="18"/>
              </w:rPr>
              <w:t>Redundancy payments</w:t>
            </w:r>
          </w:p>
        </w:tc>
        <w:tc>
          <w:tcPr>
            <w:tcW w:w="554" w:type="pct"/>
            <w:shd w:val="clear" w:color="auto" w:fill="auto"/>
            <w:vAlign w:val="center"/>
          </w:tcPr>
          <w:p w14:paraId="4F6C9F9C" w14:textId="77777777" w:rsidR="002611CA" w:rsidRPr="000A53C0" w:rsidRDefault="002611CA" w:rsidP="00B17EDD">
            <w:pPr>
              <w:pStyle w:val="TableBody"/>
              <w:jc w:val="center"/>
              <w:rPr>
                <w:rFonts w:cs="Arial"/>
              </w:rPr>
            </w:pPr>
            <w:r w:rsidRPr="000A53C0">
              <w:rPr>
                <w:rFonts w:cs="Arial"/>
              </w:rPr>
              <w:t>$0.0</w:t>
            </w:r>
          </w:p>
        </w:tc>
        <w:tc>
          <w:tcPr>
            <w:tcW w:w="619" w:type="pct"/>
            <w:shd w:val="clear" w:color="auto" w:fill="auto"/>
            <w:vAlign w:val="center"/>
          </w:tcPr>
          <w:p w14:paraId="1534096D" w14:textId="77777777" w:rsidR="002611CA" w:rsidRPr="000A53C0" w:rsidRDefault="002611CA" w:rsidP="00B17EDD">
            <w:pPr>
              <w:pStyle w:val="TableBody"/>
              <w:jc w:val="center"/>
              <w:rPr>
                <w:rFonts w:cs="Arial"/>
              </w:rPr>
            </w:pPr>
            <w:r w:rsidRPr="000A53C0">
              <w:rPr>
                <w:rFonts w:cs="Arial"/>
              </w:rPr>
              <w:t>$0.0</w:t>
            </w:r>
          </w:p>
        </w:tc>
        <w:tc>
          <w:tcPr>
            <w:tcW w:w="595" w:type="pct"/>
            <w:shd w:val="clear" w:color="auto" w:fill="auto"/>
            <w:vAlign w:val="center"/>
          </w:tcPr>
          <w:p w14:paraId="085A67B4" w14:textId="77777777" w:rsidR="002611CA" w:rsidRPr="000A53C0" w:rsidRDefault="002611CA" w:rsidP="00B17EDD">
            <w:pPr>
              <w:pStyle w:val="TableBody"/>
              <w:jc w:val="center"/>
              <w:rPr>
                <w:rFonts w:cs="Arial"/>
              </w:rPr>
            </w:pPr>
            <w:r w:rsidRPr="000A53C0">
              <w:rPr>
                <w:rFonts w:cs="Arial"/>
              </w:rPr>
              <w:t>$1.7</w:t>
            </w:r>
          </w:p>
        </w:tc>
        <w:tc>
          <w:tcPr>
            <w:tcW w:w="600" w:type="pct"/>
            <w:vAlign w:val="center"/>
          </w:tcPr>
          <w:p w14:paraId="0F491459" w14:textId="77777777" w:rsidR="002611CA" w:rsidRPr="000A53C0" w:rsidRDefault="002611CA" w:rsidP="00B17EDD">
            <w:pPr>
              <w:pStyle w:val="TableBody"/>
              <w:jc w:val="center"/>
              <w:rPr>
                <w:rFonts w:cs="Arial"/>
              </w:rPr>
            </w:pPr>
            <w:r w:rsidRPr="000A53C0">
              <w:rPr>
                <w:rFonts w:cs="Arial"/>
              </w:rPr>
              <w:t>$1.7</w:t>
            </w:r>
          </w:p>
        </w:tc>
      </w:tr>
      <w:tr w:rsidR="002611CA" w:rsidRPr="000A53C0" w14:paraId="618AC77C" w14:textId="77777777" w:rsidTr="00B17EDD">
        <w:trPr>
          <w:trHeight w:val="355"/>
        </w:trPr>
        <w:tc>
          <w:tcPr>
            <w:tcW w:w="2632" w:type="pct"/>
            <w:shd w:val="clear" w:color="auto" w:fill="F2F2F2" w:themeFill="background1" w:themeFillShade="F2"/>
            <w:vAlign w:val="center"/>
          </w:tcPr>
          <w:p w14:paraId="328BBF52" w14:textId="77777777" w:rsidR="002611CA" w:rsidRPr="000A53C0" w:rsidRDefault="002611CA" w:rsidP="00B17EDD">
            <w:pPr>
              <w:pStyle w:val="TableBody"/>
              <w:rPr>
                <w:rFonts w:cs="Arial"/>
                <w:b/>
                <w:szCs w:val="18"/>
              </w:rPr>
            </w:pPr>
            <w:r w:rsidRPr="000A53C0">
              <w:rPr>
                <w:rFonts w:cs="Arial"/>
                <w:b/>
                <w:szCs w:val="18"/>
              </w:rPr>
              <w:t>Licensing framework for work with lower silica engineered stone</w:t>
            </w:r>
          </w:p>
        </w:tc>
        <w:tc>
          <w:tcPr>
            <w:tcW w:w="554" w:type="pct"/>
            <w:shd w:val="clear" w:color="auto" w:fill="F2F2F2" w:themeFill="background1" w:themeFillShade="F2"/>
            <w:vAlign w:val="center"/>
          </w:tcPr>
          <w:p w14:paraId="36376968" w14:textId="77777777" w:rsidR="002611CA" w:rsidRPr="000A53C0" w:rsidRDefault="002611CA" w:rsidP="00B17EDD">
            <w:pPr>
              <w:pStyle w:val="TableBody"/>
              <w:jc w:val="center"/>
              <w:rPr>
                <w:rFonts w:cs="Arial"/>
              </w:rPr>
            </w:pPr>
          </w:p>
        </w:tc>
        <w:tc>
          <w:tcPr>
            <w:tcW w:w="619" w:type="pct"/>
            <w:shd w:val="clear" w:color="auto" w:fill="F2F2F2" w:themeFill="background1" w:themeFillShade="F2"/>
            <w:vAlign w:val="center"/>
          </w:tcPr>
          <w:p w14:paraId="06D39E1A" w14:textId="77777777" w:rsidR="002611CA" w:rsidRPr="000A53C0" w:rsidRDefault="002611CA" w:rsidP="00B17EDD">
            <w:pPr>
              <w:pStyle w:val="TableBody"/>
              <w:jc w:val="center"/>
              <w:rPr>
                <w:rFonts w:cs="Arial"/>
              </w:rPr>
            </w:pPr>
          </w:p>
        </w:tc>
        <w:tc>
          <w:tcPr>
            <w:tcW w:w="595" w:type="pct"/>
            <w:shd w:val="clear" w:color="auto" w:fill="F2F2F2" w:themeFill="background1" w:themeFillShade="F2"/>
            <w:vAlign w:val="center"/>
          </w:tcPr>
          <w:p w14:paraId="7F650908" w14:textId="77777777" w:rsidR="002611CA" w:rsidRPr="000A53C0" w:rsidRDefault="002611CA" w:rsidP="00B17EDD">
            <w:pPr>
              <w:pStyle w:val="TableBody"/>
              <w:jc w:val="center"/>
              <w:rPr>
                <w:rFonts w:cs="Arial"/>
              </w:rPr>
            </w:pPr>
          </w:p>
        </w:tc>
        <w:tc>
          <w:tcPr>
            <w:tcW w:w="600" w:type="pct"/>
            <w:shd w:val="clear" w:color="auto" w:fill="F2F2F2" w:themeFill="background1" w:themeFillShade="F2"/>
            <w:vAlign w:val="center"/>
          </w:tcPr>
          <w:p w14:paraId="621883F2" w14:textId="77777777" w:rsidR="002611CA" w:rsidRPr="000A53C0" w:rsidRDefault="002611CA" w:rsidP="00B17EDD">
            <w:pPr>
              <w:pStyle w:val="TableBody"/>
              <w:jc w:val="center"/>
              <w:rPr>
                <w:rFonts w:cs="Arial"/>
              </w:rPr>
            </w:pPr>
          </w:p>
        </w:tc>
      </w:tr>
      <w:tr w:rsidR="002611CA" w:rsidRPr="000A53C0" w14:paraId="4BC425B5" w14:textId="77777777" w:rsidTr="00B17EDD">
        <w:trPr>
          <w:trHeight w:val="355"/>
        </w:trPr>
        <w:tc>
          <w:tcPr>
            <w:tcW w:w="2632" w:type="pct"/>
            <w:vAlign w:val="center"/>
          </w:tcPr>
          <w:p w14:paraId="2413C175" w14:textId="77777777" w:rsidR="002611CA" w:rsidRPr="000A53C0" w:rsidRDefault="002611CA" w:rsidP="00B17EDD">
            <w:pPr>
              <w:pStyle w:val="TableBody"/>
              <w:rPr>
                <w:rFonts w:cs="Arial"/>
                <w:szCs w:val="18"/>
              </w:rPr>
            </w:pPr>
            <w:r w:rsidRPr="000A53C0">
              <w:rPr>
                <w:rFonts w:cs="Arial"/>
                <w:szCs w:val="18"/>
              </w:rPr>
              <w:t xml:space="preserve">Licence application costs </w:t>
            </w:r>
          </w:p>
        </w:tc>
        <w:tc>
          <w:tcPr>
            <w:tcW w:w="554" w:type="pct"/>
            <w:shd w:val="clear" w:color="auto" w:fill="auto"/>
            <w:vAlign w:val="center"/>
          </w:tcPr>
          <w:p w14:paraId="24F15E14" w14:textId="77777777" w:rsidR="002611CA" w:rsidRPr="000A53C0" w:rsidRDefault="002611CA" w:rsidP="00B17EDD">
            <w:pPr>
              <w:pStyle w:val="TableBody"/>
              <w:jc w:val="center"/>
              <w:rPr>
                <w:rFonts w:cs="Arial"/>
              </w:rPr>
            </w:pPr>
            <w:r w:rsidRPr="000A53C0">
              <w:rPr>
                <w:rFonts w:cs="Arial"/>
              </w:rPr>
              <w:t>$0.4</w:t>
            </w:r>
          </w:p>
        </w:tc>
        <w:tc>
          <w:tcPr>
            <w:tcW w:w="619" w:type="pct"/>
            <w:shd w:val="clear" w:color="auto" w:fill="auto"/>
            <w:vAlign w:val="center"/>
          </w:tcPr>
          <w:p w14:paraId="5AB2DE0F" w14:textId="77777777" w:rsidR="002611CA" w:rsidRPr="000A53C0" w:rsidRDefault="002611CA" w:rsidP="00B17EDD">
            <w:pPr>
              <w:pStyle w:val="TableBody"/>
              <w:jc w:val="center"/>
              <w:rPr>
                <w:rFonts w:cs="Arial"/>
              </w:rPr>
            </w:pPr>
            <w:r w:rsidRPr="000A53C0">
              <w:rPr>
                <w:rFonts w:cs="Arial"/>
              </w:rPr>
              <w:t>$0.4</w:t>
            </w:r>
          </w:p>
        </w:tc>
        <w:tc>
          <w:tcPr>
            <w:tcW w:w="595" w:type="pct"/>
            <w:shd w:val="clear" w:color="auto" w:fill="auto"/>
            <w:vAlign w:val="center"/>
          </w:tcPr>
          <w:p w14:paraId="1AFDD984" w14:textId="77777777" w:rsidR="002611CA" w:rsidRPr="000A53C0" w:rsidRDefault="002611CA" w:rsidP="00B17EDD">
            <w:pPr>
              <w:pStyle w:val="TableBody"/>
              <w:jc w:val="center"/>
              <w:rPr>
                <w:rFonts w:cs="Arial"/>
              </w:rPr>
            </w:pPr>
            <w:r w:rsidRPr="000A53C0">
              <w:rPr>
                <w:rFonts w:cs="Arial"/>
              </w:rPr>
              <w:t>$0.1</w:t>
            </w:r>
          </w:p>
        </w:tc>
        <w:tc>
          <w:tcPr>
            <w:tcW w:w="600" w:type="pct"/>
            <w:vAlign w:val="center"/>
          </w:tcPr>
          <w:p w14:paraId="178E5E4B" w14:textId="77777777" w:rsidR="002611CA" w:rsidRPr="000A53C0" w:rsidRDefault="002611CA" w:rsidP="00B17EDD">
            <w:pPr>
              <w:pStyle w:val="TableBody"/>
              <w:jc w:val="center"/>
              <w:rPr>
                <w:rFonts w:cs="Arial"/>
              </w:rPr>
            </w:pPr>
            <w:r w:rsidRPr="000A53C0">
              <w:rPr>
                <w:rFonts w:cs="Arial"/>
              </w:rPr>
              <w:t>$0.8</w:t>
            </w:r>
            <w:r w:rsidRPr="000A53C0">
              <w:rPr>
                <w:rStyle w:val="FootnoteReference"/>
                <w:rFonts w:cs="Arial"/>
              </w:rPr>
              <w:footnoteReference w:id="9"/>
            </w:r>
          </w:p>
        </w:tc>
      </w:tr>
      <w:tr w:rsidR="002611CA" w:rsidRPr="000A53C0" w14:paraId="46C58F13" w14:textId="77777777" w:rsidTr="00B17EDD">
        <w:trPr>
          <w:trHeight w:val="355"/>
        </w:trPr>
        <w:tc>
          <w:tcPr>
            <w:tcW w:w="2632" w:type="pct"/>
            <w:vAlign w:val="center"/>
          </w:tcPr>
          <w:p w14:paraId="3EE76F04" w14:textId="77777777" w:rsidR="002611CA" w:rsidRPr="000A53C0" w:rsidRDefault="002611CA" w:rsidP="00B17EDD">
            <w:pPr>
              <w:pStyle w:val="TableBody"/>
              <w:rPr>
                <w:rFonts w:cs="Arial"/>
                <w:szCs w:val="18"/>
              </w:rPr>
            </w:pPr>
            <w:r w:rsidRPr="000A53C0">
              <w:rPr>
                <w:rFonts w:cs="Arial"/>
                <w:szCs w:val="18"/>
              </w:rPr>
              <w:t xml:space="preserve">Licence renewal costs </w:t>
            </w:r>
          </w:p>
        </w:tc>
        <w:tc>
          <w:tcPr>
            <w:tcW w:w="554" w:type="pct"/>
            <w:shd w:val="clear" w:color="auto" w:fill="auto"/>
            <w:vAlign w:val="center"/>
          </w:tcPr>
          <w:p w14:paraId="4F9AB342" w14:textId="77777777" w:rsidR="002611CA" w:rsidRPr="000A53C0" w:rsidRDefault="002611CA" w:rsidP="00B17EDD">
            <w:pPr>
              <w:pStyle w:val="TableBody"/>
              <w:jc w:val="center"/>
              <w:rPr>
                <w:rFonts w:cs="Arial"/>
              </w:rPr>
            </w:pPr>
            <w:r w:rsidRPr="000A53C0">
              <w:rPr>
                <w:rFonts w:cs="Arial"/>
              </w:rPr>
              <w:t>$0.2</w:t>
            </w:r>
          </w:p>
        </w:tc>
        <w:tc>
          <w:tcPr>
            <w:tcW w:w="619" w:type="pct"/>
            <w:shd w:val="clear" w:color="auto" w:fill="auto"/>
            <w:vAlign w:val="center"/>
          </w:tcPr>
          <w:p w14:paraId="7CDBDDC3" w14:textId="77777777" w:rsidR="002611CA" w:rsidRPr="000A53C0" w:rsidRDefault="002611CA" w:rsidP="00B17EDD">
            <w:pPr>
              <w:pStyle w:val="TableBody"/>
              <w:jc w:val="center"/>
              <w:rPr>
                <w:rFonts w:cs="Arial"/>
              </w:rPr>
            </w:pPr>
            <w:r w:rsidRPr="000A53C0">
              <w:rPr>
                <w:rFonts w:cs="Arial"/>
              </w:rPr>
              <w:t>$0.2</w:t>
            </w:r>
          </w:p>
        </w:tc>
        <w:tc>
          <w:tcPr>
            <w:tcW w:w="595" w:type="pct"/>
            <w:shd w:val="clear" w:color="auto" w:fill="auto"/>
            <w:vAlign w:val="center"/>
          </w:tcPr>
          <w:p w14:paraId="19D78C89" w14:textId="77777777" w:rsidR="002611CA" w:rsidRPr="000A53C0" w:rsidRDefault="002611CA" w:rsidP="00B17EDD">
            <w:pPr>
              <w:pStyle w:val="TableBody"/>
              <w:jc w:val="center"/>
              <w:rPr>
                <w:rFonts w:cs="Arial"/>
              </w:rPr>
            </w:pPr>
            <w:r w:rsidRPr="000A53C0">
              <w:rPr>
                <w:rFonts w:cs="Arial"/>
              </w:rPr>
              <w:t>$0.1</w:t>
            </w:r>
          </w:p>
        </w:tc>
        <w:tc>
          <w:tcPr>
            <w:tcW w:w="600" w:type="pct"/>
            <w:vAlign w:val="center"/>
          </w:tcPr>
          <w:p w14:paraId="7D371FA2" w14:textId="77777777" w:rsidR="002611CA" w:rsidRPr="000A53C0" w:rsidRDefault="002611CA" w:rsidP="00B17EDD">
            <w:pPr>
              <w:pStyle w:val="TableBody"/>
              <w:jc w:val="center"/>
              <w:rPr>
                <w:rFonts w:cs="Arial"/>
              </w:rPr>
            </w:pPr>
            <w:r w:rsidRPr="000A53C0">
              <w:rPr>
                <w:rFonts w:cs="Arial"/>
              </w:rPr>
              <w:t>$0.5</w:t>
            </w:r>
          </w:p>
        </w:tc>
      </w:tr>
      <w:tr w:rsidR="002611CA" w:rsidRPr="000A53C0" w14:paraId="3DC9B3C6" w14:textId="77777777" w:rsidTr="00B17EDD">
        <w:trPr>
          <w:trHeight w:val="355"/>
        </w:trPr>
        <w:tc>
          <w:tcPr>
            <w:tcW w:w="2632" w:type="pct"/>
            <w:vAlign w:val="center"/>
          </w:tcPr>
          <w:p w14:paraId="240EA43F" w14:textId="77777777" w:rsidR="002611CA" w:rsidRPr="000A53C0" w:rsidRDefault="002611CA" w:rsidP="00B17EDD">
            <w:pPr>
              <w:pStyle w:val="TableBody"/>
              <w:rPr>
                <w:rFonts w:cs="Arial"/>
                <w:szCs w:val="18"/>
              </w:rPr>
            </w:pPr>
            <w:r w:rsidRPr="000A53C0">
              <w:rPr>
                <w:rFonts w:cs="Arial"/>
                <w:szCs w:val="18"/>
              </w:rPr>
              <w:t>Licence compliance costs (audit preparation)</w:t>
            </w:r>
          </w:p>
        </w:tc>
        <w:tc>
          <w:tcPr>
            <w:tcW w:w="554" w:type="pct"/>
            <w:shd w:val="clear" w:color="auto" w:fill="auto"/>
            <w:vAlign w:val="center"/>
          </w:tcPr>
          <w:p w14:paraId="60BFBE48" w14:textId="77777777" w:rsidR="002611CA" w:rsidRPr="000A53C0" w:rsidRDefault="002611CA" w:rsidP="00B17EDD">
            <w:pPr>
              <w:pStyle w:val="TableBody"/>
              <w:jc w:val="center"/>
              <w:rPr>
                <w:rFonts w:cs="Arial"/>
              </w:rPr>
            </w:pPr>
            <w:r w:rsidRPr="000A53C0">
              <w:rPr>
                <w:rFonts w:cs="Arial"/>
              </w:rPr>
              <w:t>$0.4</w:t>
            </w:r>
          </w:p>
        </w:tc>
        <w:tc>
          <w:tcPr>
            <w:tcW w:w="619" w:type="pct"/>
            <w:shd w:val="clear" w:color="auto" w:fill="auto"/>
            <w:vAlign w:val="center"/>
          </w:tcPr>
          <w:p w14:paraId="36F3AF3E" w14:textId="77777777" w:rsidR="002611CA" w:rsidRPr="000A53C0" w:rsidRDefault="002611CA" w:rsidP="00B17EDD">
            <w:pPr>
              <w:pStyle w:val="TableBody"/>
              <w:jc w:val="center"/>
              <w:rPr>
                <w:rFonts w:cs="Arial"/>
              </w:rPr>
            </w:pPr>
            <w:r w:rsidRPr="000A53C0">
              <w:rPr>
                <w:rFonts w:cs="Arial"/>
              </w:rPr>
              <w:t>$0.3</w:t>
            </w:r>
          </w:p>
        </w:tc>
        <w:tc>
          <w:tcPr>
            <w:tcW w:w="595" w:type="pct"/>
            <w:shd w:val="clear" w:color="auto" w:fill="auto"/>
            <w:vAlign w:val="center"/>
          </w:tcPr>
          <w:p w14:paraId="3D96A442" w14:textId="77777777" w:rsidR="002611CA" w:rsidRPr="000A53C0" w:rsidRDefault="002611CA" w:rsidP="00B17EDD">
            <w:pPr>
              <w:pStyle w:val="TableBody"/>
              <w:jc w:val="center"/>
              <w:rPr>
                <w:rFonts w:cs="Arial"/>
              </w:rPr>
            </w:pPr>
            <w:r w:rsidRPr="000A53C0">
              <w:rPr>
                <w:rFonts w:cs="Arial"/>
              </w:rPr>
              <w:t>$0.1</w:t>
            </w:r>
          </w:p>
        </w:tc>
        <w:tc>
          <w:tcPr>
            <w:tcW w:w="600" w:type="pct"/>
            <w:vAlign w:val="center"/>
          </w:tcPr>
          <w:p w14:paraId="57283D6F" w14:textId="77777777" w:rsidR="002611CA" w:rsidRPr="000A53C0" w:rsidRDefault="002611CA" w:rsidP="00B17EDD">
            <w:pPr>
              <w:pStyle w:val="TableBody"/>
              <w:jc w:val="center"/>
              <w:rPr>
                <w:rFonts w:cs="Arial"/>
              </w:rPr>
            </w:pPr>
            <w:r w:rsidRPr="000A53C0">
              <w:rPr>
                <w:rFonts w:cs="Arial"/>
              </w:rPr>
              <w:t>$0.8</w:t>
            </w:r>
          </w:p>
        </w:tc>
      </w:tr>
      <w:tr w:rsidR="002611CA" w:rsidRPr="000A53C0" w14:paraId="1256A778" w14:textId="77777777" w:rsidTr="00B17EDD">
        <w:trPr>
          <w:trHeight w:val="355"/>
        </w:trPr>
        <w:tc>
          <w:tcPr>
            <w:tcW w:w="2632" w:type="pct"/>
            <w:shd w:val="clear" w:color="auto" w:fill="D9D9D9" w:themeFill="background1" w:themeFillShade="D9"/>
            <w:vAlign w:val="center"/>
          </w:tcPr>
          <w:p w14:paraId="7E0294B5" w14:textId="77777777" w:rsidR="002611CA" w:rsidRPr="000A53C0" w:rsidRDefault="002611CA" w:rsidP="00B17EDD">
            <w:pPr>
              <w:pStyle w:val="TableBody"/>
              <w:rPr>
                <w:rFonts w:cs="Arial"/>
                <w:b/>
                <w:szCs w:val="18"/>
              </w:rPr>
            </w:pPr>
            <w:r w:rsidRPr="000A53C0">
              <w:rPr>
                <w:rFonts w:cs="Arial"/>
                <w:b/>
                <w:szCs w:val="18"/>
              </w:rPr>
              <w:t>Sub-Total</w:t>
            </w:r>
          </w:p>
        </w:tc>
        <w:tc>
          <w:tcPr>
            <w:tcW w:w="554" w:type="pct"/>
            <w:shd w:val="clear" w:color="auto" w:fill="D9D9D9" w:themeFill="background1" w:themeFillShade="D9"/>
            <w:vAlign w:val="center"/>
          </w:tcPr>
          <w:p w14:paraId="440FE588" w14:textId="77777777" w:rsidR="002611CA" w:rsidRPr="000A53C0" w:rsidRDefault="002611CA" w:rsidP="00B17EDD">
            <w:pPr>
              <w:pStyle w:val="TableBody"/>
              <w:jc w:val="center"/>
              <w:rPr>
                <w:rFonts w:cs="Arial"/>
                <w:b/>
                <w:szCs w:val="18"/>
              </w:rPr>
            </w:pPr>
            <w:r w:rsidRPr="000A53C0">
              <w:rPr>
                <w:rFonts w:cs="Arial"/>
                <w:b/>
                <w:bCs/>
              </w:rPr>
              <w:t>$1.1</w:t>
            </w:r>
          </w:p>
        </w:tc>
        <w:tc>
          <w:tcPr>
            <w:tcW w:w="619" w:type="pct"/>
            <w:shd w:val="clear" w:color="auto" w:fill="D9D9D9" w:themeFill="background1" w:themeFillShade="D9"/>
            <w:vAlign w:val="center"/>
          </w:tcPr>
          <w:p w14:paraId="30E55CF6" w14:textId="77777777" w:rsidR="002611CA" w:rsidRPr="000A53C0" w:rsidRDefault="002611CA" w:rsidP="00B17EDD">
            <w:pPr>
              <w:pStyle w:val="TableBody"/>
              <w:jc w:val="center"/>
              <w:rPr>
                <w:rFonts w:cs="Arial"/>
                <w:b/>
              </w:rPr>
            </w:pPr>
            <w:r w:rsidRPr="000A53C0">
              <w:rPr>
                <w:rFonts w:cs="Arial"/>
                <w:b/>
                <w:bCs/>
              </w:rPr>
              <w:t>$1.0</w:t>
            </w:r>
          </w:p>
        </w:tc>
        <w:tc>
          <w:tcPr>
            <w:tcW w:w="595" w:type="pct"/>
            <w:shd w:val="clear" w:color="auto" w:fill="D9D9D9" w:themeFill="background1" w:themeFillShade="D9"/>
            <w:vAlign w:val="center"/>
          </w:tcPr>
          <w:p w14:paraId="6A2C18F0" w14:textId="77777777" w:rsidR="002611CA" w:rsidRPr="000A53C0" w:rsidRDefault="002611CA" w:rsidP="00B17EDD">
            <w:pPr>
              <w:pStyle w:val="TableBody"/>
              <w:jc w:val="center"/>
              <w:rPr>
                <w:rFonts w:cs="Arial"/>
                <w:b/>
              </w:rPr>
            </w:pPr>
            <w:r w:rsidRPr="000A53C0">
              <w:rPr>
                <w:rFonts w:cs="Arial"/>
                <w:b/>
                <w:bCs/>
              </w:rPr>
              <w:t>$2.0</w:t>
            </w:r>
          </w:p>
        </w:tc>
        <w:tc>
          <w:tcPr>
            <w:tcW w:w="600" w:type="pct"/>
            <w:shd w:val="clear" w:color="auto" w:fill="D9D9D9" w:themeFill="background1" w:themeFillShade="D9"/>
            <w:vAlign w:val="center"/>
          </w:tcPr>
          <w:p w14:paraId="38C5ABA5" w14:textId="77777777" w:rsidR="002611CA" w:rsidRPr="000A53C0" w:rsidRDefault="002611CA" w:rsidP="00B17EDD">
            <w:pPr>
              <w:pStyle w:val="TableBody"/>
              <w:jc w:val="center"/>
              <w:rPr>
                <w:rFonts w:cs="Arial"/>
                <w:b/>
              </w:rPr>
            </w:pPr>
            <w:r w:rsidRPr="000A53C0">
              <w:rPr>
                <w:rFonts w:cs="Arial"/>
                <w:b/>
                <w:bCs/>
              </w:rPr>
              <w:t>$4.2</w:t>
            </w:r>
          </w:p>
        </w:tc>
      </w:tr>
      <w:tr w:rsidR="002611CA" w:rsidRPr="000A53C0" w14:paraId="7E7E1057" w14:textId="77777777" w:rsidTr="00B17EDD">
        <w:trPr>
          <w:trHeight w:val="355"/>
        </w:trPr>
        <w:tc>
          <w:tcPr>
            <w:tcW w:w="2632" w:type="pct"/>
            <w:shd w:val="clear" w:color="auto" w:fill="F9C3C5" w:themeFill="accent6" w:themeFillTint="33"/>
            <w:vAlign w:val="center"/>
          </w:tcPr>
          <w:p w14:paraId="216367DC" w14:textId="77777777" w:rsidR="002611CA" w:rsidRPr="000A53C0" w:rsidRDefault="002611CA">
            <w:pPr>
              <w:pStyle w:val="TableBody"/>
              <w:rPr>
                <w:rFonts w:cs="Arial"/>
                <w:b/>
                <w:szCs w:val="18"/>
              </w:rPr>
            </w:pPr>
            <w:r w:rsidRPr="000A53C0">
              <w:rPr>
                <w:rFonts w:cs="Arial"/>
                <w:b/>
                <w:szCs w:val="18"/>
              </w:rPr>
              <w:t>Other industry PCBUs</w:t>
            </w:r>
          </w:p>
        </w:tc>
        <w:tc>
          <w:tcPr>
            <w:tcW w:w="554" w:type="pct"/>
            <w:shd w:val="clear" w:color="auto" w:fill="F9C3C5" w:themeFill="accent6" w:themeFillTint="33"/>
            <w:vAlign w:val="center"/>
          </w:tcPr>
          <w:p w14:paraId="7D941E69" w14:textId="77777777" w:rsidR="002611CA" w:rsidRPr="000A53C0" w:rsidRDefault="002611CA">
            <w:pPr>
              <w:pStyle w:val="TableBody"/>
              <w:jc w:val="center"/>
              <w:rPr>
                <w:rFonts w:cs="Arial"/>
                <w:szCs w:val="18"/>
              </w:rPr>
            </w:pPr>
            <w:r w:rsidRPr="000A53C0">
              <w:rPr>
                <w:rFonts w:cs="Arial"/>
                <w:b/>
              </w:rPr>
              <w:t>Sole traders</w:t>
            </w:r>
          </w:p>
        </w:tc>
        <w:tc>
          <w:tcPr>
            <w:tcW w:w="619" w:type="pct"/>
            <w:shd w:val="clear" w:color="auto" w:fill="F9C3C5" w:themeFill="accent6" w:themeFillTint="33"/>
            <w:vAlign w:val="center"/>
          </w:tcPr>
          <w:p w14:paraId="365FAAE4" w14:textId="77777777" w:rsidR="002611CA" w:rsidRPr="000A53C0" w:rsidRDefault="002611CA">
            <w:pPr>
              <w:pStyle w:val="TableBody"/>
              <w:jc w:val="center"/>
              <w:rPr>
                <w:rFonts w:cs="Arial"/>
                <w:szCs w:val="18"/>
              </w:rPr>
            </w:pPr>
            <w:r w:rsidRPr="000A53C0">
              <w:rPr>
                <w:rFonts w:cs="Arial"/>
                <w:b/>
              </w:rPr>
              <w:t>Small</w:t>
            </w:r>
          </w:p>
        </w:tc>
        <w:tc>
          <w:tcPr>
            <w:tcW w:w="595" w:type="pct"/>
            <w:shd w:val="clear" w:color="auto" w:fill="F9C3C5" w:themeFill="accent6" w:themeFillTint="33"/>
            <w:vAlign w:val="center"/>
          </w:tcPr>
          <w:p w14:paraId="0F2BB357" w14:textId="77777777" w:rsidR="002611CA" w:rsidRPr="000A53C0" w:rsidRDefault="002611CA">
            <w:pPr>
              <w:pStyle w:val="TableBody"/>
              <w:jc w:val="center"/>
              <w:rPr>
                <w:rFonts w:cs="Arial"/>
                <w:szCs w:val="18"/>
              </w:rPr>
            </w:pPr>
            <w:r w:rsidRPr="000A53C0">
              <w:rPr>
                <w:rFonts w:cs="Arial"/>
                <w:b/>
              </w:rPr>
              <w:t>Medium-Large</w:t>
            </w:r>
          </w:p>
        </w:tc>
        <w:tc>
          <w:tcPr>
            <w:tcW w:w="600" w:type="pct"/>
            <w:shd w:val="clear" w:color="auto" w:fill="F9C3C5" w:themeFill="accent6" w:themeFillTint="33"/>
            <w:vAlign w:val="center"/>
          </w:tcPr>
          <w:p w14:paraId="1A8BC129" w14:textId="77777777" w:rsidR="002611CA" w:rsidRPr="000A53C0" w:rsidRDefault="002611CA">
            <w:pPr>
              <w:pStyle w:val="TableBody"/>
              <w:jc w:val="center"/>
              <w:rPr>
                <w:rFonts w:cs="Arial"/>
              </w:rPr>
            </w:pPr>
            <w:r w:rsidRPr="000A53C0">
              <w:rPr>
                <w:rFonts w:cs="Arial"/>
                <w:b/>
              </w:rPr>
              <w:t>Total</w:t>
            </w:r>
          </w:p>
        </w:tc>
      </w:tr>
      <w:tr w:rsidR="002611CA" w:rsidRPr="000A53C0" w14:paraId="2E4814DE" w14:textId="77777777" w:rsidTr="00B17EDD">
        <w:trPr>
          <w:trHeight w:val="355"/>
        </w:trPr>
        <w:tc>
          <w:tcPr>
            <w:tcW w:w="2632" w:type="pct"/>
            <w:shd w:val="clear" w:color="auto" w:fill="F2F2F2" w:themeFill="background1" w:themeFillShade="F2"/>
            <w:vAlign w:val="center"/>
          </w:tcPr>
          <w:p w14:paraId="4545E0A0" w14:textId="0B6158D4" w:rsidR="002611CA" w:rsidRPr="000A53C0" w:rsidRDefault="002611CA" w:rsidP="00B17EDD">
            <w:pPr>
              <w:pStyle w:val="TableBody"/>
              <w:rPr>
                <w:rFonts w:cs="Arial"/>
                <w:b/>
                <w:szCs w:val="18"/>
              </w:rPr>
            </w:pPr>
            <w:r w:rsidRPr="000A53C0">
              <w:rPr>
                <w:rFonts w:cs="Arial"/>
                <w:b/>
                <w:szCs w:val="18"/>
              </w:rPr>
              <w:t xml:space="preserve">Licensing framework for </w:t>
            </w:r>
            <w:r w:rsidR="00F52418" w:rsidRPr="000A53C0">
              <w:rPr>
                <w:rFonts w:cs="Arial"/>
                <w:b/>
                <w:szCs w:val="18"/>
              </w:rPr>
              <w:t xml:space="preserve">work with </w:t>
            </w:r>
            <w:r w:rsidRPr="000A53C0">
              <w:rPr>
                <w:rFonts w:cs="Arial"/>
                <w:b/>
                <w:szCs w:val="18"/>
              </w:rPr>
              <w:t>legacy products</w:t>
            </w:r>
          </w:p>
        </w:tc>
        <w:tc>
          <w:tcPr>
            <w:tcW w:w="554" w:type="pct"/>
            <w:shd w:val="clear" w:color="auto" w:fill="F2F2F2" w:themeFill="background1" w:themeFillShade="F2"/>
          </w:tcPr>
          <w:p w14:paraId="24C74041" w14:textId="77777777" w:rsidR="002611CA" w:rsidRPr="000A53C0" w:rsidRDefault="002611CA">
            <w:pPr>
              <w:pStyle w:val="TableBody"/>
              <w:jc w:val="center"/>
              <w:rPr>
                <w:rFonts w:cs="Arial"/>
              </w:rPr>
            </w:pPr>
          </w:p>
        </w:tc>
        <w:tc>
          <w:tcPr>
            <w:tcW w:w="619" w:type="pct"/>
            <w:shd w:val="clear" w:color="auto" w:fill="F2F2F2" w:themeFill="background1" w:themeFillShade="F2"/>
          </w:tcPr>
          <w:p w14:paraId="0AF8C732" w14:textId="77777777" w:rsidR="002611CA" w:rsidRPr="000A53C0" w:rsidRDefault="002611CA">
            <w:pPr>
              <w:pStyle w:val="TableBody"/>
              <w:jc w:val="center"/>
              <w:rPr>
                <w:rFonts w:cs="Arial"/>
              </w:rPr>
            </w:pPr>
          </w:p>
        </w:tc>
        <w:tc>
          <w:tcPr>
            <w:tcW w:w="595" w:type="pct"/>
            <w:shd w:val="clear" w:color="auto" w:fill="F2F2F2" w:themeFill="background1" w:themeFillShade="F2"/>
          </w:tcPr>
          <w:p w14:paraId="04FE8AE1" w14:textId="77777777" w:rsidR="002611CA" w:rsidRPr="000A53C0" w:rsidRDefault="002611CA">
            <w:pPr>
              <w:pStyle w:val="TableBody"/>
              <w:jc w:val="center"/>
              <w:rPr>
                <w:rFonts w:cs="Arial"/>
              </w:rPr>
            </w:pPr>
          </w:p>
        </w:tc>
        <w:tc>
          <w:tcPr>
            <w:tcW w:w="600" w:type="pct"/>
            <w:shd w:val="clear" w:color="auto" w:fill="F2F2F2" w:themeFill="background1" w:themeFillShade="F2"/>
          </w:tcPr>
          <w:p w14:paraId="342298AE" w14:textId="77777777" w:rsidR="002611CA" w:rsidRPr="000A53C0" w:rsidRDefault="002611CA">
            <w:pPr>
              <w:pStyle w:val="TableBody"/>
              <w:jc w:val="center"/>
              <w:rPr>
                <w:rFonts w:cs="Arial"/>
              </w:rPr>
            </w:pPr>
          </w:p>
        </w:tc>
      </w:tr>
      <w:tr w:rsidR="002611CA" w:rsidRPr="000A53C0" w14:paraId="113AF507" w14:textId="77777777" w:rsidTr="00B17EDD">
        <w:trPr>
          <w:trHeight w:val="355"/>
        </w:trPr>
        <w:tc>
          <w:tcPr>
            <w:tcW w:w="2632" w:type="pct"/>
            <w:vAlign w:val="center"/>
          </w:tcPr>
          <w:p w14:paraId="1E555155" w14:textId="77777777" w:rsidR="002611CA" w:rsidRPr="000A53C0" w:rsidRDefault="002611CA" w:rsidP="00B17EDD">
            <w:pPr>
              <w:pStyle w:val="TableBody"/>
              <w:rPr>
                <w:rFonts w:cs="Arial"/>
                <w:szCs w:val="18"/>
              </w:rPr>
            </w:pPr>
            <w:r w:rsidRPr="000A53C0">
              <w:rPr>
                <w:rFonts w:cs="Arial"/>
                <w:szCs w:val="18"/>
              </w:rPr>
              <w:t xml:space="preserve">Licence application costs </w:t>
            </w:r>
          </w:p>
        </w:tc>
        <w:tc>
          <w:tcPr>
            <w:tcW w:w="554" w:type="pct"/>
            <w:shd w:val="clear" w:color="auto" w:fill="auto"/>
            <w:vAlign w:val="center"/>
          </w:tcPr>
          <w:p w14:paraId="4A1DE4B3" w14:textId="77777777" w:rsidR="002611CA" w:rsidRPr="000A53C0" w:rsidRDefault="002611CA" w:rsidP="00B17EDD">
            <w:pPr>
              <w:pStyle w:val="TableBody"/>
              <w:jc w:val="center"/>
              <w:rPr>
                <w:rFonts w:cs="Arial"/>
              </w:rPr>
            </w:pPr>
            <w:r w:rsidRPr="000A53C0">
              <w:rPr>
                <w:rFonts w:cs="Arial"/>
              </w:rPr>
              <w:t>$26.2</w:t>
            </w:r>
          </w:p>
        </w:tc>
        <w:tc>
          <w:tcPr>
            <w:tcW w:w="619" w:type="pct"/>
            <w:shd w:val="clear" w:color="auto" w:fill="auto"/>
            <w:vAlign w:val="center"/>
          </w:tcPr>
          <w:p w14:paraId="77DB710E" w14:textId="77777777" w:rsidR="002611CA" w:rsidRPr="000A53C0" w:rsidRDefault="002611CA" w:rsidP="00B17EDD">
            <w:pPr>
              <w:pStyle w:val="TableBody"/>
              <w:jc w:val="center"/>
              <w:rPr>
                <w:rFonts w:cs="Arial"/>
              </w:rPr>
            </w:pPr>
            <w:r w:rsidRPr="000A53C0">
              <w:rPr>
                <w:rFonts w:cs="Arial"/>
              </w:rPr>
              <w:t>$24.2</w:t>
            </w:r>
          </w:p>
        </w:tc>
        <w:tc>
          <w:tcPr>
            <w:tcW w:w="595" w:type="pct"/>
            <w:shd w:val="clear" w:color="auto" w:fill="auto"/>
            <w:vAlign w:val="center"/>
          </w:tcPr>
          <w:p w14:paraId="388D119C" w14:textId="77777777" w:rsidR="002611CA" w:rsidRPr="000A53C0" w:rsidRDefault="002611CA" w:rsidP="00B17EDD">
            <w:pPr>
              <w:pStyle w:val="TableBody"/>
              <w:jc w:val="center"/>
              <w:rPr>
                <w:rFonts w:cs="Arial"/>
              </w:rPr>
            </w:pPr>
            <w:r w:rsidRPr="000A53C0">
              <w:rPr>
                <w:rFonts w:cs="Arial"/>
              </w:rPr>
              <w:t>$0.7</w:t>
            </w:r>
          </w:p>
        </w:tc>
        <w:tc>
          <w:tcPr>
            <w:tcW w:w="600" w:type="pct"/>
            <w:vAlign w:val="center"/>
          </w:tcPr>
          <w:p w14:paraId="16E95A54" w14:textId="348D5F05" w:rsidR="002611CA" w:rsidRPr="000A53C0" w:rsidRDefault="002611CA" w:rsidP="00B17EDD">
            <w:pPr>
              <w:pStyle w:val="TableBody"/>
              <w:jc w:val="center"/>
              <w:rPr>
                <w:rFonts w:cs="Arial"/>
              </w:rPr>
            </w:pPr>
            <w:r w:rsidRPr="000A53C0">
              <w:rPr>
                <w:rFonts w:cs="Arial"/>
              </w:rPr>
              <w:t>$51.</w:t>
            </w:r>
            <w:r w:rsidR="00DE4049" w:rsidRPr="000A53C0">
              <w:rPr>
                <w:rFonts w:cs="Arial"/>
              </w:rPr>
              <w:t>2</w:t>
            </w:r>
          </w:p>
        </w:tc>
      </w:tr>
      <w:tr w:rsidR="002611CA" w:rsidRPr="000A53C0" w14:paraId="63C035AF" w14:textId="77777777" w:rsidTr="00B17EDD">
        <w:trPr>
          <w:trHeight w:val="355"/>
        </w:trPr>
        <w:tc>
          <w:tcPr>
            <w:tcW w:w="2632" w:type="pct"/>
            <w:vAlign w:val="center"/>
          </w:tcPr>
          <w:p w14:paraId="1DD6BCFA" w14:textId="77777777" w:rsidR="002611CA" w:rsidRPr="000A53C0" w:rsidRDefault="002611CA" w:rsidP="00B17EDD">
            <w:pPr>
              <w:pStyle w:val="TableBody"/>
              <w:rPr>
                <w:rFonts w:cs="Arial"/>
                <w:szCs w:val="18"/>
              </w:rPr>
            </w:pPr>
            <w:r w:rsidRPr="000A53C0">
              <w:rPr>
                <w:rFonts w:cs="Arial"/>
                <w:szCs w:val="18"/>
              </w:rPr>
              <w:t xml:space="preserve">Licence renewal application costs </w:t>
            </w:r>
          </w:p>
        </w:tc>
        <w:tc>
          <w:tcPr>
            <w:tcW w:w="554" w:type="pct"/>
            <w:shd w:val="clear" w:color="auto" w:fill="auto"/>
            <w:vAlign w:val="center"/>
          </w:tcPr>
          <w:p w14:paraId="521C7579" w14:textId="77777777" w:rsidR="002611CA" w:rsidRPr="000A53C0" w:rsidRDefault="002611CA" w:rsidP="00B17EDD">
            <w:pPr>
              <w:pStyle w:val="TableBody"/>
              <w:jc w:val="center"/>
              <w:rPr>
                <w:rFonts w:cs="Arial"/>
              </w:rPr>
            </w:pPr>
            <w:r w:rsidRPr="000A53C0">
              <w:rPr>
                <w:rFonts w:cs="Arial"/>
              </w:rPr>
              <w:t>$16.0</w:t>
            </w:r>
          </w:p>
        </w:tc>
        <w:tc>
          <w:tcPr>
            <w:tcW w:w="619" w:type="pct"/>
            <w:shd w:val="clear" w:color="auto" w:fill="auto"/>
            <w:vAlign w:val="center"/>
          </w:tcPr>
          <w:p w14:paraId="28D374B5" w14:textId="77777777" w:rsidR="002611CA" w:rsidRPr="000A53C0" w:rsidRDefault="002611CA" w:rsidP="00B17EDD">
            <w:pPr>
              <w:pStyle w:val="TableBody"/>
              <w:jc w:val="center"/>
              <w:rPr>
                <w:rFonts w:cs="Arial"/>
              </w:rPr>
            </w:pPr>
            <w:r w:rsidRPr="000A53C0">
              <w:rPr>
                <w:rFonts w:cs="Arial"/>
              </w:rPr>
              <w:t>$14.8</w:t>
            </w:r>
          </w:p>
        </w:tc>
        <w:tc>
          <w:tcPr>
            <w:tcW w:w="595" w:type="pct"/>
            <w:shd w:val="clear" w:color="auto" w:fill="auto"/>
            <w:vAlign w:val="center"/>
          </w:tcPr>
          <w:p w14:paraId="5330FDBF" w14:textId="77777777" w:rsidR="002611CA" w:rsidRPr="000A53C0" w:rsidRDefault="002611CA" w:rsidP="00B17EDD">
            <w:pPr>
              <w:pStyle w:val="TableBody"/>
              <w:jc w:val="center"/>
              <w:rPr>
                <w:rFonts w:cs="Arial"/>
              </w:rPr>
            </w:pPr>
            <w:r w:rsidRPr="000A53C0">
              <w:rPr>
                <w:rFonts w:cs="Arial"/>
              </w:rPr>
              <w:t>$0.4</w:t>
            </w:r>
          </w:p>
        </w:tc>
        <w:tc>
          <w:tcPr>
            <w:tcW w:w="600" w:type="pct"/>
            <w:vAlign w:val="center"/>
          </w:tcPr>
          <w:p w14:paraId="198378DB" w14:textId="77777777" w:rsidR="002611CA" w:rsidRPr="000A53C0" w:rsidRDefault="002611CA" w:rsidP="00B17EDD">
            <w:pPr>
              <w:pStyle w:val="TableBody"/>
              <w:jc w:val="center"/>
              <w:rPr>
                <w:rFonts w:cs="Arial"/>
              </w:rPr>
            </w:pPr>
            <w:r w:rsidRPr="000A53C0">
              <w:rPr>
                <w:rFonts w:cs="Arial"/>
              </w:rPr>
              <w:t>$31.2</w:t>
            </w:r>
          </w:p>
        </w:tc>
      </w:tr>
      <w:tr w:rsidR="002611CA" w:rsidRPr="000A53C0" w14:paraId="708520F0" w14:textId="77777777" w:rsidTr="00B17EDD">
        <w:trPr>
          <w:trHeight w:val="355"/>
        </w:trPr>
        <w:tc>
          <w:tcPr>
            <w:tcW w:w="2632" w:type="pct"/>
            <w:vAlign w:val="center"/>
          </w:tcPr>
          <w:p w14:paraId="5FD86964" w14:textId="77777777" w:rsidR="002611CA" w:rsidRPr="000A53C0" w:rsidRDefault="002611CA" w:rsidP="00B17EDD">
            <w:pPr>
              <w:pStyle w:val="TableBody"/>
              <w:rPr>
                <w:rFonts w:cs="Arial"/>
                <w:szCs w:val="18"/>
              </w:rPr>
            </w:pPr>
            <w:r w:rsidRPr="000A53C0">
              <w:rPr>
                <w:rFonts w:cs="Arial"/>
                <w:szCs w:val="18"/>
              </w:rPr>
              <w:t xml:space="preserve">Licence compliance costs (audit preparation) </w:t>
            </w:r>
          </w:p>
        </w:tc>
        <w:tc>
          <w:tcPr>
            <w:tcW w:w="554" w:type="pct"/>
            <w:shd w:val="clear" w:color="auto" w:fill="auto"/>
            <w:vAlign w:val="center"/>
          </w:tcPr>
          <w:p w14:paraId="0C5013F9" w14:textId="77777777" w:rsidR="002611CA" w:rsidRPr="000A53C0" w:rsidRDefault="002611CA" w:rsidP="00B17EDD">
            <w:pPr>
              <w:pStyle w:val="TableBody"/>
              <w:jc w:val="center"/>
              <w:rPr>
                <w:rFonts w:cs="Arial"/>
              </w:rPr>
            </w:pPr>
            <w:r w:rsidRPr="000A53C0">
              <w:rPr>
                <w:rFonts w:cs="Arial"/>
              </w:rPr>
              <w:t>$25.9</w:t>
            </w:r>
          </w:p>
        </w:tc>
        <w:tc>
          <w:tcPr>
            <w:tcW w:w="619" w:type="pct"/>
            <w:shd w:val="clear" w:color="auto" w:fill="auto"/>
            <w:vAlign w:val="center"/>
          </w:tcPr>
          <w:p w14:paraId="771AE77C" w14:textId="77777777" w:rsidR="002611CA" w:rsidRPr="000A53C0" w:rsidRDefault="002611CA" w:rsidP="00B17EDD">
            <w:pPr>
              <w:pStyle w:val="TableBody"/>
              <w:jc w:val="center"/>
              <w:rPr>
                <w:rFonts w:cs="Arial"/>
              </w:rPr>
            </w:pPr>
            <w:r w:rsidRPr="000A53C0">
              <w:rPr>
                <w:rFonts w:cs="Arial"/>
              </w:rPr>
              <w:t>$24.0</w:t>
            </w:r>
          </w:p>
        </w:tc>
        <w:tc>
          <w:tcPr>
            <w:tcW w:w="595" w:type="pct"/>
            <w:shd w:val="clear" w:color="auto" w:fill="auto"/>
            <w:vAlign w:val="center"/>
          </w:tcPr>
          <w:p w14:paraId="5E2F6A72" w14:textId="77777777" w:rsidR="002611CA" w:rsidRPr="000A53C0" w:rsidRDefault="002611CA" w:rsidP="00B17EDD">
            <w:pPr>
              <w:pStyle w:val="TableBody"/>
              <w:jc w:val="center"/>
              <w:rPr>
                <w:rFonts w:cs="Arial"/>
              </w:rPr>
            </w:pPr>
            <w:r w:rsidRPr="000A53C0">
              <w:rPr>
                <w:rFonts w:cs="Arial"/>
              </w:rPr>
              <w:t>$0.7</w:t>
            </w:r>
          </w:p>
        </w:tc>
        <w:tc>
          <w:tcPr>
            <w:tcW w:w="600" w:type="pct"/>
            <w:vAlign w:val="center"/>
          </w:tcPr>
          <w:p w14:paraId="5C136E8E" w14:textId="77777777" w:rsidR="002611CA" w:rsidRPr="000A53C0" w:rsidRDefault="002611CA" w:rsidP="00B17EDD">
            <w:pPr>
              <w:pStyle w:val="TableBody"/>
              <w:jc w:val="center"/>
              <w:rPr>
                <w:rFonts w:cs="Arial"/>
              </w:rPr>
            </w:pPr>
            <w:r w:rsidRPr="000A53C0">
              <w:rPr>
                <w:rFonts w:cs="Arial"/>
              </w:rPr>
              <w:t>$50.6</w:t>
            </w:r>
          </w:p>
        </w:tc>
      </w:tr>
      <w:tr w:rsidR="002611CA" w:rsidRPr="000A53C0" w14:paraId="69680CDF" w14:textId="77777777" w:rsidTr="00B17EDD">
        <w:trPr>
          <w:trHeight w:val="355"/>
        </w:trPr>
        <w:tc>
          <w:tcPr>
            <w:tcW w:w="2632" w:type="pct"/>
            <w:shd w:val="clear" w:color="auto" w:fill="D1D1D1" w:themeFill="background2"/>
            <w:vAlign w:val="center"/>
          </w:tcPr>
          <w:p w14:paraId="3E4D91D8" w14:textId="77777777" w:rsidR="002611CA" w:rsidRPr="000A53C0" w:rsidRDefault="002611CA" w:rsidP="00B17EDD">
            <w:pPr>
              <w:pStyle w:val="TableBody"/>
              <w:rPr>
                <w:rFonts w:cs="Arial"/>
                <w:szCs w:val="18"/>
              </w:rPr>
            </w:pPr>
            <w:r w:rsidRPr="000A53C0">
              <w:rPr>
                <w:rFonts w:cs="Arial"/>
                <w:b/>
                <w:szCs w:val="18"/>
              </w:rPr>
              <w:t>Sub-Total</w:t>
            </w:r>
          </w:p>
        </w:tc>
        <w:tc>
          <w:tcPr>
            <w:tcW w:w="554" w:type="pct"/>
            <w:shd w:val="clear" w:color="auto" w:fill="D1D1D1" w:themeFill="background2"/>
            <w:vAlign w:val="center"/>
          </w:tcPr>
          <w:p w14:paraId="40E0F2A5" w14:textId="77777777" w:rsidR="002611CA" w:rsidRPr="000A53C0" w:rsidRDefault="002611CA" w:rsidP="00B17EDD">
            <w:pPr>
              <w:pStyle w:val="TableBody"/>
              <w:jc w:val="center"/>
              <w:rPr>
                <w:rFonts w:cs="Arial"/>
                <w:b/>
              </w:rPr>
            </w:pPr>
            <w:r w:rsidRPr="000A53C0">
              <w:rPr>
                <w:rFonts w:cs="Arial"/>
                <w:b/>
                <w:bCs/>
              </w:rPr>
              <w:t>$68.1</w:t>
            </w:r>
          </w:p>
        </w:tc>
        <w:tc>
          <w:tcPr>
            <w:tcW w:w="619" w:type="pct"/>
            <w:shd w:val="clear" w:color="auto" w:fill="D1D1D1" w:themeFill="background2"/>
            <w:vAlign w:val="center"/>
          </w:tcPr>
          <w:p w14:paraId="10C9825B" w14:textId="77777777" w:rsidR="002611CA" w:rsidRPr="000A53C0" w:rsidRDefault="002611CA" w:rsidP="00B17EDD">
            <w:pPr>
              <w:pStyle w:val="TableBody"/>
              <w:jc w:val="center"/>
              <w:rPr>
                <w:rFonts w:cs="Arial"/>
                <w:b/>
              </w:rPr>
            </w:pPr>
            <w:r w:rsidRPr="000A53C0">
              <w:rPr>
                <w:rFonts w:cs="Arial"/>
                <w:b/>
                <w:bCs/>
              </w:rPr>
              <w:t>$63.0</w:t>
            </w:r>
          </w:p>
        </w:tc>
        <w:tc>
          <w:tcPr>
            <w:tcW w:w="595" w:type="pct"/>
            <w:shd w:val="clear" w:color="auto" w:fill="D1D1D1" w:themeFill="background2"/>
            <w:vAlign w:val="center"/>
          </w:tcPr>
          <w:p w14:paraId="1D9A8B71" w14:textId="77777777" w:rsidR="002611CA" w:rsidRPr="000A53C0" w:rsidRDefault="002611CA" w:rsidP="00B17EDD">
            <w:pPr>
              <w:pStyle w:val="TableBody"/>
              <w:jc w:val="center"/>
              <w:rPr>
                <w:rFonts w:cs="Arial"/>
                <w:b/>
              </w:rPr>
            </w:pPr>
            <w:r w:rsidRPr="000A53C0">
              <w:rPr>
                <w:rFonts w:cs="Arial"/>
                <w:b/>
                <w:bCs/>
              </w:rPr>
              <w:t>$1.8</w:t>
            </w:r>
          </w:p>
        </w:tc>
        <w:tc>
          <w:tcPr>
            <w:tcW w:w="600" w:type="pct"/>
            <w:shd w:val="clear" w:color="auto" w:fill="D1D1D1" w:themeFill="background2"/>
            <w:vAlign w:val="center"/>
          </w:tcPr>
          <w:p w14:paraId="4CE4323C" w14:textId="0A3A965A" w:rsidR="002611CA" w:rsidRPr="000A53C0" w:rsidRDefault="002611CA" w:rsidP="00B17EDD">
            <w:pPr>
              <w:pStyle w:val="TableBody"/>
              <w:jc w:val="center"/>
              <w:rPr>
                <w:rFonts w:cs="Arial"/>
                <w:b/>
              </w:rPr>
            </w:pPr>
            <w:r w:rsidRPr="000A53C0">
              <w:rPr>
                <w:rFonts w:cs="Arial"/>
                <w:b/>
              </w:rPr>
              <w:t>$</w:t>
            </w:r>
            <w:r w:rsidR="00DE4049" w:rsidRPr="000A53C0">
              <w:rPr>
                <w:rFonts w:cs="Arial"/>
                <w:b/>
              </w:rPr>
              <w:t>133.0</w:t>
            </w:r>
          </w:p>
        </w:tc>
      </w:tr>
      <w:tr w:rsidR="002611CA" w:rsidRPr="000A53C0" w14:paraId="54273855" w14:textId="77777777" w:rsidTr="00B17EDD">
        <w:trPr>
          <w:trHeight w:val="355"/>
        </w:trPr>
        <w:tc>
          <w:tcPr>
            <w:tcW w:w="2632" w:type="pct"/>
            <w:shd w:val="clear" w:color="auto" w:fill="D1D1D1" w:themeFill="background2"/>
            <w:vAlign w:val="center"/>
          </w:tcPr>
          <w:p w14:paraId="57C2C87D" w14:textId="77777777" w:rsidR="002611CA" w:rsidRPr="000A53C0" w:rsidRDefault="002611CA" w:rsidP="00B17EDD">
            <w:pPr>
              <w:pStyle w:val="TableBody"/>
              <w:rPr>
                <w:rFonts w:cs="Arial"/>
                <w:b/>
                <w:szCs w:val="18"/>
              </w:rPr>
            </w:pPr>
            <w:r w:rsidRPr="000A53C0">
              <w:rPr>
                <w:rFonts w:cs="Arial"/>
                <w:b/>
                <w:szCs w:val="18"/>
              </w:rPr>
              <w:t>Total</w:t>
            </w:r>
          </w:p>
        </w:tc>
        <w:tc>
          <w:tcPr>
            <w:tcW w:w="554" w:type="pct"/>
            <w:shd w:val="clear" w:color="auto" w:fill="D1D1D1" w:themeFill="background2"/>
            <w:vAlign w:val="center"/>
          </w:tcPr>
          <w:p w14:paraId="66923874" w14:textId="77777777" w:rsidR="002611CA" w:rsidRPr="000A53C0" w:rsidRDefault="002611CA" w:rsidP="00B17EDD">
            <w:pPr>
              <w:pStyle w:val="TableBody"/>
              <w:jc w:val="center"/>
              <w:rPr>
                <w:rFonts w:cs="Arial"/>
                <w:b/>
              </w:rPr>
            </w:pPr>
            <w:r w:rsidRPr="000A53C0">
              <w:rPr>
                <w:rFonts w:cs="Arial"/>
                <w:b/>
                <w:bCs/>
              </w:rPr>
              <w:t>$69.3</w:t>
            </w:r>
          </w:p>
        </w:tc>
        <w:tc>
          <w:tcPr>
            <w:tcW w:w="619" w:type="pct"/>
            <w:shd w:val="clear" w:color="auto" w:fill="D1D1D1" w:themeFill="background2"/>
            <w:vAlign w:val="center"/>
          </w:tcPr>
          <w:p w14:paraId="128C9A34" w14:textId="77777777" w:rsidR="002611CA" w:rsidRPr="000A53C0" w:rsidRDefault="002611CA" w:rsidP="00B17EDD">
            <w:pPr>
              <w:pStyle w:val="TableBody"/>
              <w:jc w:val="center"/>
              <w:rPr>
                <w:rFonts w:cs="Arial"/>
                <w:b/>
              </w:rPr>
            </w:pPr>
            <w:r w:rsidRPr="000A53C0">
              <w:rPr>
                <w:rFonts w:cs="Arial"/>
                <w:b/>
                <w:bCs/>
              </w:rPr>
              <w:t>$64.0</w:t>
            </w:r>
          </w:p>
        </w:tc>
        <w:tc>
          <w:tcPr>
            <w:tcW w:w="595" w:type="pct"/>
            <w:shd w:val="clear" w:color="auto" w:fill="D1D1D1" w:themeFill="background2"/>
            <w:vAlign w:val="center"/>
          </w:tcPr>
          <w:p w14:paraId="37046B1F" w14:textId="77777777" w:rsidR="002611CA" w:rsidRPr="000A53C0" w:rsidRDefault="002611CA" w:rsidP="00B17EDD">
            <w:pPr>
              <w:pStyle w:val="TableBody"/>
              <w:jc w:val="center"/>
              <w:rPr>
                <w:rFonts w:cs="Arial"/>
                <w:b/>
              </w:rPr>
            </w:pPr>
            <w:r w:rsidRPr="000A53C0">
              <w:rPr>
                <w:rFonts w:cs="Arial"/>
                <w:b/>
                <w:bCs/>
              </w:rPr>
              <w:t>$3.8</w:t>
            </w:r>
          </w:p>
        </w:tc>
        <w:tc>
          <w:tcPr>
            <w:tcW w:w="600" w:type="pct"/>
            <w:shd w:val="clear" w:color="auto" w:fill="D1D1D1" w:themeFill="background2"/>
            <w:vAlign w:val="center"/>
          </w:tcPr>
          <w:p w14:paraId="3F8E60E0" w14:textId="77777777" w:rsidR="002611CA" w:rsidRPr="000A53C0" w:rsidRDefault="002611CA" w:rsidP="00B17EDD">
            <w:pPr>
              <w:pStyle w:val="TableBody"/>
              <w:jc w:val="center"/>
              <w:rPr>
                <w:rFonts w:cs="Arial"/>
                <w:b/>
              </w:rPr>
            </w:pPr>
            <w:r w:rsidRPr="000A53C0">
              <w:rPr>
                <w:rFonts w:cs="Arial"/>
                <w:b/>
              </w:rPr>
              <w:t>$137</w:t>
            </w:r>
            <w:r w:rsidRPr="000A53C0">
              <w:rPr>
                <w:rFonts w:cs="Arial"/>
                <w:b/>
                <w:bCs/>
              </w:rPr>
              <w:t>.1</w:t>
            </w:r>
          </w:p>
        </w:tc>
      </w:tr>
    </w:tbl>
    <w:p w14:paraId="7FA8EF3D" w14:textId="77777777" w:rsidR="002611CA" w:rsidRPr="000A53C0" w:rsidRDefault="002611CA" w:rsidP="002611CA">
      <w:pPr>
        <w:pStyle w:val="BodyText"/>
        <w:rPr>
          <w:rFonts w:cs="Arial"/>
        </w:rPr>
      </w:pPr>
    </w:p>
    <w:p w14:paraId="0EEEF99D" w14:textId="6B55E908" w:rsidR="002611CA" w:rsidRPr="000A53C0" w:rsidRDefault="002611CA" w:rsidP="003B5178">
      <w:pPr>
        <w:pStyle w:val="Heading4numbered"/>
      </w:pPr>
      <w:r w:rsidRPr="000A53C0">
        <w:lastRenderedPageBreak/>
        <w:t>Engineered stone PCBUs</w:t>
      </w:r>
    </w:p>
    <w:p w14:paraId="00EAB8A8" w14:textId="77777777" w:rsidR="002611CA" w:rsidRPr="000A53C0" w:rsidRDefault="002611CA" w:rsidP="006843D7">
      <w:pPr>
        <w:pStyle w:val="Heading5"/>
      </w:pPr>
      <w:r w:rsidRPr="000A53C0">
        <w:t>Costs associated with business closure</w:t>
      </w:r>
    </w:p>
    <w:p w14:paraId="47BAB67C" w14:textId="2C5E7734" w:rsidR="002611CA" w:rsidRPr="000A53C0" w:rsidRDefault="002611CA" w:rsidP="002611CA">
      <w:pPr>
        <w:pStyle w:val="BodyText"/>
        <w:rPr>
          <w:rFonts w:cs="Arial"/>
        </w:rPr>
      </w:pPr>
      <w:r w:rsidRPr="000A53C0">
        <w:rPr>
          <w:rFonts w:cs="Arial"/>
        </w:rPr>
        <w:t xml:space="preserve">Under Option 3, it is assumed that 5% of sole traders (22), 5% of small businesses (21) and 2% of medium businesses (3) would exit the industry due to the additional regulatory burden associated with licence requirements to work with lower silica stone. The total number of business closures </w:t>
      </w:r>
      <w:r w:rsidR="00DD10F0" w:rsidRPr="000A53C0">
        <w:rPr>
          <w:rFonts w:cs="Arial"/>
        </w:rPr>
        <w:t>are</w:t>
      </w:r>
      <w:r w:rsidRPr="000A53C0">
        <w:rPr>
          <w:rFonts w:cs="Arial"/>
        </w:rPr>
        <w:t xml:space="preserve"> assumed to be lower than that modelled for Option 1, given Option 3 would not prohibit </w:t>
      </w:r>
      <w:r w:rsidR="00DD10F0" w:rsidRPr="000A53C0">
        <w:rPr>
          <w:rFonts w:cs="Arial"/>
        </w:rPr>
        <w:t xml:space="preserve">all </w:t>
      </w:r>
      <w:r w:rsidRPr="000A53C0">
        <w:rPr>
          <w:rFonts w:cs="Arial"/>
        </w:rPr>
        <w:t>engineered stone, and closures are attributed to the regulatory burden of the licensing scheme rather than an inability to work with engineered stone.</w:t>
      </w:r>
    </w:p>
    <w:p w14:paraId="60F78864" w14:textId="4FE13F95" w:rsidR="002611CA" w:rsidRPr="000A53C0" w:rsidRDefault="002611CA" w:rsidP="006843D7">
      <w:pPr>
        <w:pStyle w:val="Heading5"/>
      </w:pPr>
      <w:r w:rsidRPr="000A53C0">
        <w:t>Costs associated with switching to non-stone products</w:t>
      </w:r>
    </w:p>
    <w:p w14:paraId="1338455D" w14:textId="3AB7C03E" w:rsidR="002611CA" w:rsidRPr="000A53C0" w:rsidRDefault="002611CA" w:rsidP="002611CA">
      <w:pPr>
        <w:pStyle w:val="CommentText"/>
        <w:rPr>
          <w:rFonts w:cs="Arial"/>
        </w:rPr>
      </w:pPr>
      <w:r w:rsidRPr="000A53C0">
        <w:rPr>
          <w:rFonts w:cs="Arial"/>
        </w:rPr>
        <w:t xml:space="preserve">As per Option 2, PCBUs are not expected to need to switch to non-stone products under Option 3, as engineered stone suppliers have indicated they expect to be able to meet market demand for lower silica </w:t>
      </w:r>
      <w:r w:rsidR="00AC1710" w:rsidRPr="000A53C0">
        <w:rPr>
          <w:rFonts w:cs="Arial"/>
        </w:rPr>
        <w:t xml:space="preserve">engineered </w:t>
      </w:r>
      <w:r w:rsidRPr="000A53C0">
        <w:rPr>
          <w:rFonts w:cs="Arial"/>
        </w:rPr>
        <w:t xml:space="preserve">stone by mid-2024. </w:t>
      </w:r>
    </w:p>
    <w:p w14:paraId="70C9BCE0" w14:textId="6EE5CAA0" w:rsidR="002611CA" w:rsidRPr="000A53C0" w:rsidRDefault="002611CA" w:rsidP="003B5178">
      <w:pPr>
        <w:pStyle w:val="Heading4numbered"/>
      </w:pPr>
      <w:r w:rsidRPr="000A53C0">
        <w:t>Other industry PCBUs</w:t>
      </w:r>
    </w:p>
    <w:p w14:paraId="065FD125" w14:textId="733F8AB7" w:rsidR="002611CA" w:rsidRPr="000A53C0" w:rsidRDefault="002611CA" w:rsidP="002611CA">
      <w:pPr>
        <w:rPr>
          <w:rFonts w:cs="Arial"/>
          <w:color w:val="262626" w:themeColor="text1" w:themeTint="D9"/>
        </w:rPr>
      </w:pPr>
      <w:r w:rsidRPr="000A53C0">
        <w:rPr>
          <w:rFonts w:cs="Arial"/>
          <w:color w:val="262626" w:themeColor="text1" w:themeTint="D9"/>
        </w:rPr>
        <w:t xml:space="preserve">The legacy licencing costs to other industry PCBUs </w:t>
      </w:r>
      <w:r w:rsidR="00B71F54" w:rsidRPr="000A53C0">
        <w:rPr>
          <w:rFonts w:cs="Arial"/>
          <w:color w:val="262626" w:themeColor="text1" w:themeTint="D9"/>
        </w:rPr>
        <w:t xml:space="preserve">($133 million) </w:t>
      </w:r>
      <w:r w:rsidRPr="000A53C0">
        <w:rPr>
          <w:rFonts w:cs="Arial"/>
          <w:color w:val="262626" w:themeColor="text1" w:themeTint="D9"/>
        </w:rPr>
        <w:t xml:space="preserve">are consistent with those described for Option 1 </w:t>
      </w:r>
      <w:r w:rsidR="007608F8" w:rsidRPr="000A53C0">
        <w:rPr>
          <w:rFonts w:cs="Arial"/>
          <w:color w:val="262626" w:themeColor="text1" w:themeTint="D9"/>
        </w:rPr>
        <w:t xml:space="preserve">(see Section </w:t>
      </w:r>
      <w:r w:rsidR="00E45E3F" w:rsidRPr="000A53C0">
        <w:rPr>
          <w:rFonts w:cs="Arial"/>
          <w:color w:val="262626" w:themeColor="text1" w:themeTint="D9"/>
        </w:rPr>
        <w:t>4.3.2)</w:t>
      </w:r>
      <w:r w:rsidRPr="000A53C0">
        <w:rPr>
          <w:rFonts w:cs="Arial"/>
          <w:color w:val="262626" w:themeColor="text1" w:themeTint="D9"/>
        </w:rPr>
        <w:t xml:space="preserve">. </w:t>
      </w:r>
    </w:p>
    <w:p w14:paraId="24E71DFC" w14:textId="0E29A684" w:rsidR="002611CA" w:rsidRPr="000A53C0" w:rsidRDefault="002611CA" w:rsidP="00514CCB">
      <w:pPr>
        <w:pStyle w:val="Heading3numbered"/>
      </w:pPr>
      <w:r w:rsidRPr="000A53C0">
        <w:t>Cost to government</w:t>
      </w:r>
    </w:p>
    <w:p w14:paraId="51760019" w14:textId="12AD4FE7" w:rsidR="002611CA" w:rsidRPr="000A53C0" w:rsidRDefault="002611CA" w:rsidP="002611CA">
      <w:pPr>
        <w:pStyle w:val="BodyText"/>
        <w:rPr>
          <w:rFonts w:cs="Arial"/>
        </w:rPr>
      </w:pPr>
      <w:r w:rsidRPr="000A53C0">
        <w:rPr>
          <w:rFonts w:cs="Arial"/>
        </w:rPr>
        <w:t xml:space="preserve">Option 3 poses an estimated total cost to government of $111.1 over the appraisal period (see </w:t>
      </w:r>
      <w:r w:rsidRPr="000A53C0">
        <w:rPr>
          <w:rFonts w:cs="Arial"/>
        </w:rPr>
        <w:fldChar w:fldCharType="begin" w:fldLock="1"/>
      </w:r>
      <w:r w:rsidRPr="000A53C0">
        <w:rPr>
          <w:rFonts w:cs="Arial"/>
        </w:rPr>
        <w:instrText xml:space="preserve"> REF _Ref138334590 \h  \* MERGEFORMAT </w:instrText>
      </w:r>
      <w:r w:rsidRPr="000A53C0">
        <w:rPr>
          <w:rFonts w:cs="Arial"/>
        </w:rPr>
      </w:r>
      <w:r w:rsidRPr="000A53C0">
        <w:rPr>
          <w:rFonts w:cs="Arial"/>
        </w:rPr>
        <w:fldChar w:fldCharType="separate"/>
      </w:r>
      <w:r w:rsidR="00D16271" w:rsidRPr="00D16271">
        <w:rPr>
          <w:rFonts w:cs="Arial"/>
        </w:rPr>
        <w:t>Table 14</w:t>
      </w:r>
      <w:r w:rsidRPr="000A53C0">
        <w:rPr>
          <w:rFonts w:cs="Arial"/>
        </w:rPr>
        <w:fldChar w:fldCharType="end"/>
      </w:r>
      <w:r w:rsidRPr="000A53C0">
        <w:rPr>
          <w:rFonts w:cs="Arial"/>
        </w:rPr>
        <w:t>). These costs include:</w:t>
      </w:r>
    </w:p>
    <w:p w14:paraId="36EE97B9" w14:textId="6D56CF46" w:rsidR="002611CA" w:rsidRPr="000A53C0" w:rsidRDefault="00A14312" w:rsidP="001B44C4">
      <w:pPr>
        <w:pStyle w:val="IAListbullet2"/>
        <w:rPr>
          <w:rFonts w:cs="Arial"/>
        </w:rPr>
      </w:pPr>
      <w:r>
        <w:rPr>
          <w:rFonts w:cs="Arial"/>
          <w:b/>
        </w:rPr>
        <w:t>i</w:t>
      </w:r>
      <w:r w:rsidR="002611CA" w:rsidRPr="000A53C0">
        <w:rPr>
          <w:rFonts w:cs="Arial"/>
          <w:b/>
        </w:rPr>
        <w:t xml:space="preserve">mplementation of licensing framework for </w:t>
      </w:r>
      <w:r w:rsidR="00476F8B" w:rsidRPr="000A53C0">
        <w:rPr>
          <w:rFonts w:cs="Arial"/>
          <w:b/>
        </w:rPr>
        <w:t xml:space="preserve">work with </w:t>
      </w:r>
      <w:r w:rsidR="002611CA" w:rsidRPr="000A53C0">
        <w:rPr>
          <w:rFonts w:cs="Arial"/>
          <w:b/>
        </w:rPr>
        <w:t>legacy products</w:t>
      </w:r>
      <w:r>
        <w:rPr>
          <w:rFonts w:cs="Arial"/>
          <w:b/>
        </w:rPr>
        <w:t xml:space="preserve"> </w:t>
      </w:r>
      <w:r w:rsidR="002611CA" w:rsidRPr="000A53C0">
        <w:rPr>
          <w:rFonts w:cs="Arial"/>
        </w:rPr>
        <w:t>– as described for previous options, this amounts to $107.5 million over the appraisal period</w:t>
      </w:r>
      <w:r>
        <w:rPr>
          <w:rFonts w:cs="Arial"/>
        </w:rPr>
        <w:t>.</w:t>
      </w:r>
    </w:p>
    <w:p w14:paraId="7A3F6979" w14:textId="1B347EBE" w:rsidR="002611CA" w:rsidRPr="000A53C0" w:rsidRDefault="00A14312" w:rsidP="001B44C4">
      <w:pPr>
        <w:pStyle w:val="IAListbullet2"/>
        <w:rPr>
          <w:rFonts w:cs="Arial"/>
        </w:rPr>
      </w:pPr>
      <w:r>
        <w:rPr>
          <w:rFonts w:cs="Arial"/>
          <w:b/>
        </w:rPr>
        <w:t>p</w:t>
      </w:r>
      <w:r w:rsidR="002611CA" w:rsidRPr="000A53C0">
        <w:rPr>
          <w:rFonts w:cs="Arial"/>
          <w:b/>
        </w:rPr>
        <w:t>rovision of income and vocational training support</w:t>
      </w:r>
      <w:r w:rsidR="002611CA" w:rsidRPr="000A53C0">
        <w:rPr>
          <w:rFonts w:cs="Arial"/>
        </w:rPr>
        <w:t xml:space="preserve"> </w:t>
      </w:r>
      <w:r w:rsidR="002611CA" w:rsidRPr="000A53C0">
        <w:rPr>
          <w:rFonts w:cs="Arial"/>
          <w:b/>
        </w:rPr>
        <w:t xml:space="preserve">for displaced workers </w:t>
      </w:r>
      <w:r>
        <w:rPr>
          <w:rFonts w:cs="Arial"/>
        </w:rPr>
        <w:t>–</w:t>
      </w:r>
      <w:r w:rsidR="002611CA" w:rsidRPr="000A53C0">
        <w:rPr>
          <w:rFonts w:cs="Arial"/>
        </w:rPr>
        <w:t xml:space="preserve"> $0.3 million over the appraisal period for Jobseeker payments to displaced workers and financial incentive payments to workers and businesses for apprenticeships</w:t>
      </w:r>
      <w:r w:rsidR="00FE081D" w:rsidRPr="000A53C0">
        <w:rPr>
          <w:rFonts w:cs="Arial"/>
        </w:rPr>
        <w:t>, and</w:t>
      </w:r>
    </w:p>
    <w:p w14:paraId="6DBE3BEB" w14:textId="774C75A2" w:rsidR="002611CA" w:rsidRPr="000A53C0" w:rsidRDefault="00C47EFF" w:rsidP="001B44C4">
      <w:pPr>
        <w:pStyle w:val="IAListbullet2"/>
        <w:rPr>
          <w:rFonts w:cs="Arial"/>
        </w:rPr>
      </w:pPr>
      <w:r>
        <w:rPr>
          <w:rFonts w:cs="Arial"/>
          <w:b/>
        </w:rPr>
        <w:t>i</w:t>
      </w:r>
      <w:r w:rsidR="002611CA" w:rsidRPr="000A53C0">
        <w:rPr>
          <w:rFonts w:cs="Arial"/>
          <w:b/>
        </w:rPr>
        <w:t xml:space="preserve">mplementation of the licensing framework for work with lower silica engineered stone </w:t>
      </w:r>
      <w:r w:rsidR="00A14312">
        <w:rPr>
          <w:rFonts w:cs="Arial"/>
        </w:rPr>
        <w:t>–</w:t>
      </w:r>
      <w:r w:rsidR="002611CA" w:rsidRPr="000A53C0">
        <w:rPr>
          <w:rFonts w:cs="Arial"/>
        </w:rPr>
        <w:t xml:space="preserve"> $3.3 million over the appraisal period, covering drafting legislation, licence administration, monitoring and compliance programs and communications costs. Note that an assumption has been made that this licensing framework could utilise the same IT platform as the framework for legacy products and this has not been costed again here. </w:t>
      </w:r>
    </w:p>
    <w:p w14:paraId="360D950B" w14:textId="44F58846" w:rsidR="002611CA" w:rsidRPr="000A53C0" w:rsidRDefault="002611CA" w:rsidP="002611CA">
      <w:pPr>
        <w:pStyle w:val="BodyText"/>
        <w:rPr>
          <w:rFonts w:cs="Arial"/>
        </w:rPr>
      </w:pPr>
      <w:r w:rsidRPr="000A53C0">
        <w:rPr>
          <w:rFonts w:cs="Arial"/>
        </w:rPr>
        <w:t xml:space="preserve">Government costs are highest under Option 3, due to the </w:t>
      </w:r>
      <w:r w:rsidR="00FE081D" w:rsidRPr="000A53C0">
        <w:rPr>
          <w:rFonts w:cs="Arial"/>
        </w:rPr>
        <w:t xml:space="preserve">additional costs of </w:t>
      </w:r>
      <w:r w:rsidRPr="000A53C0">
        <w:rPr>
          <w:rFonts w:cs="Arial"/>
        </w:rPr>
        <w:t>implement</w:t>
      </w:r>
      <w:r w:rsidR="00FE081D" w:rsidRPr="000A53C0">
        <w:rPr>
          <w:rFonts w:cs="Arial"/>
        </w:rPr>
        <w:t>ing</w:t>
      </w:r>
      <w:r w:rsidRPr="000A53C0">
        <w:rPr>
          <w:rFonts w:cs="Arial"/>
        </w:rPr>
        <w:t xml:space="preserve"> and </w:t>
      </w:r>
      <w:r w:rsidR="00FE081D" w:rsidRPr="000A53C0">
        <w:rPr>
          <w:rFonts w:cs="Arial"/>
        </w:rPr>
        <w:t xml:space="preserve">operating </w:t>
      </w:r>
      <w:r w:rsidR="00BE466D">
        <w:rPr>
          <w:rFonts w:cs="Arial"/>
        </w:rPr>
        <w:t>2</w:t>
      </w:r>
      <w:r w:rsidRPr="000A53C0">
        <w:rPr>
          <w:rFonts w:cs="Arial"/>
        </w:rPr>
        <w:t xml:space="preserve"> concurrent licensing frameworks. </w:t>
      </w:r>
    </w:p>
    <w:p w14:paraId="421B8569" w14:textId="0524C6F7" w:rsidR="002611CA" w:rsidRPr="000A53C0" w:rsidRDefault="002611CA" w:rsidP="00CB1198">
      <w:pPr>
        <w:pStyle w:val="Caption"/>
        <w:rPr>
          <w:rFonts w:cs="Arial"/>
        </w:rPr>
      </w:pPr>
      <w:bookmarkStart w:id="143" w:name="_Ref138334590"/>
      <w:r w:rsidRPr="008E1B53">
        <w:rPr>
          <w:rFonts w:cs="Arial"/>
          <w:b/>
          <w:bCs/>
        </w:rPr>
        <w:t xml:space="preserve">Table </w:t>
      </w:r>
      <w:r w:rsidRPr="008E1B53">
        <w:rPr>
          <w:rFonts w:cs="Arial"/>
          <w:b/>
          <w:bCs/>
        </w:rPr>
        <w:fldChar w:fldCharType="begin"/>
      </w:r>
      <w:r w:rsidRPr="008E1B53">
        <w:rPr>
          <w:rFonts w:cs="Arial"/>
          <w:b/>
          <w:bCs/>
        </w:rPr>
        <w:instrText>SEQ Table \* ARABIC</w:instrText>
      </w:r>
      <w:r w:rsidRPr="008E1B53">
        <w:rPr>
          <w:rFonts w:cs="Arial"/>
          <w:b/>
          <w:bCs/>
        </w:rPr>
        <w:fldChar w:fldCharType="separate"/>
      </w:r>
      <w:r w:rsidR="00D16271">
        <w:rPr>
          <w:rFonts w:cs="Arial"/>
          <w:b/>
          <w:bCs/>
          <w:noProof/>
        </w:rPr>
        <w:t>14</w:t>
      </w:r>
      <w:r w:rsidRPr="008E1B53">
        <w:rPr>
          <w:rFonts w:cs="Arial"/>
          <w:b/>
          <w:bCs/>
        </w:rPr>
        <w:fldChar w:fldCharType="end"/>
      </w:r>
      <w:bookmarkEnd w:id="143"/>
      <w:r w:rsidRPr="000A53C0">
        <w:rPr>
          <w:rFonts w:cs="Arial"/>
        </w:rPr>
        <w:t xml:space="preserve"> Estimated cost of Option 3 – government </w:t>
      </w:r>
    </w:p>
    <w:tbl>
      <w:tblPr>
        <w:tblStyle w:val="TableGrid"/>
        <w:tblW w:w="48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5103"/>
        <w:gridCol w:w="4707"/>
      </w:tblGrid>
      <w:tr w:rsidR="002611CA" w:rsidRPr="000A53C0" w14:paraId="17A5E592" w14:textId="77777777" w:rsidTr="008E1B53">
        <w:trPr>
          <w:trHeight w:val="509"/>
          <w:tblHeader/>
        </w:trPr>
        <w:tc>
          <w:tcPr>
            <w:tcW w:w="2601" w:type="pct"/>
            <w:shd w:val="clear" w:color="auto" w:fill="E81D32"/>
            <w:vAlign w:val="center"/>
          </w:tcPr>
          <w:p w14:paraId="34D9F2C0" w14:textId="77777777" w:rsidR="002611CA" w:rsidRPr="008E1B53" w:rsidRDefault="002611CA" w:rsidP="008E1B53">
            <w:pPr>
              <w:pStyle w:val="TableHeading"/>
              <w:keepNext/>
              <w:keepLines/>
              <w:spacing w:before="0" w:after="0"/>
              <w:rPr>
                <w:rFonts w:ascii="Arial" w:hAnsi="Arial" w:cs="Arial"/>
                <w:color w:val="FFFFFF" w:themeColor="background1"/>
              </w:rPr>
            </w:pPr>
            <w:r w:rsidRPr="008E1B53">
              <w:rPr>
                <w:rFonts w:ascii="Arial" w:hAnsi="Arial" w:cs="Arial"/>
                <w:color w:val="FFFFFF" w:themeColor="background1"/>
              </w:rPr>
              <w:t>Cost</w:t>
            </w:r>
          </w:p>
        </w:tc>
        <w:tc>
          <w:tcPr>
            <w:tcW w:w="2399" w:type="pct"/>
            <w:shd w:val="clear" w:color="auto" w:fill="E81D32"/>
            <w:vAlign w:val="center"/>
          </w:tcPr>
          <w:p w14:paraId="28426EEB" w14:textId="7229A74D" w:rsidR="002611CA" w:rsidRPr="008E1B53" w:rsidRDefault="0034596A" w:rsidP="008E1B53">
            <w:pPr>
              <w:pStyle w:val="TableHeading"/>
              <w:keepNext/>
              <w:keepLines/>
              <w:spacing w:before="0" w:after="0"/>
              <w:rPr>
                <w:rFonts w:ascii="Arial" w:hAnsi="Arial" w:cs="Arial"/>
                <w:color w:val="FFFFFF" w:themeColor="background1"/>
              </w:rPr>
            </w:pPr>
            <w:r w:rsidRPr="008E1B53">
              <w:rPr>
                <w:rFonts w:ascii="Arial" w:hAnsi="Arial" w:cs="Arial"/>
                <w:color w:val="FFFFFF" w:themeColor="background1"/>
              </w:rPr>
              <w:t xml:space="preserve">Estimated cost </w:t>
            </w:r>
            <w:r w:rsidR="00734A6E" w:rsidRPr="008E1B53">
              <w:rPr>
                <w:rFonts w:ascii="Arial" w:hAnsi="Arial" w:cs="Arial"/>
                <w:color w:val="FFFFFF" w:themeColor="background1"/>
              </w:rPr>
              <w:t>–</w:t>
            </w:r>
            <w:r w:rsidRPr="008E1B53">
              <w:rPr>
                <w:rFonts w:ascii="Arial" w:hAnsi="Arial" w:cs="Arial"/>
                <w:color w:val="FFFFFF" w:themeColor="background1"/>
              </w:rPr>
              <w:t xml:space="preserve"> 10</w:t>
            </w:r>
            <w:r w:rsidR="00734A6E" w:rsidRPr="008E1B53">
              <w:rPr>
                <w:rFonts w:ascii="Arial" w:hAnsi="Arial" w:cs="Arial"/>
                <w:color w:val="FFFFFF" w:themeColor="background1"/>
              </w:rPr>
              <w:t>-</w:t>
            </w:r>
            <w:r w:rsidRPr="008E1B53">
              <w:rPr>
                <w:rFonts w:ascii="Arial" w:hAnsi="Arial" w:cs="Arial"/>
                <w:color w:val="FFFFFF" w:themeColor="background1"/>
              </w:rPr>
              <w:t>year appraisal period ($m)</w:t>
            </w:r>
          </w:p>
        </w:tc>
      </w:tr>
      <w:tr w:rsidR="002611CA" w:rsidRPr="000A53C0" w14:paraId="32B6E49D" w14:textId="77777777" w:rsidTr="008E1B53">
        <w:trPr>
          <w:trHeight w:val="355"/>
        </w:trPr>
        <w:tc>
          <w:tcPr>
            <w:tcW w:w="2601" w:type="pct"/>
            <w:tcBorders>
              <w:bottom w:val="single" w:sz="8" w:space="0" w:color="D1D1D1" w:themeColor="background2"/>
            </w:tcBorders>
            <w:shd w:val="clear" w:color="auto" w:fill="F9C3C5" w:themeFill="accent6" w:themeFillTint="33"/>
            <w:vAlign w:val="center"/>
          </w:tcPr>
          <w:p w14:paraId="5264CE5B" w14:textId="4B794B4D" w:rsidR="002611CA" w:rsidRPr="000A53C0" w:rsidRDefault="002611CA" w:rsidP="008E1B53">
            <w:pPr>
              <w:pStyle w:val="TableBody"/>
              <w:rPr>
                <w:rFonts w:cs="Arial"/>
                <w:b/>
              </w:rPr>
            </w:pPr>
            <w:r w:rsidRPr="000A53C0">
              <w:rPr>
                <w:rFonts w:cs="Arial"/>
                <w:b/>
              </w:rPr>
              <w:t xml:space="preserve">Licensing framework for </w:t>
            </w:r>
            <w:r w:rsidR="00476F8B" w:rsidRPr="000A53C0">
              <w:rPr>
                <w:rFonts w:cs="Arial"/>
                <w:b/>
              </w:rPr>
              <w:t xml:space="preserve">work with </w:t>
            </w:r>
            <w:r w:rsidRPr="000A53C0">
              <w:rPr>
                <w:rFonts w:cs="Arial"/>
                <w:b/>
              </w:rPr>
              <w:t>legacy products</w:t>
            </w:r>
          </w:p>
        </w:tc>
        <w:tc>
          <w:tcPr>
            <w:tcW w:w="2399" w:type="pct"/>
            <w:tcBorders>
              <w:top w:val="nil"/>
              <w:left w:val="nil"/>
              <w:bottom w:val="single" w:sz="8" w:space="0" w:color="D1D1D1"/>
              <w:right w:val="nil"/>
            </w:tcBorders>
            <w:shd w:val="clear" w:color="auto" w:fill="F9C3C5" w:themeFill="accent6" w:themeFillTint="33"/>
          </w:tcPr>
          <w:p w14:paraId="004D5B5E" w14:textId="77777777" w:rsidR="002611CA" w:rsidRPr="000A53C0" w:rsidRDefault="002611CA">
            <w:pPr>
              <w:jc w:val="center"/>
              <w:rPr>
                <w:rFonts w:cs="Arial"/>
                <w:b/>
                <w:color w:val="000000" w:themeColor="text1"/>
                <w:sz w:val="18"/>
              </w:rPr>
            </w:pPr>
          </w:p>
        </w:tc>
      </w:tr>
      <w:tr w:rsidR="002611CA" w:rsidRPr="000A53C0" w14:paraId="4AB67E56" w14:textId="77777777" w:rsidTr="008E1B53">
        <w:trPr>
          <w:trHeight w:val="355"/>
        </w:trPr>
        <w:tc>
          <w:tcPr>
            <w:tcW w:w="2601" w:type="pct"/>
            <w:tcBorders>
              <w:bottom w:val="single" w:sz="8" w:space="0" w:color="D1D1D1" w:themeColor="background2"/>
            </w:tcBorders>
            <w:vAlign w:val="center"/>
          </w:tcPr>
          <w:p w14:paraId="2D6D2F1C" w14:textId="77777777" w:rsidR="002611CA" w:rsidRPr="000A53C0" w:rsidRDefault="002611CA" w:rsidP="008E1B53">
            <w:pPr>
              <w:pStyle w:val="TableBody"/>
              <w:rPr>
                <w:rFonts w:cs="Arial"/>
              </w:rPr>
            </w:pPr>
            <w:r w:rsidRPr="000A53C0">
              <w:rPr>
                <w:rFonts w:cs="Arial"/>
              </w:rPr>
              <w:t xml:space="preserve">Drafting of national licensing regulation </w:t>
            </w:r>
          </w:p>
        </w:tc>
        <w:tc>
          <w:tcPr>
            <w:tcW w:w="2399" w:type="pct"/>
            <w:tcBorders>
              <w:top w:val="nil"/>
              <w:left w:val="nil"/>
              <w:bottom w:val="single" w:sz="8" w:space="0" w:color="D1D1D1"/>
              <w:right w:val="nil"/>
            </w:tcBorders>
            <w:shd w:val="clear" w:color="auto" w:fill="auto"/>
            <w:vAlign w:val="center"/>
          </w:tcPr>
          <w:p w14:paraId="50B4FF64"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$0.2</w:t>
            </w:r>
          </w:p>
        </w:tc>
      </w:tr>
      <w:tr w:rsidR="002611CA" w:rsidRPr="000A53C0" w14:paraId="2069CF6F" w14:textId="77777777" w:rsidTr="008E1B53">
        <w:trPr>
          <w:trHeight w:val="355"/>
        </w:trPr>
        <w:tc>
          <w:tcPr>
            <w:tcW w:w="2601" w:type="pct"/>
            <w:tcBorders>
              <w:bottom w:val="single" w:sz="8" w:space="0" w:color="D1D1D1" w:themeColor="background2"/>
            </w:tcBorders>
            <w:vAlign w:val="center"/>
          </w:tcPr>
          <w:p w14:paraId="56198F5E" w14:textId="77777777" w:rsidR="002611CA" w:rsidRPr="000A53C0" w:rsidRDefault="002611CA" w:rsidP="008E1B53">
            <w:pPr>
              <w:pStyle w:val="TableBody"/>
              <w:rPr>
                <w:rFonts w:cs="Arial"/>
              </w:rPr>
            </w:pPr>
            <w:r w:rsidRPr="000A53C0">
              <w:rPr>
                <w:rFonts w:cs="Arial"/>
              </w:rPr>
              <w:t xml:space="preserve">Licensing software </w:t>
            </w:r>
          </w:p>
        </w:tc>
        <w:tc>
          <w:tcPr>
            <w:tcW w:w="2399" w:type="pct"/>
            <w:tcBorders>
              <w:top w:val="nil"/>
              <w:left w:val="nil"/>
              <w:bottom w:val="single" w:sz="8" w:space="0" w:color="D1D1D1"/>
              <w:right w:val="nil"/>
            </w:tcBorders>
            <w:shd w:val="clear" w:color="auto" w:fill="auto"/>
            <w:vAlign w:val="center"/>
          </w:tcPr>
          <w:p w14:paraId="2D9DF918"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$9.2</w:t>
            </w:r>
          </w:p>
        </w:tc>
      </w:tr>
      <w:tr w:rsidR="002611CA" w:rsidRPr="000A53C0" w14:paraId="1E06981B" w14:textId="77777777" w:rsidTr="008E1B53">
        <w:trPr>
          <w:trHeight w:val="35"/>
        </w:trPr>
        <w:tc>
          <w:tcPr>
            <w:tcW w:w="2601" w:type="pct"/>
            <w:tcBorders>
              <w:bottom w:val="single" w:sz="8" w:space="0" w:color="D1D1D1" w:themeColor="background2"/>
            </w:tcBorders>
            <w:vAlign w:val="center"/>
          </w:tcPr>
          <w:p w14:paraId="16479444" w14:textId="77777777" w:rsidR="002611CA" w:rsidRPr="000A53C0" w:rsidRDefault="002611CA" w:rsidP="008E1B53">
            <w:pPr>
              <w:pStyle w:val="TableBody"/>
              <w:rPr>
                <w:rFonts w:cs="Arial"/>
              </w:rPr>
            </w:pPr>
            <w:r w:rsidRPr="000A53C0">
              <w:rPr>
                <w:rFonts w:cs="Arial"/>
              </w:rPr>
              <w:t xml:space="preserve">Processing of licence applications </w:t>
            </w:r>
          </w:p>
        </w:tc>
        <w:tc>
          <w:tcPr>
            <w:tcW w:w="2399" w:type="pct"/>
            <w:tcBorders>
              <w:top w:val="nil"/>
              <w:left w:val="nil"/>
              <w:bottom w:val="single" w:sz="8" w:space="0" w:color="D1D1D1"/>
              <w:right w:val="nil"/>
            </w:tcBorders>
            <w:shd w:val="clear" w:color="auto" w:fill="auto"/>
            <w:vAlign w:val="center"/>
          </w:tcPr>
          <w:p w14:paraId="530FBE5B"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$11.5</w:t>
            </w:r>
          </w:p>
        </w:tc>
      </w:tr>
      <w:tr w:rsidR="002611CA" w:rsidRPr="000A53C0" w14:paraId="53802379"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7E05FEA0" w14:textId="77777777" w:rsidR="002611CA" w:rsidRPr="000A53C0" w:rsidRDefault="002611CA" w:rsidP="008E1B53">
            <w:pPr>
              <w:pStyle w:val="TableBody"/>
              <w:rPr>
                <w:rFonts w:cs="Arial"/>
              </w:rPr>
            </w:pPr>
            <w:r w:rsidRPr="000A53C0">
              <w:rPr>
                <w:rFonts w:cs="Arial"/>
              </w:rPr>
              <w:t xml:space="preserve">Compliance and monitoring /enforcement </w:t>
            </w:r>
          </w:p>
        </w:tc>
        <w:tc>
          <w:tcPr>
            <w:tcW w:w="2399" w:type="pct"/>
            <w:tcBorders>
              <w:top w:val="nil"/>
              <w:left w:val="nil"/>
              <w:bottom w:val="single" w:sz="8" w:space="0" w:color="D1D1D1"/>
              <w:right w:val="nil"/>
            </w:tcBorders>
            <w:shd w:val="clear" w:color="auto" w:fill="auto"/>
            <w:vAlign w:val="center"/>
          </w:tcPr>
          <w:p w14:paraId="47063084"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$85.1</w:t>
            </w:r>
          </w:p>
        </w:tc>
      </w:tr>
      <w:tr w:rsidR="002611CA" w:rsidRPr="000A53C0" w14:paraId="3E3F1C7E"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75DDCBE5" w14:textId="77777777" w:rsidR="002611CA" w:rsidRPr="000A53C0" w:rsidRDefault="002611CA" w:rsidP="008E1B53">
            <w:pPr>
              <w:pStyle w:val="TableBody"/>
              <w:rPr>
                <w:rFonts w:cs="Arial"/>
              </w:rPr>
            </w:pPr>
            <w:r w:rsidRPr="000A53C0">
              <w:rPr>
                <w:rFonts w:cs="Arial"/>
              </w:rPr>
              <w:t>Communication costs</w:t>
            </w:r>
            <w:r w:rsidRPr="000A53C0">
              <w:rPr>
                <w:rFonts w:cs="Arial"/>
              </w:rPr>
              <w:tab/>
            </w:r>
          </w:p>
        </w:tc>
        <w:tc>
          <w:tcPr>
            <w:tcW w:w="2399" w:type="pct"/>
            <w:tcBorders>
              <w:top w:val="single" w:sz="8" w:space="0" w:color="D1D1D1" w:themeColor="background2"/>
              <w:bottom w:val="single" w:sz="8" w:space="0" w:color="D1D1D1" w:themeColor="background2"/>
            </w:tcBorders>
            <w:vAlign w:val="center"/>
          </w:tcPr>
          <w:p w14:paraId="58E40275"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$1.5</w:t>
            </w:r>
          </w:p>
        </w:tc>
      </w:tr>
      <w:tr w:rsidR="002611CA" w:rsidRPr="000A53C0" w14:paraId="078399C1" w14:textId="77777777" w:rsidTr="008E1B53">
        <w:trPr>
          <w:trHeight w:val="355"/>
        </w:trPr>
        <w:tc>
          <w:tcPr>
            <w:tcW w:w="5000" w:type="pct"/>
            <w:gridSpan w:val="2"/>
            <w:tcBorders>
              <w:top w:val="single" w:sz="8" w:space="0" w:color="D1D1D1" w:themeColor="background2"/>
              <w:bottom w:val="single" w:sz="8" w:space="0" w:color="D1D1D1" w:themeColor="background2"/>
            </w:tcBorders>
            <w:shd w:val="clear" w:color="auto" w:fill="F2F2F2" w:themeFill="background1" w:themeFillShade="F2"/>
            <w:vAlign w:val="center"/>
          </w:tcPr>
          <w:p w14:paraId="1634ED63" w14:textId="77777777" w:rsidR="002611CA" w:rsidRPr="000A53C0" w:rsidRDefault="002611CA" w:rsidP="008E1B53">
            <w:pPr>
              <w:pStyle w:val="TableBody"/>
              <w:rPr>
                <w:rFonts w:cs="Arial"/>
                <w:b/>
              </w:rPr>
            </w:pPr>
            <w:r w:rsidRPr="000A53C0">
              <w:rPr>
                <w:rFonts w:cs="Arial"/>
                <w:b/>
              </w:rPr>
              <w:lastRenderedPageBreak/>
              <w:t>Provision of income and vocational training support for displaced workers</w:t>
            </w:r>
          </w:p>
        </w:tc>
      </w:tr>
      <w:tr w:rsidR="002611CA" w:rsidRPr="000A53C0" w14:paraId="0336584A"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5EAE29B9" w14:textId="77777777" w:rsidR="002611CA" w:rsidRPr="000A53C0" w:rsidRDefault="002611CA" w:rsidP="008E1B53">
            <w:pPr>
              <w:pStyle w:val="TableBody"/>
              <w:rPr>
                <w:rFonts w:cs="Arial"/>
              </w:rPr>
            </w:pPr>
            <w:r w:rsidRPr="000A53C0">
              <w:rPr>
                <w:rFonts w:cs="Arial"/>
              </w:rPr>
              <w:t>Jobseeker</w:t>
            </w:r>
          </w:p>
        </w:tc>
        <w:tc>
          <w:tcPr>
            <w:tcW w:w="2399" w:type="pct"/>
            <w:tcBorders>
              <w:top w:val="nil"/>
              <w:left w:val="nil"/>
              <w:bottom w:val="single" w:sz="8" w:space="0" w:color="D1D1D1"/>
              <w:right w:val="nil"/>
            </w:tcBorders>
            <w:shd w:val="clear" w:color="auto" w:fill="auto"/>
            <w:vAlign w:val="center"/>
          </w:tcPr>
          <w:p w14:paraId="5A838947"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$0.3</w:t>
            </w:r>
          </w:p>
        </w:tc>
      </w:tr>
      <w:tr w:rsidR="002611CA" w:rsidRPr="000A53C0" w14:paraId="06F7BA5F"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56E5CD26" w14:textId="77777777" w:rsidR="002611CA" w:rsidRPr="000A53C0" w:rsidRDefault="002611CA" w:rsidP="008E1B53">
            <w:pPr>
              <w:pStyle w:val="TableBody"/>
              <w:rPr>
                <w:rFonts w:cs="Arial"/>
              </w:rPr>
            </w:pPr>
            <w:r w:rsidRPr="000A53C0">
              <w:rPr>
                <w:rFonts w:cs="Arial"/>
              </w:rPr>
              <w:t>Training support costs</w:t>
            </w:r>
          </w:p>
        </w:tc>
        <w:tc>
          <w:tcPr>
            <w:tcW w:w="2399" w:type="pct"/>
            <w:tcBorders>
              <w:top w:val="nil"/>
              <w:left w:val="nil"/>
              <w:bottom w:val="single" w:sz="8" w:space="0" w:color="D1D1D1"/>
              <w:right w:val="nil"/>
            </w:tcBorders>
            <w:shd w:val="clear" w:color="auto" w:fill="auto"/>
            <w:vAlign w:val="center"/>
          </w:tcPr>
          <w:p w14:paraId="48FC0279" w14:textId="77777777" w:rsidR="002611CA" w:rsidRPr="000A53C0" w:rsidRDefault="002611CA" w:rsidP="008E1B53">
            <w:pPr>
              <w:spacing w:after="0"/>
              <w:jc w:val="center"/>
              <w:rPr>
                <w:rFonts w:cs="Arial"/>
                <w:color w:val="000000" w:themeColor="text1"/>
                <w:sz w:val="18"/>
              </w:rPr>
            </w:pPr>
            <w:r w:rsidRPr="000A53C0">
              <w:rPr>
                <w:rFonts w:cs="Arial"/>
                <w:color w:val="000000" w:themeColor="text1"/>
                <w:sz w:val="18"/>
              </w:rPr>
              <w:t>$0.02</w:t>
            </w:r>
          </w:p>
        </w:tc>
      </w:tr>
      <w:tr w:rsidR="002611CA" w:rsidRPr="000A53C0" w14:paraId="2F5E44F4" w14:textId="77777777" w:rsidTr="008E1B53">
        <w:trPr>
          <w:trHeight w:val="355"/>
        </w:trPr>
        <w:tc>
          <w:tcPr>
            <w:tcW w:w="2601" w:type="pct"/>
            <w:tcBorders>
              <w:bottom w:val="single" w:sz="8" w:space="0" w:color="D1D1D1" w:themeColor="background2"/>
            </w:tcBorders>
            <w:shd w:val="clear" w:color="auto" w:fill="F2F2F2" w:themeFill="background1" w:themeFillShade="F2"/>
            <w:vAlign w:val="center"/>
          </w:tcPr>
          <w:p w14:paraId="68B57CE4" w14:textId="77777777" w:rsidR="002611CA" w:rsidRPr="000A53C0" w:rsidRDefault="002611CA" w:rsidP="008E1B53">
            <w:pPr>
              <w:pStyle w:val="TableBody"/>
              <w:rPr>
                <w:rFonts w:cs="Arial"/>
                <w:b/>
              </w:rPr>
            </w:pPr>
            <w:r w:rsidRPr="000A53C0">
              <w:rPr>
                <w:rFonts w:cs="Arial"/>
                <w:b/>
              </w:rPr>
              <w:t xml:space="preserve">Licensing framework for work with lower silica engineered stone </w:t>
            </w:r>
          </w:p>
        </w:tc>
        <w:tc>
          <w:tcPr>
            <w:tcW w:w="2399" w:type="pct"/>
            <w:tcBorders>
              <w:top w:val="nil"/>
              <w:left w:val="nil"/>
              <w:bottom w:val="single" w:sz="8" w:space="0" w:color="D1D1D1"/>
              <w:right w:val="nil"/>
            </w:tcBorders>
            <w:shd w:val="clear" w:color="auto" w:fill="F2F2F2" w:themeFill="background1" w:themeFillShade="F2"/>
            <w:vAlign w:val="center"/>
          </w:tcPr>
          <w:p w14:paraId="15852161" w14:textId="77777777" w:rsidR="002611CA" w:rsidRPr="000A53C0" w:rsidRDefault="002611CA" w:rsidP="008E1B53">
            <w:pPr>
              <w:pStyle w:val="TableBody"/>
              <w:spacing w:after="0"/>
              <w:jc w:val="center"/>
              <w:rPr>
                <w:rFonts w:cs="Arial"/>
              </w:rPr>
            </w:pPr>
          </w:p>
        </w:tc>
      </w:tr>
      <w:tr w:rsidR="002611CA" w:rsidRPr="000A53C0" w14:paraId="74A75296" w14:textId="77777777" w:rsidTr="008E1B53">
        <w:trPr>
          <w:trHeight w:val="355"/>
        </w:trPr>
        <w:tc>
          <w:tcPr>
            <w:tcW w:w="2601" w:type="pct"/>
            <w:tcBorders>
              <w:bottom w:val="single" w:sz="8" w:space="0" w:color="D1D1D1" w:themeColor="background2"/>
            </w:tcBorders>
            <w:vAlign w:val="center"/>
          </w:tcPr>
          <w:p w14:paraId="4E881FC1" w14:textId="77777777" w:rsidR="002611CA" w:rsidRPr="000A53C0" w:rsidRDefault="002611CA" w:rsidP="008E1B53">
            <w:pPr>
              <w:pStyle w:val="TableBody"/>
              <w:rPr>
                <w:rFonts w:cs="Arial"/>
              </w:rPr>
            </w:pPr>
            <w:r w:rsidRPr="000A53C0">
              <w:rPr>
                <w:rFonts w:cs="Arial"/>
              </w:rPr>
              <w:t xml:space="preserve">Drafting of national licensing regulation </w:t>
            </w:r>
          </w:p>
        </w:tc>
        <w:tc>
          <w:tcPr>
            <w:tcW w:w="2399" w:type="pct"/>
            <w:tcBorders>
              <w:top w:val="nil"/>
              <w:left w:val="nil"/>
              <w:bottom w:val="single" w:sz="8" w:space="0" w:color="D1D1D1"/>
              <w:right w:val="nil"/>
            </w:tcBorders>
            <w:shd w:val="clear" w:color="auto" w:fill="auto"/>
            <w:vAlign w:val="center"/>
          </w:tcPr>
          <w:p w14:paraId="57370428" w14:textId="77777777" w:rsidR="002611CA" w:rsidRPr="000A53C0" w:rsidRDefault="002611CA" w:rsidP="008E1B53">
            <w:pPr>
              <w:pStyle w:val="TableBody"/>
              <w:spacing w:after="0"/>
              <w:jc w:val="center"/>
              <w:rPr>
                <w:rFonts w:cs="Arial"/>
              </w:rPr>
            </w:pPr>
            <w:r w:rsidRPr="000A53C0">
              <w:rPr>
                <w:rFonts w:cs="Arial"/>
              </w:rPr>
              <w:t>$0.2</w:t>
            </w:r>
          </w:p>
        </w:tc>
      </w:tr>
      <w:tr w:rsidR="002611CA" w:rsidRPr="000A53C0" w14:paraId="4929D228" w14:textId="77777777" w:rsidTr="008E1B53">
        <w:trPr>
          <w:trHeight w:val="355"/>
        </w:trPr>
        <w:tc>
          <w:tcPr>
            <w:tcW w:w="2601" w:type="pct"/>
            <w:tcBorders>
              <w:bottom w:val="single" w:sz="8" w:space="0" w:color="D1D1D1" w:themeColor="background2"/>
            </w:tcBorders>
            <w:vAlign w:val="center"/>
          </w:tcPr>
          <w:p w14:paraId="52183F73" w14:textId="77777777" w:rsidR="002611CA" w:rsidRPr="000A53C0" w:rsidRDefault="002611CA" w:rsidP="008E1B53">
            <w:pPr>
              <w:pStyle w:val="TableBody"/>
              <w:rPr>
                <w:rFonts w:cs="Arial"/>
              </w:rPr>
            </w:pPr>
            <w:r w:rsidRPr="000A53C0">
              <w:rPr>
                <w:rFonts w:cs="Arial"/>
              </w:rPr>
              <w:t xml:space="preserve">Licensing software </w:t>
            </w:r>
          </w:p>
        </w:tc>
        <w:tc>
          <w:tcPr>
            <w:tcW w:w="2399" w:type="pct"/>
            <w:tcBorders>
              <w:top w:val="nil"/>
              <w:left w:val="nil"/>
              <w:bottom w:val="single" w:sz="8" w:space="0" w:color="D1D1D1"/>
              <w:right w:val="nil"/>
            </w:tcBorders>
            <w:shd w:val="clear" w:color="auto" w:fill="auto"/>
            <w:vAlign w:val="center"/>
          </w:tcPr>
          <w:p w14:paraId="0746FB78" w14:textId="77777777" w:rsidR="002611CA" w:rsidRPr="000A53C0" w:rsidRDefault="002611CA" w:rsidP="008E1B53">
            <w:pPr>
              <w:pStyle w:val="TableBody"/>
              <w:spacing w:after="0"/>
              <w:jc w:val="center"/>
              <w:rPr>
                <w:rFonts w:cs="Arial"/>
              </w:rPr>
            </w:pPr>
            <w:r w:rsidRPr="000A53C0">
              <w:rPr>
                <w:rFonts w:cs="Arial"/>
              </w:rPr>
              <w:t>$0.0</w:t>
            </w:r>
          </w:p>
        </w:tc>
      </w:tr>
      <w:tr w:rsidR="002611CA" w:rsidRPr="000A53C0" w14:paraId="4DECD1B6" w14:textId="77777777" w:rsidTr="008E1B53">
        <w:trPr>
          <w:trHeight w:val="355"/>
        </w:trPr>
        <w:tc>
          <w:tcPr>
            <w:tcW w:w="2601" w:type="pct"/>
            <w:tcBorders>
              <w:bottom w:val="single" w:sz="8" w:space="0" w:color="D1D1D1" w:themeColor="background2"/>
            </w:tcBorders>
            <w:vAlign w:val="center"/>
          </w:tcPr>
          <w:p w14:paraId="64701EC6" w14:textId="77777777" w:rsidR="002611CA" w:rsidRPr="000A53C0" w:rsidRDefault="002611CA" w:rsidP="008E1B53">
            <w:pPr>
              <w:pStyle w:val="TableBody"/>
              <w:rPr>
                <w:rFonts w:cs="Arial"/>
              </w:rPr>
            </w:pPr>
            <w:r w:rsidRPr="000A53C0">
              <w:rPr>
                <w:rFonts w:cs="Arial"/>
              </w:rPr>
              <w:t xml:space="preserve">Processing of licence applications </w:t>
            </w:r>
          </w:p>
        </w:tc>
        <w:tc>
          <w:tcPr>
            <w:tcW w:w="2399" w:type="pct"/>
            <w:tcBorders>
              <w:top w:val="nil"/>
              <w:left w:val="nil"/>
              <w:bottom w:val="single" w:sz="8" w:space="0" w:color="D1D1D1"/>
              <w:right w:val="nil"/>
            </w:tcBorders>
            <w:shd w:val="clear" w:color="auto" w:fill="auto"/>
            <w:vAlign w:val="center"/>
          </w:tcPr>
          <w:p w14:paraId="3C596E64" w14:textId="77777777" w:rsidR="002611CA" w:rsidRPr="000A53C0" w:rsidRDefault="002611CA" w:rsidP="008E1B53">
            <w:pPr>
              <w:pStyle w:val="TableBody"/>
              <w:spacing w:after="0"/>
              <w:jc w:val="center"/>
              <w:rPr>
                <w:rFonts w:cs="Arial"/>
              </w:rPr>
            </w:pPr>
            <w:r w:rsidRPr="000A53C0">
              <w:rPr>
                <w:rFonts w:cs="Arial"/>
              </w:rPr>
              <w:t>$0.2</w:t>
            </w:r>
          </w:p>
        </w:tc>
      </w:tr>
      <w:tr w:rsidR="002611CA" w:rsidRPr="000A53C0" w14:paraId="1ACEFF73"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113615BA" w14:textId="77777777" w:rsidR="002611CA" w:rsidRPr="000A53C0" w:rsidRDefault="002611CA" w:rsidP="008E1B53">
            <w:pPr>
              <w:pStyle w:val="TableBody"/>
              <w:rPr>
                <w:rFonts w:cs="Arial"/>
              </w:rPr>
            </w:pPr>
            <w:r w:rsidRPr="000A53C0">
              <w:rPr>
                <w:rFonts w:cs="Arial"/>
              </w:rPr>
              <w:t xml:space="preserve">Compliance and monitoring enforcement </w:t>
            </w:r>
          </w:p>
        </w:tc>
        <w:tc>
          <w:tcPr>
            <w:tcW w:w="2399" w:type="pct"/>
            <w:tcBorders>
              <w:top w:val="nil"/>
              <w:left w:val="nil"/>
              <w:bottom w:val="single" w:sz="8" w:space="0" w:color="D1D1D1"/>
              <w:right w:val="nil"/>
            </w:tcBorders>
            <w:shd w:val="clear" w:color="auto" w:fill="auto"/>
            <w:vAlign w:val="center"/>
          </w:tcPr>
          <w:p w14:paraId="62EC358B" w14:textId="77777777" w:rsidR="002611CA" w:rsidRPr="000A53C0" w:rsidRDefault="002611CA" w:rsidP="008E1B53">
            <w:pPr>
              <w:pStyle w:val="TableBody"/>
              <w:spacing w:after="0"/>
              <w:jc w:val="center"/>
              <w:rPr>
                <w:rFonts w:cs="Arial"/>
              </w:rPr>
            </w:pPr>
            <w:r w:rsidRPr="000A53C0">
              <w:rPr>
                <w:rFonts w:cs="Arial"/>
              </w:rPr>
              <w:t>$1.4</w:t>
            </w:r>
          </w:p>
        </w:tc>
      </w:tr>
      <w:tr w:rsidR="002611CA" w:rsidRPr="000A53C0" w14:paraId="182C73E1" w14:textId="77777777" w:rsidTr="008E1B53">
        <w:trPr>
          <w:trHeight w:val="355"/>
        </w:trPr>
        <w:tc>
          <w:tcPr>
            <w:tcW w:w="2601" w:type="pct"/>
            <w:tcBorders>
              <w:top w:val="single" w:sz="8" w:space="0" w:color="D1D1D1" w:themeColor="background2"/>
              <w:bottom w:val="single" w:sz="8" w:space="0" w:color="D1D1D1" w:themeColor="background2"/>
            </w:tcBorders>
            <w:vAlign w:val="center"/>
          </w:tcPr>
          <w:p w14:paraId="122A8C1D" w14:textId="77777777" w:rsidR="002611CA" w:rsidRPr="000A53C0" w:rsidRDefault="002611CA" w:rsidP="008E1B53">
            <w:pPr>
              <w:pStyle w:val="TableBody"/>
              <w:rPr>
                <w:rFonts w:cs="Arial"/>
              </w:rPr>
            </w:pPr>
            <w:r w:rsidRPr="000A53C0">
              <w:rPr>
                <w:rFonts w:cs="Arial"/>
              </w:rPr>
              <w:t xml:space="preserve">Communications costs </w:t>
            </w:r>
          </w:p>
        </w:tc>
        <w:tc>
          <w:tcPr>
            <w:tcW w:w="2399" w:type="pct"/>
            <w:tcBorders>
              <w:top w:val="nil"/>
              <w:left w:val="nil"/>
              <w:bottom w:val="single" w:sz="8" w:space="0" w:color="D1D1D1"/>
              <w:right w:val="nil"/>
            </w:tcBorders>
            <w:shd w:val="clear" w:color="auto" w:fill="auto"/>
            <w:vAlign w:val="center"/>
          </w:tcPr>
          <w:p w14:paraId="054DE3E5" w14:textId="77777777" w:rsidR="002611CA" w:rsidRPr="000A53C0" w:rsidRDefault="002611CA" w:rsidP="008E1B53">
            <w:pPr>
              <w:pStyle w:val="TableBody"/>
              <w:spacing w:after="0"/>
              <w:jc w:val="center"/>
              <w:rPr>
                <w:rFonts w:cs="Arial"/>
              </w:rPr>
            </w:pPr>
            <w:r w:rsidRPr="000A53C0">
              <w:rPr>
                <w:rFonts w:cs="Arial"/>
              </w:rPr>
              <w:t>$1.5</w:t>
            </w:r>
          </w:p>
        </w:tc>
      </w:tr>
      <w:tr w:rsidR="002611CA" w:rsidRPr="000A53C0" w14:paraId="2A99A8EE" w14:textId="77777777" w:rsidTr="008E1B53">
        <w:trPr>
          <w:trHeight w:val="355"/>
        </w:trPr>
        <w:tc>
          <w:tcPr>
            <w:tcW w:w="2601"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7C662E3D" w14:textId="77777777" w:rsidR="002611CA" w:rsidRPr="000A53C0" w:rsidRDefault="002611CA" w:rsidP="008E1B53">
            <w:pPr>
              <w:pStyle w:val="TableBody"/>
              <w:rPr>
                <w:rFonts w:cs="Arial"/>
                <w:b/>
              </w:rPr>
            </w:pPr>
            <w:r w:rsidRPr="000A53C0">
              <w:rPr>
                <w:rFonts w:cs="Arial"/>
                <w:b/>
              </w:rPr>
              <w:t>Total</w:t>
            </w:r>
          </w:p>
        </w:tc>
        <w:tc>
          <w:tcPr>
            <w:tcW w:w="2399"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7708E081" w14:textId="77777777" w:rsidR="002611CA" w:rsidRPr="000A53C0" w:rsidRDefault="002611CA" w:rsidP="008E1B53">
            <w:pPr>
              <w:pStyle w:val="TableBody"/>
              <w:spacing w:after="0"/>
              <w:jc w:val="center"/>
              <w:rPr>
                <w:rFonts w:cs="Arial"/>
                <w:b/>
              </w:rPr>
            </w:pPr>
            <w:r w:rsidRPr="000A53C0">
              <w:rPr>
                <w:rFonts w:cs="Arial"/>
                <w:b/>
              </w:rPr>
              <w:t>$111.1</w:t>
            </w:r>
          </w:p>
        </w:tc>
      </w:tr>
    </w:tbl>
    <w:p w14:paraId="63F273DF" w14:textId="77777777" w:rsidR="002611CA" w:rsidRPr="000A53C0" w:rsidRDefault="002611CA" w:rsidP="002611CA">
      <w:pPr>
        <w:pStyle w:val="BodyText"/>
        <w:rPr>
          <w:rFonts w:cs="Arial"/>
          <w:color w:val="014463" w:themeColor="text2"/>
          <w:sz w:val="24"/>
          <w:szCs w:val="24"/>
        </w:rPr>
      </w:pPr>
    </w:p>
    <w:p w14:paraId="675421CD" w14:textId="59E7014C" w:rsidR="002611CA" w:rsidRPr="000A53C0" w:rsidRDefault="002611CA" w:rsidP="00514CCB">
      <w:pPr>
        <w:pStyle w:val="Heading3numbered"/>
      </w:pPr>
      <w:r w:rsidRPr="000A53C0">
        <w:t xml:space="preserve">Costs to workers </w:t>
      </w:r>
    </w:p>
    <w:p w14:paraId="53CEFF00" w14:textId="083FAC91" w:rsidR="002611CA" w:rsidRPr="000A53C0" w:rsidRDefault="002611CA" w:rsidP="002611CA">
      <w:pPr>
        <w:pStyle w:val="BodyText"/>
        <w:rPr>
          <w:rFonts w:cs="Arial"/>
        </w:rPr>
      </w:pPr>
      <w:r w:rsidRPr="000A53C0">
        <w:rPr>
          <w:rFonts w:cs="Arial"/>
        </w:rPr>
        <w:t xml:space="preserve">Total costs of Option 3 to workers are estimated to be $1.5 million over the appraisal period, due to lost income and retraining costs for those workers displaced by business closure (see </w:t>
      </w:r>
      <w:r w:rsidRPr="000A53C0">
        <w:rPr>
          <w:rFonts w:cs="Arial"/>
        </w:rPr>
        <w:fldChar w:fldCharType="begin" w:fldLock="1"/>
      </w:r>
      <w:r w:rsidRPr="000A53C0">
        <w:rPr>
          <w:rFonts w:cs="Arial"/>
        </w:rPr>
        <w:instrText xml:space="preserve"> REF _Ref138330734 \h  \* MERGEFORMAT </w:instrText>
      </w:r>
      <w:r w:rsidRPr="000A53C0">
        <w:rPr>
          <w:rFonts w:cs="Arial"/>
        </w:rPr>
      </w:r>
      <w:r w:rsidRPr="000A53C0">
        <w:rPr>
          <w:rFonts w:cs="Arial"/>
        </w:rPr>
        <w:fldChar w:fldCharType="separate"/>
      </w:r>
      <w:r w:rsidR="00D16271" w:rsidRPr="00D16271">
        <w:rPr>
          <w:rFonts w:cs="Arial"/>
        </w:rPr>
        <w:t>Table 15</w:t>
      </w:r>
      <w:r w:rsidRPr="000A53C0">
        <w:rPr>
          <w:rFonts w:cs="Arial"/>
        </w:rPr>
        <w:fldChar w:fldCharType="end"/>
      </w:r>
      <w:r w:rsidRPr="000A53C0">
        <w:rPr>
          <w:rFonts w:cs="Arial"/>
        </w:rPr>
        <w:t xml:space="preserve">). Costs to workers under Option 3 are expected to be lower than Option 1 given a smaller number of workers are expected to be displaced under Option 3. </w:t>
      </w:r>
    </w:p>
    <w:p w14:paraId="47199245" w14:textId="1789EB30" w:rsidR="002611CA" w:rsidRPr="000A53C0" w:rsidRDefault="002611CA" w:rsidP="001B44C4">
      <w:pPr>
        <w:pStyle w:val="IAListbullet2"/>
        <w:rPr>
          <w:rFonts w:cs="Arial"/>
        </w:rPr>
      </w:pPr>
      <w:r w:rsidRPr="000A53C0">
        <w:rPr>
          <w:rFonts w:cs="Arial"/>
          <w:b/>
        </w:rPr>
        <w:t>Lost income</w:t>
      </w:r>
      <w:r w:rsidRPr="000A53C0">
        <w:rPr>
          <w:rFonts w:cs="Arial"/>
        </w:rPr>
        <w:t xml:space="preserve"> – $1.4 million over the appraisal period, covering the difference between average wage in this sector and current jobseeker payments, for an 8</w:t>
      </w:r>
      <w:r w:rsidR="00D41E04" w:rsidRPr="000A53C0">
        <w:rPr>
          <w:rFonts w:cs="Arial"/>
        </w:rPr>
        <w:t>-</w:t>
      </w:r>
      <w:r w:rsidRPr="000A53C0">
        <w:rPr>
          <w:rFonts w:cs="Arial"/>
        </w:rPr>
        <w:t>week period.</w:t>
      </w:r>
    </w:p>
    <w:p w14:paraId="3B0D30CA" w14:textId="77777777" w:rsidR="002611CA" w:rsidRPr="000A53C0" w:rsidRDefault="002611CA" w:rsidP="001B44C4">
      <w:pPr>
        <w:pStyle w:val="IAListbullet2"/>
        <w:rPr>
          <w:rFonts w:cs="Arial"/>
        </w:rPr>
      </w:pPr>
      <w:r w:rsidRPr="000A53C0">
        <w:rPr>
          <w:rFonts w:cs="Arial"/>
          <w:b/>
        </w:rPr>
        <w:t>Retraining costs</w:t>
      </w:r>
      <w:r w:rsidRPr="000A53C0">
        <w:rPr>
          <w:rFonts w:cs="Arial"/>
        </w:rPr>
        <w:t xml:space="preserve"> – $0.1 million over the appraisal period, from average course fees for a Certificate III for Civil Construction, Cabinet Making, Tiling and Fabrication Trade for the 3% of displaced workers from PCBU closures who are assumed to retrain.</w:t>
      </w:r>
    </w:p>
    <w:p w14:paraId="0415996B" w14:textId="04B71935" w:rsidR="002611CA" w:rsidRPr="000A53C0" w:rsidRDefault="002611CA" w:rsidP="00CB1198">
      <w:pPr>
        <w:pStyle w:val="Caption"/>
        <w:rPr>
          <w:rFonts w:cs="Arial"/>
        </w:rPr>
      </w:pPr>
      <w:bookmarkStart w:id="144" w:name="_Ref138330734"/>
      <w:r w:rsidRPr="00C84149">
        <w:rPr>
          <w:rFonts w:cs="Arial"/>
          <w:b/>
          <w:bCs/>
        </w:rPr>
        <w:t xml:space="preserve">Table </w:t>
      </w:r>
      <w:r w:rsidRPr="00C84149">
        <w:rPr>
          <w:rFonts w:cs="Arial"/>
          <w:b/>
          <w:bCs/>
        </w:rPr>
        <w:fldChar w:fldCharType="begin"/>
      </w:r>
      <w:r w:rsidRPr="00C84149">
        <w:rPr>
          <w:rFonts w:cs="Arial"/>
          <w:b/>
          <w:bCs/>
        </w:rPr>
        <w:instrText>SEQ Table \* ARABIC</w:instrText>
      </w:r>
      <w:r w:rsidRPr="00C84149">
        <w:rPr>
          <w:rFonts w:cs="Arial"/>
          <w:b/>
          <w:bCs/>
        </w:rPr>
        <w:fldChar w:fldCharType="separate"/>
      </w:r>
      <w:r w:rsidR="00D16271">
        <w:rPr>
          <w:rFonts w:cs="Arial"/>
          <w:b/>
          <w:bCs/>
          <w:noProof/>
        </w:rPr>
        <w:t>15</w:t>
      </w:r>
      <w:r w:rsidRPr="00C84149">
        <w:rPr>
          <w:rFonts w:cs="Arial"/>
          <w:b/>
          <w:bCs/>
        </w:rPr>
        <w:fldChar w:fldCharType="end"/>
      </w:r>
      <w:bookmarkEnd w:id="144"/>
      <w:r w:rsidRPr="000A53C0">
        <w:rPr>
          <w:rFonts w:cs="Arial"/>
        </w:rPr>
        <w:t xml:space="preserve"> Estimated cost of Option 3 </w:t>
      </w:r>
      <w:r w:rsidR="00C34A92">
        <w:rPr>
          <w:rFonts w:cs="Arial"/>
        </w:rPr>
        <w:t>–</w:t>
      </w:r>
      <w:r w:rsidR="00DC381B" w:rsidRPr="000A53C0">
        <w:rPr>
          <w:rFonts w:cs="Arial"/>
        </w:rPr>
        <w:t xml:space="preserve"> workers</w:t>
      </w:r>
    </w:p>
    <w:tbl>
      <w:tblPr>
        <w:tblStyle w:val="TableGrid"/>
        <w:tblW w:w="5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4820"/>
        <w:gridCol w:w="5386"/>
        <w:gridCol w:w="33"/>
      </w:tblGrid>
      <w:tr w:rsidR="002611CA" w:rsidRPr="000A53C0" w14:paraId="3B032B4A" w14:textId="77777777" w:rsidTr="00C84149">
        <w:trPr>
          <w:gridAfter w:val="1"/>
          <w:wAfter w:w="16" w:type="pct"/>
          <w:trHeight w:val="552"/>
          <w:tblHeader/>
        </w:trPr>
        <w:tc>
          <w:tcPr>
            <w:tcW w:w="2354" w:type="pct"/>
            <w:shd w:val="clear" w:color="auto" w:fill="E81D32"/>
            <w:vAlign w:val="center"/>
          </w:tcPr>
          <w:p w14:paraId="4BAB3DCA" w14:textId="77777777" w:rsidR="002611CA" w:rsidRPr="00C84149" w:rsidRDefault="002611CA" w:rsidP="00C84149">
            <w:pPr>
              <w:pStyle w:val="TableHeading"/>
              <w:keepNext/>
              <w:keepLines/>
              <w:spacing w:before="0" w:after="0"/>
              <w:rPr>
                <w:rFonts w:ascii="Arial" w:hAnsi="Arial" w:cs="Arial"/>
                <w:color w:val="FFFFFF" w:themeColor="background1"/>
              </w:rPr>
            </w:pPr>
            <w:r w:rsidRPr="00C84149">
              <w:rPr>
                <w:rFonts w:ascii="Arial" w:hAnsi="Arial" w:cs="Arial"/>
                <w:color w:val="FFFFFF" w:themeColor="background1"/>
              </w:rPr>
              <w:t>Cost</w:t>
            </w:r>
          </w:p>
        </w:tc>
        <w:tc>
          <w:tcPr>
            <w:tcW w:w="2630" w:type="pct"/>
            <w:shd w:val="clear" w:color="auto" w:fill="E81D32"/>
            <w:vAlign w:val="center"/>
          </w:tcPr>
          <w:p w14:paraId="036E56C3" w14:textId="7AEC4FC0" w:rsidR="002611CA" w:rsidRPr="00C84149" w:rsidRDefault="0034596A" w:rsidP="00C84149">
            <w:pPr>
              <w:pStyle w:val="TableHeading"/>
              <w:keepNext/>
              <w:keepLines/>
              <w:spacing w:before="0" w:after="0"/>
              <w:rPr>
                <w:rFonts w:ascii="Arial" w:hAnsi="Arial" w:cs="Arial"/>
                <w:color w:val="FFFFFF" w:themeColor="background1"/>
              </w:rPr>
            </w:pPr>
            <w:r w:rsidRPr="00C84149">
              <w:rPr>
                <w:rFonts w:ascii="Arial" w:hAnsi="Arial" w:cs="Arial"/>
                <w:color w:val="FFFFFF" w:themeColor="background1"/>
              </w:rPr>
              <w:t xml:space="preserve">Estimated cost </w:t>
            </w:r>
            <w:r w:rsidR="00C34A92" w:rsidRPr="00C84149">
              <w:rPr>
                <w:rFonts w:ascii="Arial" w:hAnsi="Arial" w:cs="Arial"/>
                <w:color w:val="FFFFFF" w:themeColor="background1"/>
              </w:rPr>
              <w:t>–</w:t>
            </w:r>
            <w:r w:rsidRPr="00C84149">
              <w:rPr>
                <w:rFonts w:ascii="Arial" w:hAnsi="Arial" w:cs="Arial"/>
                <w:color w:val="FFFFFF" w:themeColor="background1"/>
              </w:rPr>
              <w:t xml:space="preserve"> 10</w:t>
            </w:r>
            <w:r w:rsidR="00C34A92" w:rsidRPr="00C84149">
              <w:rPr>
                <w:rFonts w:ascii="Arial" w:hAnsi="Arial" w:cs="Arial"/>
                <w:color w:val="FFFFFF" w:themeColor="background1"/>
              </w:rPr>
              <w:t>-</w:t>
            </w:r>
            <w:r w:rsidRPr="00C84149">
              <w:rPr>
                <w:rFonts w:ascii="Arial" w:hAnsi="Arial" w:cs="Arial"/>
                <w:color w:val="FFFFFF" w:themeColor="background1"/>
              </w:rPr>
              <w:t>year appraisal period ($m)</w:t>
            </w:r>
          </w:p>
        </w:tc>
      </w:tr>
      <w:tr w:rsidR="002611CA" w:rsidRPr="000A53C0" w14:paraId="4DEF69D1" w14:textId="77777777" w:rsidTr="0037017A">
        <w:trPr>
          <w:trHeight w:val="355"/>
        </w:trPr>
        <w:tc>
          <w:tcPr>
            <w:tcW w:w="2354" w:type="pct"/>
            <w:tcBorders>
              <w:bottom w:val="single" w:sz="8" w:space="0" w:color="D1D1D1" w:themeColor="background2"/>
            </w:tcBorders>
            <w:vAlign w:val="center"/>
          </w:tcPr>
          <w:p w14:paraId="03A0956C" w14:textId="77777777" w:rsidR="002611CA" w:rsidRPr="000A53C0" w:rsidRDefault="002611CA" w:rsidP="0037017A">
            <w:pPr>
              <w:pStyle w:val="TableBody"/>
              <w:keepNext/>
              <w:keepLines/>
              <w:rPr>
                <w:rFonts w:cs="Arial"/>
              </w:rPr>
            </w:pPr>
            <w:r w:rsidRPr="000A53C0">
              <w:rPr>
                <w:rFonts w:cs="Arial"/>
              </w:rPr>
              <w:t>Lost income over period of unemployment net of JobSeeker</w:t>
            </w:r>
          </w:p>
        </w:tc>
        <w:tc>
          <w:tcPr>
            <w:tcW w:w="2646" w:type="pct"/>
            <w:gridSpan w:val="2"/>
            <w:tcBorders>
              <w:top w:val="nil"/>
              <w:left w:val="nil"/>
              <w:bottom w:val="single" w:sz="8" w:space="0" w:color="D1D1D1"/>
              <w:right w:val="nil"/>
            </w:tcBorders>
            <w:vAlign w:val="center"/>
          </w:tcPr>
          <w:p w14:paraId="4290F40D" w14:textId="77777777" w:rsidR="002611CA" w:rsidRPr="000A53C0" w:rsidRDefault="002611CA" w:rsidP="0037017A">
            <w:pPr>
              <w:spacing w:after="0"/>
              <w:jc w:val="center"/>
              <w:rPr>
                <w:rFonts w:cs="Arial"/>
                <w:color w:val="000000" w:themeColor="text1"/>
                <w:sz w:val="18"/>
              </w:rPr>
            </w:pPr>
            <w:r w:rsidRPr="000A53C0">
              <w:rPr>
                <w:rFonts w:cs="Arial"/>
                <w:color w:val="000000" w:themeColor="text1"/>
                <w:sz w:val="18"/>
              </w:rPr>
              <w:t>$1.4</w:t>
            </w:r>
          </w:p>
        </w:tc>
      </w:tr>
      <w:tr w:rsidR="002611CA" w:rsidRPr="000A53C0" w14:paraId="49A6BC3D" w14:textId="77777777" w:rsidTr="0037017A">
        <w:trPr>
          <w:trHeight w:val="355"/>
        </w:trPr>
        <w:tc>
          <w:tcPr>
            <w:tcW w:w="2354" w:type="pct"/>
            <w:tcBorders>
              <w:bottom w:val="single" w:sz="8" w:space="0" w:color="D1D1D1" w:themeColor="background2"/>
            </w:tcBorders>
            <w:vAlign w:val="center"/>
          </w:tcPr>
          <w:p w14:paraId="74BB619F" w14:textId="77777777" w:rsidR="002611CA" w:rsidRPr="000A53C0" w:rsidRDefault="002611CA" w:rsidP="0037017A">
            <w:pPr>
              <w:pStyle w:val="TableBody"/>
              <w:keepNext/>
              <w:keepLines/>
              <w:rPr>
                <w:rFonts w:cs="Arial"/>
              </w:rPr>
            </w:pPr>
            <w:r w:rsidRPr="000A53C0">
              <w:rPr>
                <w:rFonts w:cs="Arial"/>
              </w:rPr>
              <w:t xml:space="preserve">Out-of-pocket costs for retraining to other trade  </w:t>
            </w:r>
          </w:p>
        </w:tc>
        <w:tc>
          <w:tcPr>
            <w:tcW w:w="2646" w:type="pct"/>
            <w:gridSpan w:val="2"/>
            <w:tcBorders>
              <w:top w:val="nil"/>
              <w:left w:val="nil"/>
              <w:bottom w:val="single" w:sz="8" w:space="0" w:color="D1D1D1"/>
              <w:right w:val="nil"/>
            </w:tcBorders>
            <w:vAlign w:val="center"/>
          </w:tcPr>
          <w:p w14:paraId="539D03C7" w14:textId="77777777" w:rsidR="002611CA" w:rsidRPr="000A53C0" w:rsidRDefault="002611CA" w:rsidP="0037017A">
            <w:pPr>
              <w:spacing w:after="0"/>
              <w:jc w:val="center"/>
              <w:rPr>
                <w:rFonts w:cs="Arial"/>
                <w:color w:val="000000" w:themeColor="text1"/>
                <w:sz w:val="18"/>
              </w:rPr>
            </w:pPr>
            <w:r w:rsidRPr="000A53C0">
              <w:rPr>
                <w:rFonts w:cs="Arial"/>
                <w:color w:val="000000" w:themeColor="text1"/>
                <w:sz w:val="18"/>
              </w:rPr>
              <w:t>$0.1</w:t>
            </w:r>
          </w:p>
        </w:tc>
      </w:tr>
      <w:tr w:rsidR="002611CA" w:rsidRPr="000A53C0" w14:paraId="4C7AC89C" w14:textId="77777777" w:rsidTr="0037017A">
        <w:trPr>
          <w:trHeight w:val="355"/>
        </w:trPr>
        <w:tc>
          <w:tcPr>
            <w:tcW w:w="2354"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C904CED" w14:textId="77777777" w:rsidR="002611CA" w:rsidRPr="000A53C0" w:rsidRDefault="002611CA" w:rsidP="0037017A">
            <w:pPr>
              <w:pStyle w:val="TableBody"/>
              <w:keepNext/>
              <w:keepLines/>
              <w:rPr>
                <w:rFonts w:cs="Arial"/>
                <w:b/>
              </w:rPr>
            </w:pPr>
            <w:r w:rsidRPr="000A53C0">
              <w:rPr>
                <w:rFonts w:cs="Arial"/>
                <w:b/>
              </w:rPr>
              <w:t>Total</w:t>
            </w:r>
          </w:p>
        </w:tc>
        <w:tc>
          <w:tcPr>
            <w:tcW w:w="2646" w:type="pct"/>
            <w:gridSpan w:val="2"/>
            <w:tcBorders>
              <w:top w:val="single" w:sz="8" w:space="0" w:color="D1D1D1" w:themeColor="background2"/>
              <w:bottom w:val="single" w:sz="8" w:space="0" w:color="D1D1D1" w:themeColor="background2"/>
            </w:tcBorders>
            <w:shd w:val="clear" w:color="auto" w:fill="D9D9D9" w:themeFill="background1" w:themeFillShade="D9"/>
            <w:vAlign w:val="center"/>
          </w:tcPr>
          <w:p w14:paraId="66E3CEA0" w14:textId="77777777" w:rsidR="002611CA" w:rsidRPr="000A53C0" w:rsidRDefault="002611CA" w:rsidP="0037017A">
            <w:pPr>
              <w:spacing w:after="0"/>
              <w:jc w:val="center"/>
              <w:rPr>
                <w:rFonts w:cs="Arial"/>
                <w:b/>
                <w:color w:val="000000" w:themeColor="text1"/>
                <w:sz w:val="18"/>
              </w:rPr>
            </w:pPr>
            <w:r w:rsidRPr="000A53C0">
              <w:rPr>
                <w:rFonts w:cs="Arial"/>
                <w:b/>
                <w:bCs/>
                <w:color w:val="000000" w:themeColor="text1"/>
                <w:sz w:val="18"/>
              </w:rPr>
              <w:t>$1.5</w:t>
            </w:r>
          </w:p>
        </w:tc>
      </w:tr>
    </w:tbl>
    <w:p w14:paraId="1D6EE583" w14:textId="77777777" w:rsidR="002611CA" w:rsidRPr="000A53C0" w:rsidRDefault="002611CA" w:rsidP="002611CA">
      <w:pPr>
        <w:pStyle w:val="BodyText"/>
        <w:rPr>
          <w:rFonts w:cs="Arial"/>
        </w:rPr>
      </w:pPr>
    </w:p>
    <w:p w14:paraId="42678817" w14:textId="77777777" w:rsidR="002611CA" w:rsidRPr="000A53C0" w:rsidRDefault="002611CA" w:rsidP="002611CA">
      <w:pPr>
        <w:spacing w:after="120" w:line="264" w:lineRule="auto"/>
        <w:rPr>
          <w:rFonts w:cs="Arial"/>
          <w:color w:val="262626" w:themeColor="text1" w:themeTint="D9"/>
        </w:rPr>
      </w:pPr>
    </w:p>
    <w:p w14:paraId="6CA7AC9E" w14:textId="77777777" w:rsidR="002611CA" w:rsidRPr="000A53C0" w:rsidRDefault="002611CA" w:rsidP="002611CA">
      <w:pPr>
        <w:spacing w:after="120" w:line="264" w:lineRule="auto"/>
        <w:rPr>
          <w:rFonts w:cs="Arial"/>
          <w:b/>
          <w:bCs/>
          <w:color w:val="014463" w:themeColor="text2"/>
          <w:sz w:val="40"/>
          <w:szCs w:val="40"/>
        </w:rPr>
      </w:pPr>
      <w:r w:rsidRPr="000A53C0">
        <w:rPr>
          <w:rFonts w:cs="Arial"/>
          <w:b/>
          <w:bCs/>
          <w:color w:val="014463" w:themeColor="text2"/>
          <w:sz w:val="40"/>
          <w:szCs w:val="40"/>
        </w:rPr>
        <w:br w:type="page"/>
      </w:r>
    </w:p>
    <w:p w14:paraId="77961A03" w14:textId="14AB03C9" w:rsidR="002611CA" w:rsidRPr="000A53C0" w:rsidRDefault="002611CA" w:rsidP="00514CCB">
      <w:pPr>
        <w:pStyle w:val="Heading2numbered"/>
      </w:pPr>
      <w:bookmarkStart w:id="145" w:name="_Toc142991341"/>
      <w:r w:rsidRPr="000A53C0">
        <w:lastRenderedPageBreak/>
        <w:t>Qualitative costs</w:t>
      </w:r>
      <w:bookmarkEnd w:id="145"/>
    </w:p>
    <w:p w14:paraId="5470E597" w14:textId="77777777" w:rsidR="002611CA" w:rsidRPr="000A53C0" w:rsidRDefault="002611CA" w:rsidP="002611CA">
      <w:pPr>
        <w:pStyle w:val="BodyText"/>
        <w:rPr>
          <w:rFonts w:cs="Arial"/>
        </w:rPr>
      </w:pPr>
      <w:r w:rsidRPr="000A53C0">
        <w:rPr>
          <w:rFonts w:cs="Arial"/>
        </w:rPr>
        <w:t xml:space="preserve">This section outlines identified costs to PCBUs, government, workers, consumers and the community that have not been quantitively costed in this analysis. </w:t>
      </w:r>
    </w:p>
    <w:p w14:paraId="0A24BF7B" w14:textId="2ED74CD3" w:rsidR="002611CA" w:rsidRPr="000A53C0" w:rsidRDefault="002611CA" w:rsidP="00514CCB">
      <w:pPr>
        <w:pStyle w:val="Heading3numbered"/>
      </w:pPr>
      <w:r w:rsidRPr="000A53C0">
        <w:t>Qualitative costs to PCBUs</w:t>
      </w:r>
    </w:p>
    <w:p w14:paraId="3ED27B32" w14:textId="50D24CC0" w:rsidR="002611CA" w:rsidRPr="00DF15A8" w:rsidRDefault="002611CA" w:rsidP="003B5178">
      <w:pPr>
        <w:pStyle w:val="Heading4numbered"/>
      </w:pPr>
      <w:r w:rsidRPr="00DF15A8">
        <w:t>Engineered stone PCBUs</w:t>
      </w:r>
    </w:p>
    <w:p w14:paraId="2BCCF8C5" w14:textId="77777777" w:rsidR="002611CA" w:rsidRPr="000A53C0" w:rsidRDefault="002611CA" w:rsidP="002611CA">
      <w:pPr>
        <w:pStyle w:val="BodyText"/>
        <w:rPr>
          <w:rFonts w:cs="Arial"/>
        </w:rPr>
      </w:pPr>
      <w:r w:rsidRPr="000A53C0">
        <w:rPr>
          <w:rFonts w:cs="Arial"/>
        </w:rPr>
        <w:t xml:space="preserve">Identified but non-monetised potential costs for engineered stone PCBUs include: </w:t>
      </w:r>
    </w:p>
    <w:p w14:paraId="71705B9B" w14:textId="2D986E7B" w:rsidR="002611CA" w:rsidRPr="000A53C0" w:rsidRDefault="002611CA" w:rsidP="001B44C4">
      <w:pPr>
        <w:pStyle w:val="IAListbullet2"/>
        <w:rPr>
          <w:rFonts w:cs="Arial"/>
        </w:rPr>
      </w:pPr>
      <w:r w:rsidRPr="000A53C0">
        <w:rPr>
          <w:rFonts w:cs="Arial"/>
          <w:b/>
        </w:rPr>
        <w:t>Licence fees:</w:t>
      </w:r>
      <w:r w:rsidRPr="000A53C0">
        <w:rPr>
          <w:rFonts w:cs="Arial"/>
        </w:rPr>
        <w:t xml:space="preserve"> While jurisdictions may make a policy decision to recover some of their costs through a licensing fee; cost-recovery via licence fees was not considered in this analysis to avoid double-counting.</w:t>
      </w:r>
    </w:p>
    <w:p w14:paraId="7E77326E" w14:textId="4BE8F5C1" w:rsidR="002611CA" w:rsidRPr="000A53C0" w:rsidRDefault="002611CA" w:rsidP="001B44C4">
      <w:pPr>
        <w:pStyle w:val="IAListbullet2"/>
        <w:rPr>
          <w:rFonts w:cs="Arial"/>
        </w:rPr>
      </w:pPr>
      <w:r w:rsidRPr="000A53C0">
        <w:rPr>
          <w:rFonts w:cs="Arial"/>
          <w:b/>
        </w:rPr>
        <w:t>Reduced revenue:</w:t>
      </w:r>
      <w:r w:rsidRPr="000A53C0">
        <w:rPr>
          <w:rFonts w:cs="Arial"/>
        </w:rPr>
        <w:t xml:space="preserve"> Engineered stone PCBUs may experience a reduction in revenue as they pivot to alternative products or as a result of business closure.</w:t>
      </w:r>
      <w:r w:rsidRPr="000A53C0">
        <w:rPr>
          <w:rStyle w:val="FootnoteReference"/>
          <w:rFonts w:cs="Arial"/>
        </w:rPr>
        <w:footnoteReference w:id="10"/>
      </w:r>
      <w:r w:rsidRPr="000A53C0">
        <w:rPr>
          <w:rFonts w:cs="Arial"/>
        </w:rPr>
        <w:t xml:space="preserve"> The </w:t>
      </w:r>
      <w:r w:rsidR="009D20D9" w:rsidRPr="000A53C0">
        <w:rPr>
          <w:rFonts w:cs="Arial"/>
        </w:rPr>
        <w:t xml:space="preserve">time </w:t>
      </w:r>
      <w:r w:rsidRPr="000A53C0">
        <w:rPr>
          <w:rFonts w:cs="Arial"/>
        </w:rPr>
        <w:t>required to develop and implement legislation is expected to allow engineered stone PCBUs to fulfil existing client orders, build up their business in natural stone or alternative products, or find alternative revenue sources, reducing revenue loss.</w:t>
      </w:r>
    </w:p>
    <w:p w14:paraId="3DD6A02B" w14:textId="77777777" w:rsidR="002611CA" w:rsidRPr="000A53C0" w:rsidRDefault="002611CA" w:rsidP="001B44C4">
      <w:pPr>
        <w:pStyle w:val="IAListbullet2"/>
        <w:rPr>
          <w:rFonts w:cs="Arial"/>
          <w:strike/>
        </w:rPr>
      </w:pPr>
      <w:r w:rsidRPr="000A53C0">
        <w:rPr>
          <w:rFonts w:cs="Arial"/>
          <w:b/>
        </w:rPr>
        <w:t>Other transition costs:</w:t>
      </w:r>
      <w:r w:rsidRPr="000A53C0">
        <w:rPr>
          <w:rFonts w:cs="Arial"/>
        </w:rPr>
        <w:t xml:space="preserve"> Engineered stone PCBUs may incur other transition costs such as costs of disposing of old stock, costs of dealing with contractual issues for scheduled work and additional costs to change their designs, productions, pricing, and/or marketing for alternative products. </w:t>
      </w:r>
    </w:p>
    <w:p w14:paraId="6DCB7559" w14:textId="77777777" w:rsidR="002611CA" w:rsidRPr="000A53C0" w:rsidRDefault="002611CA" w:rsidP="001B44C4">
      <w:pPr>
        <w:pStyle w:val="IAListbullet2"/>
        <w:rPr>
          <w:rFonts w:cs="Arial"/>
          <w:strike/>
        </w:rPr>
      </w:pPr>
      <w:r w:rsidRPr="000A53C0">
        <w:rPr>
          <w:rFonts w:cs="Arial"/>
          <w:b/>
        </w:rPr>
        <w:t>Retraining workers to work with non-stone products:</w:t>
      </w:r>
      <w:r w:rsidRPr="000A53C0">
        <w:rPr>
          <w:rFonts w:cs="Arial"/>
        </w:rPr>
        <w:t xml:space="preserve"> There may be some training costs for employees to work with alternative products (e.g. laminate) or to recruit skilled workers. </w:t>
      </w:r>
    </w:p>
    <w:p w14:paraId="3161CE78" w14:textId="77777777" w:rsidR="002611CA" w:rsidRPr="000A53C0" w:rsidRDefault="002611CA" w:rsidP="001B44C4">
      <w:pPr>
        <w:pStyle w:val="IAListbullet2"/>
        <w:rPr>
          <w:rFonts w:cs="Arial"/>
        </w:rPr>
      </w:pPr>
      <w:r w:rsidRPr="000A53C0">
        <w:rPr>
          <w:rFonts w:cs="Arial"/>
          <w:b/>
        </w:rPr>
        <w:t>Higher barriers to entry for new businesses:</w:t>
      </w:r>
      <w:r w:rsidRPr="000A53C0">
        <w:rPr>
          <w:rFonts w:cs="Arial"/>
        </w:rPr>
        <w:t xml:space="preserve"> There is expected to be a small increase in the barrier to entry to working with engineered stone under option 3 due to additional costs associated with licensing requirements. The financial burden is expected to be larger on sole traders and small businesses, as they have fewer economies of scale in which to absorb licensing costs. Depending on market competition, additional costs would be expected to be passed onto consumers. </w:t>
      </w:r>
    </w:p>
    <w:p w14:paraId="103AA43E" w14:textId="047D2A74" w:rsidR="002611CA" w:rsidRPr="000A53C0" w:rsidRDefault="002611CA" w:rsidP="003B5178">
      <w:pPr>
        <w:pStyle w:val="Heading4numbered"/>
      </w:pPr>
      <w:r w:rsidRPr="000A53C0">
        <w:t>Other impacted PCBUs</w:t>
      </w:r>
    </w:p>
    <w:p w14:paraId="34BB9F6A" w14:textId="36E162FC" w:rsidR="002611CA" w:rsidRPr="000A53C0" w:rsidRDefault="009E48EF" w:rsidP="002611CA">
      <w:pPr>
        <w:pStyle w:val="BodyText"/>
        <w:rPr>
          <w:rFonts w:cs="Arial"/>
        </w:rPr>
      </w:pPr>
      <w:r w:rsidRPr="000A53C0">
        <w:rPr>
          <w:rFonts w:cs="Arial"/>
        </w:rPr>
        <w:t>The following impacts to the engineered stone industry have been i</w:t>
      </w:r>
      <w:r w:rsidR="002611CA" w:rsidRPr="000A53C0">
        <w:rPr>
          <w:rFonts w:cs="Arial"/>
        </w:rPr>
        <w:t xml:space="preserve">dentified but </w:t>
      </w:r>
      <w:r w:rsidRPr="000A53C0">
        <w:rPr>
          <w:rFonts w:cs="Arial"/>
        </w:rPr>
        <w:t xml:space="preserve">not quantitively </w:t>
      </w:r>
      <w:r w:rsidR="002611CA" w:rsidRPr="000A53C0">
        <w:rPr>
          <w:rFonts w:cs="Arial"/>
        </w:rPr>
        <w:t>costed</w:t>
      </w:r>
      <w:r w:rsidRPr="000A53C0">
        <w:rPr>
          <w:rFonts w:cs="Arial"/>
        </w:rPr>
        <w:t>:</w:t>
      </w:r>
      <w:r w:rsidR="002611CA" w:rsidRPr="000A53C0">
        <w:rPr>
          <w:rFonts w:cs="Arial"/>
        </w:rPr>
        <w:t xml:space="preserve"> </w:t>
      </w:r>
    </w:p>
    <w:p w14:paraId="2656F8BA" w14:textId="7D49E371" w:rsidR="005426DD" w:rsidRPr="003105EB" w:rsidRDefault="002611CA" w:rsidP="00ED3C8B">
      <w:pPr>
        <w:pStyle w:val="IAListbullet2"/>
        <w:numPr>
          <w:ilvl w:val="0"/>
          <w:numId w:val="51"/>
        </w:numPr>
        <w:ind w:left="426" w:hanging="426"/>
        <w:rPr>
          <w:rFonts w:cs="Arial"/>
        </w:rPr>
      </w:pPr>
      <w:r w:rsidRPr="003105EB">
        <w:rPr>
          <w:rFonts w:cs="Arial"/>
          <w:b/>
          <w:bCs/>
        </w:rPr>
        <w:t>Costs to importer/</w:t>
      </w:r>
      <w:r w:rsidR="00145DEC" w:rsidRPr="003105EB">
        <w:rPr>
          <w:rFonts w:cs="Arial"/>
          <w:b/>
          <w:bCs/>
        </w:rPr>
        <w:t>distributor/</w:t>
      </w:r>
      <w:r w:rsidRPr="003105EB">
        <w:rPr>
          <w:rFonts w:cs="Arial"/>
          <w:b/>
          <w:bCs/>
        </w:rPr>
        <w:t xml:space="preserve">wholesale businesses: </w:t>
      </w:r>
      <w:r w:rsidR="00F232D5" w:rsidRPr="003105EB">
        <w:rPr>
          <w:rFonts w:cs="Arial"/>
        </w:rPr>
        <w:t>T</w:t>
      </w:r>
      <w:r w:rsidR="00005608" w:rsidRPr="003105EB">
        <w:rPr>
          <w:rFonts w:cs="Arial"/>
        </w:rPr>
        <w:t>he</w:t>
      </w:r>
      <w:r w:rsidR="00343C4D" w:rsidRPr="003105EB">
        <w:rPr>
          <w:rFonts w:cs="Arial"/>
        </w:rPr>
        <w:t xml:space="preserve">re </w:t>
      </w:r>
      <w:r w:rsidR="00D77F57" w:rsidRPr="003105EB">
        <w:rPr>
          <w:rFonts w:cs="Arial"/>
        </w:rPr>
        <w:t>are a small</w:t>
      </w:r>
      <w:r w:rsidR="00343C4D" w:rsidRPr="003105EB">
        <w:rPr>
          <w:rFonts w:cs="Arial"/>
        </w:rPr>
        <w:t xml:space="preserve"> number of </w:t>
      </w:r>
      <w:r w:rsidR="00005608" w:rsidRPr="003105EB">
        <w:rPr>
          <w:rFonts w:cs="Arial"/>
        </w:rPr>
        <w:t xml:space="preserve">businesses who </w:t>
      </w:r>
      <w:r w:rsidR="00857F67" w:rsidRPr="003105EB">
        <w:rPr>
          <w:rFonts w:cs="Arial"/>
        </w:rPr>
        <w:t xml:space="preserve">import engineered stone and </w:t>
      </w:r>
      <w:r w:rsidR="006A13B1" w:rsidRPr="003105EB">
        <w:rPr>
          <w:rFonts w:cs="Arial"/>
        </w:rPr>
        <w:t>supply</w:t>
      </w:r>
      <w:r w:rsidR="00005608" w:rsidRPr="003105EB">
        <w:rPr>
          <w:rFonts w:cs="Arial"/>
        </w:rPr>
        <w:t xml:space="preserve"> </w:t>
      </w:r>
      <w:r w:rsidR="00857F67" w:rsidRPr="003105EB">
        <w:rPr>
          <w:rFonts w:cs="Arial"/>
        </w:rPr>
        <w:t>it</w:t>
      </w:r>
      <w:r w:rsidR="00005608" w:rsidRPr="003105EB">
        <w:rPr>
          <w:rFonts w:cs="Arial"/>
        </w:rPr>
        <w:t xml:space="preserve"> to fabric</w:t>
      </w:r>
      <w:r w:rsidR="00343C4D" w:rsidRPr="003105EB">
        <w:rPr>
          <w:rFonts w:cs="Arial"/>
        </w:rPr>
        <w:t>ators</w:t>
      </w:r>
      <w:r w:rsidR="005426DD" w:rsidRPr="003105EB">
        <w:rPr>
          <w:rFonts w:cs="Arial"/>
        </w:rPr>
        <w:t xml:space="preserve"> (estimated to be </w:t>
      </w:r>
      <w:r w:rsidR="00B948E4" w:rsidRPr="003105EB">
        <w:rPr>
          <w:rFonts w:cs="Arial"/>
        </w:rPr>
        <w:t>around 12</w:t>
      </w:r>
      <w:r w:rsidR="005426DD" w:rsidRPr="003105EB">
        <w:rPr>
          <w:rFonts w:cs="Arial"/>
        </w:rPr>
        <w:t xml:space="preserve"> companies</w:t>
      </w:r>
      <w:r w:rsidR="00B948E4" w:rsidRPr="000A53C0">
        <w:rPr>
          <w:rFonts w:cs="Arial"/>
          <w:vertAlign w:val="superscript"/>
        </w:rPr>
        <w:footnoteReference w:id="11"/>
      </w:r>
      <w:r w:rsidR="005426DD" w:rsidRPr="003105EB">
        <w:rPr>
          <w:rFonts w:cs="Arial"/>
        </w:rPr>
        <w:t>)</w:t>
      </w:r>
      <w:r w:rsidR="0030419F" w:rsidRPr="003105EB">
        <w:rPr>
          <w:rFonts w:cs="Arial"/>
        </w:rPr>
        <w:t>.</w:t>
      </w:r>
      <w:r w:rsidR="00F232D5" w:rsidRPr="003105EB">
        <w:rPr>
          <w:rFonts w:cs="Arial"/>
        </w:rPr>
        <w:t xml:space="preserve"> A 201</w:t>
      </w:r>
      <w:r w:rsidR="00214F8D" w:rsidRPr="003105EB">
        <w:rPr>
          <w:rFonts w:cs="Arial"/>
        </w:rPr>
        <w:t>9</w:t>
      </w:r>
      <w:r w:rsidR="00F232D5" w:rsidRPr="003105EB">
        <w:rPr>
          <w:rFonts w:cs="Arial"/>
        </w:rPr>
        <w:t xml:space="preserve"> report suggested that 77% of Australia’s engineered stone was supplied by 3</w:t>
      </w:r>
      <w:r w:rsidR="005A77A6">
        <w:rPr>
          <w:rFonts w:cs="Arial"/>
        </w:rPr>
        <w:t>–</w:t>
      </w:r>
      <w:r w:rsidR="00F232D5" w:rsidRPr="003105EB">
        <w:rPr>
          <w:rFonts w:cs="Arial"/>
        </w:rPr>
        <w:t>4 companies</w:t>
      </w:r>
      <w:r w:rsidR="00214F8D" w:rsidRPr="003105EB">
        <w:rPr>
          <w:rFonts w:cs="Arial"/>
        </w:rPr>
        <w:t xml:space="preserve"> (Australian Engineered Stone Advisory Group, 2019)</w:t>
      </w:r>
      <w:r w:rsidR="00F232D5" w:rsidRPr="003105EB">
        <w:rPr>
          <w:rFonts w:cs="Arial"/>
        </w:rPr>
        <w:t xml:space="preserve">. </w:t>
      </w:r>
      <w:r w:rsidR="00D27818" w:rsidRPr="003105EB">
        <w:rPr>
          <w:rFonts w:cs="Arial"/>
        </w:rPr>
        <w:t xml:space="preserve">While it is not possible to determine exact numbers, it appears that </w:t>
      </w:r>
      <w:r w:rsidR="00C95C67" w:rsidRPr="003105EB">
        <w:rPr>
          <w:rFonts w:cs="Arial"/>
        </w:rPr>
        <w:t>up to 4</w:t>
      </w:r>
      <w:r w:rsidR="005140DE" w:rsidRPr="003105EB">
        <w:rPr>
          <w:rFonts w:cs="Arial"/>
        </w:rPr>
        <w:t xml:space="preserve"> of these</w:t>
      </w:r>
      <w:r w:rsidR="00C33AA0" w:rsidRPr="003105EB">
        <w:rPr>
          <w:rFonts w:cs="Arial"/>
        </w:rPr>
        <w:t xml:space="preserve"> </w:t>
      </w:r>
      <w:r w:rsidR="00F232D5" w:rsidRPr="003105EB">
        <w:rPr>
          <w:rFonts w:cs="Arial"/>
        </w:rPr>
        <w:t>supply companies ar</w:t>
      </w:r>
      <w:r w:rsidR="00214F8D" w:rsidRPr="003105EB">
        <w:rPr>
          <w:rFonts w:cs="Arial"/>
        </w:rPr>
        <w:t>e</w:t>
      </w:r>
      <w:r w:rsidR="0054046B" w:rsidRPr="003105EB">
        <w:rPr>
          <w:rFonts w:cs="Arial"/>
        </w:rPr>
        <w:t xml:space="preserve"> large multi-national </w:t>
      </w:r>
      <w:r w:rsidR="00F232D5" w:rsidRPr="003105EB">
        <w:rPr>
          <w:rFonts w:cs="Arial"/>
        </w:rPr>
        <w:t>companies who also man</w:t>
      </w:r>
      <w:r w:rsidR="005426DD" w:rsidRPr="003105EB">
        <w:rPr>
          <w:rFonts w:cs="Arial"/>
        </w:rPr>
        <w:t xml:space="preserve">ufacture </w:t>
      </w:r>
      <w:r w:rsidR="00EA78FF" w:rsidRPr="003105EB">
        <w:rPr>
          <w:rFonts w:cs="Arial"/>
        </w:rPr>
        <w:t xml:space="preserve">engineered </w:t>
      </w:r>
      <w:r w:rsidR="005426DD" w:rsidRPr="003105EB">
        <w:rPr>
          <w:rFonts w:cs="Arial"/>
        </w:rPr>
        <w:t>stone</w:t>
      </w:r>
      <w:r w:rsidR="00247DDA" w:rsidRPr="003105EB">
        <w:rPr>
          <w:rFonts w:cs="Arial"/>
        </w:rPr>
        <w:t xml:space="preserve"> and other</w:t>
      </w:r>
      <w:r w:rsidR="00405024" w:rsidRPr="003105EB">
        <w:rPr>
          <w:rFonts w:cs="Arial"/>
        </w:rPr>
        <w:t xml:space="preserve"> stone or stone-like</w:t>
      </w:r>
      <w:r w:rsidR="00247DDA" w:rsidRPr="003105EB">
        <w:rPr>
          <w:rFonts w:cs="Arial"/>
        </w:rPr>
        <w:t xml:space="preserve"> products</w:t>
      </w:r>
      <w:r w:rsidR="005426DD" w:rsidRPr="003105EB">
        <w:rPr>
          <w:rFonts w:cs="Arial"/>
        </w:rPr>
        <w:t xml:space="preserve">. </w:t>
      </w:r>
      <w:r w:rsidR="00C33AA0" w:rsidRPr="003105EB">
        <w:rPr>
          <w:rFonts w:cs="Arial"/>
        </w:rPr>
        <w:t xml:space="preserve">The remainder </w:t>
      </w:r>
      <w:r w:rsidR="0065428B" w:rsidRPr="003105EB">
        <w:rPr>
          <w:rFonts w:cs="Arial"/>
        </w:rPr>
        <w:t xml:space="preserve">are locally owned companies who </w:t>
      </w:r>
      <w:r w:rsidR="005426DD" w:rsidRPr="003105EB">
        <w:rPr>
          <w:rFonts w:cs="Arial"/>
        </w:rPr>
        <w:t xml:space="preserve">import engineered stone from overseas </w:t>
      </w:r>
      <w:r w:rsidR="00C33AA0" w:rsidRPr="003105EB">
        <w:rPr>
          <w:rFonts w:cs="Arial"/>
        </w:rPr>
        <w:t>manufacturers</w:t>
      </w:r>
      <w:r w:rsidR="005426DD" w:rsidRPr="003105EB">
        <w:rPr>
          <w:rFonts w:cs="Arial"/>
        </w:rPr>
        <w:t>.</w:t>
      </w:r>
      <w:r w:rsidR="0023179D" w:rsidRPr="003105EB">
        <w:rPr>
          <w:rFonts w:cs="Arial"/>
        </w:rPr>
        <w:t xml:space="preserve"> Based on the limited information available, it appears that </w:t>
      </w:r>
      <w:r w:rsidR="001D1CA4" w:rsidRPr="003105EB">
        <w:rPr>
          <w:rFonts w:cs="Arial"/>
        </w:rPr>
        <w:t xml:space="preserve">the companies importing and supplying </w:t>
      </w:r>
      <w:r w:rsidR="005141C7" w:rsidRPr="003105EB">
        <w:rPr>
          <w:rFonts w:cs="Arial"/>
        </w:rPr>
        <w:t xml:space="preserve">engineered </w:t>
      </w:r>
      <w:r w:rsidR="001D1CA4" w:rsidRPr="003105EB">
        <w:rPr>
          <w:rFonts w:cs="Arial"/>
        </w:rPr>
        <w:t>stone do not undertake fabrication</w:t>
      </w:r>
      <w:r w:rsidR="005141C7" w:rsidRPr="003105EB">
        <w:rPr>
          <w:rFonts w:cs="Arial"/>
        </w:rPr>
        <w:t xml:space="preserve"> themselves</w:t>
      </w:r>
      <w:r w:rsidR="001D1CA4" w:rsidRPr="003105EB">
        <w:rPr>
          <w:rFonts w:cs="Arial"/>
        </w:rPr>
        <w:t>.</w:t>
      </w:r>
    </w:p>
    <w:p w14:paraId="68DFAAAD" w14:textId="2D9AADEA" w:rsidR="005426DD" w:rsidRPr="000A53C0" w:rsidRDefault="005426DD" w:rsidP="00ED3C8B">
      <w:pPr>
        <w:pStyle w:val="IAListbullet2"/>
        <w:numPr>
          <w:ilvl w:val="0"/>
          <w:numId w:val="0"/>
        </w:numPr>
        <w:ind w:left="426"/>
        <w:rPr>
          <w:rFonts w:cs="Arial"/>
        </w:rPr>
      </w:pPr>
      <w:r w:rsidRPr="000A53C0">
        <w:rPr>
          <w:rFonts w:cs="Arial"/>
        </w:rPr>
        <w:t xml:space="preserve">Very few of these companies made a submission to the </w:t>
      </w:r>
      <w:r w:rsidR="0078574F" w:rsidRPr="000A53C0">
        <w:rPr>
          <w:rFonts w:cs="Arial"/>
        </w:rPr>
        <w:t xml:space="preserve">public </w:t>
      </w:r>
      <w:r w:rsidRPr="000A53C0">
        <w:rPr>
          <w:rFonts w:cs="Arial"/>
        </w:rPr>
        <w:t>consultation, and</w:t>
      </w:r>
      <w:r w:rsidR="00C8638F" w:rsidRPr="000A53C0">
        <w:rPr>
          <w:rFonts w:cs="Arial"/>
        </w:rPr>
        <w:t xml:space="preserve"> no information about business size or </w:t>
      </w:r>
      <w:r w:rsidR="00B948E4" w:rsidRPr="000A53C0">
        <w:rPr>
          <w:rFonts w:cs="Arial"/>
        </w:rPr>
        <w:t xml:space="preserve">financial </w:t>
      </w:r>
      <w:r w:rsidR="00C8638F" w:rsidRPr="000A53C0">
        <w:rPr>
          <w:rFonts w:cs="Arial"/>
        </w:rPr>
        <w:t xml:space="preserve">turnover was available. The submissions from these companies </w:t>
      </w:r>
      <w:r w:rsidR="00C8638F" w:rsidRPr="000A53C0">
        <w:rPr>
          <w:rFonts w:cs="Arial"/>
        </w:rPr>
        <w:lastRenderedPageBreak/>
        <w:t xml:space="preserve">focussed on the effect a prohibition would have on other companies in the supply chain, such as fabricators and </w:t>
      </w:r>
      <w:r w:rsidR="000A6B82" w:rsidRPr="000A53C0">
        <w:rPr>
          <w:rFonts w:cs="Arial"/>
        </w:rPr>
        <w:t xml:space="preserve">other </w:t>
      </w:r>
      <w:r w:rsidR="00CF0645" w:rsidRPr="000A53C0">
        <w:rPr>
          <w:rFonts w:cs="Arial"/>
        </w:rPr>
        <w:t>downstream users</w:t>
      </w:r>
      <w:r w:rsidR="00C8638F" w:rsidRPr="000A53C0">
        <w:rPr>
          <w:rFonts w:cs="Arial"/>
        </w:rPr>
        <w:t>.</w:t>
      </w:r>
    </w:p>
    <w:p w14:paraId="20DE9AD5" w14:textId="26ADD13F" w:rsidR="00C8638F" w:rsidRPr="000A53C0" w:rsidRDefault="00C8638F" w:rsidP="00ED3C8B">
      <w:pPr>
        <w:pStyle w:val="IAListbullet2"/>
        <w:numPr>
          <w:ilvl w:val="0"/>
          <w:numId w:val="0"/>
        </w:numPr>
        <w:ind w:left="426"/>
        <w:rPr>
          <w:rFonts w:cs="Arial"/>
        </w:rPr>
      </w:pPr>
      <w:r w:rsidRPr="000A53C0">
        <w:rPr>
          <w:rFonts w:cs="Arial"/>
        </w:rPr>
        <w:t xml:space="preserve">Based on available information, </w:t>
      </w:r>
      <w:r w:rsidR="00D351A9" w:rsidRPr="000A53C0">
        <w:rPr>
          <w:rFonts w:cs="Arial"/>
        </w:rPr>
        <w:t xml:space="preserve">most companies </w:t>
      </w:r>
      <w:r w:rsidR="00CF0645" w:rsidRPr="000A53C0">
        <w:rPr>
          <w:rFonts w:cs="Arial"/>
        </w:rPr>
        <w:t xml:space="preserve">that </w:t>
      </w:r>
      <w:r w:rsidR="00FD7F2B" w:rsidRPr="000A53C0">
        <w:rPr>
          <w:rFonts w:cs="Arial"/>
        </w:rPr>
        <w:t xml:space="preserve">supply engineered stone also </w:t>
      </w:r>
      <w:r w:rsidR="00D351A9" w:rsidRPr="000A53C0">
        <w:rPr>
          <w:rFonts w:cs="Arial"/>
        </w:rPr>
        <w:t>supply other products, such as natural stone and/or porcelain</w:t>
      </w:r>
      <w:r w:rsidR="001F3F96" w:rsidRPr="000A53C0">
        <w:rPr>
          <w:rFonts w:cs="Arial"/>
        </w:rPr>
        <w:t>. A small number of companies appear to only supply engineered stone.</w:t>
      </w:r>
      <w:r w:rsidR="008C61C3" w:rsidRPr="000A53C0">
        <w:rPr>
          <w:rFonts w:cs="Arial"/>
        </w:rPr>
        <w:t xml:space="preserve"> </w:t>
      </w:r>
    </w:p>
    <w:p w14:paraId="4427079B" w14:textId="677DC27A" w:rsidR="00042D3D" w:rsidRPr="000A53C0" w:rsidRDefault="00A74452" w:rsidP="00ED3C8B">
      <w:pPr>
        <w:pStyle w:val="IAListbullet2"/>
        <w:numPr>
          <w:ilvl w:val="0"/>
          <w:numId w:val="0"/>
        </w:numPr>
        <w:ind w:left="426"/>
        <w:rPr>
          <w:rFonts w:cs="Arial"/>
        </w:rPr>
      </w:pPr>
      <w:r w:rsidRPr="000A53C0">
        <w:rPr>
          <w:rFonts w:cs="Arial"/>
        </w:rPr>
        <w:t>The</w:t>
      </w:r>
      <w:r w:rsidR="001F3F96" w:rsidRPr="000A53C0">
        <w:rPr>
          <w:rFonts w:cs="Arial"/>
        </w:rPr>
        <w:t xml:space="preserve"> multinational </w:t>
      </w:r>
      <w:r w:rsidRPr="000A53C0">
        <w:rPr>
          <w:rFonts w:cs="Arial"/>
        </w:rPr>
        <w:t>manufacturer</w:t>
      </w:r>
      <w:r w:rsidR="007E06E9" w:rsidRPr="000A53C0">
        <w:rPr>
          <w:rFonts w:cs="Arial"/>
        </w:rPr>
        <w:t>s</w:t>
      </w:r>
      <w:r w:rsidR="001F3F96" w:rsidRPr="000A53C0">
        <w:rPr>
          <w:rFonts w:cs="Arial"/>
        </w:rPr>
        <w:t xml:space="preserve"> </w:t>
      </w:r>
      <w:r w:rsidRPr="000A53C0">
        <w:rPr>
          <w:rFonts w:cs="Arial"/>
        </w:rPr>
        <w:t xml:space="preserve">have </w:t>
      </w:r>
      <w:r w:rsidR="002D56E6" w:rsidRPr="000A53C0">
        <w:rPr>
          <w:rFonts w:cs="Arial"/>
        </w:rPr>
        <w:t>a global market</w:t>
      </w:r>
      <w:r w:rsidR="001F3F96" w:rsidRPr="000A53C0">
        <w:rPr>
          <w:rFonts w:cs="Arial"/>
        </w:rPr>
        <w:t xml:space="preserve"> and </w:t>
      </w:r>
      <w:r w:rsidRPr="000A53C0">
        <w:rPr>
          <w:rFonts w:cs="Arial"/>
        </w:rPr>
        <w:t>existing supply routes to other countries</w:t>
      </w:r>
      <w:r w:rsidR="000A6B82" w:rsidRPr="000A53C0">
        <w:rPr>
          <w:rFonts w:cs="Arial"/>
        </w:rPr>
        <w:t xml:space="preserve">. They </w:t>
      </w:r>
      <w:r w:rsidR="00535F89" w:rsidRPr="000A53C0">
        <w:rPr>
          <w:rFonts w:cs="Arial"/>
        </w:rPr>
        <w:t>would</w:t>
      </w:r>
      <w:r w:rsidR="002D56E6" w:rsidRPr="000A53C0">
        <w:rPr>
          <w:rFonts w:cs="Arial"/>
        </w:rPr>
        <w:t xml:space="preserve"> be able to pivot</w:t>
      </w:r>
      <w:r w:rsidR="00042D3D" w:rsidRPr="000A53C0">
        <w:rPr>
          <w:rFonts w:cs="Arial"/>
        </w:rPr>
        <w:t xml:space="preserve"> sales</w:t>
      </w:r>
      <w:r w:rsidR="001F3F96" w:rsidRPr="000A53C0">
        <w:rPr>
          <w:rFonts w:cs="Arial"/>
        </w:rPr>
        <w:t xml:space="preserve"> of </w:t>
      </w:r>
      <w:r w:rsidR="00810281" w:rsidRPr="000A53C0">
        <w:rPr>
          <w:rFonts w:cs="Arial"/>
        </w:rPr>
        <w:t>engineered</w:t>
      </w:r>
      <w:r w:rsidR="001F3F96" w:rsidRPr="000A53C0">
        <w:rPr>
          <w:rFonts w:cs="Arial"/>
        </w:rPr>
        <w:t xml:space="preserve"> stone</w:t>
      </w:r>
      <w:r w:rsidR="00042D3D" w:rsidRPr="000A53C0">
        <w:rPr>
          <w:rFonts w:cs="Arial"/>
        </w:rPr>
        <w:t xml:space="preserve"> to other markets</w:t>
      </w:r>
      <w:r w:rsidR="00090FA6" w:rsidRPr="000A53C0">
        <w:rPr>
          <w:rFonts w:cs="Arial"/>
        </w:rPr>
        <w:t xml:space="preserve"> if a prohibition is </w:t>
      </w:r>
      <w:r w:rsidR="00A82B6D" w:rsidRPr="000A53C0">
        <w:rPr>
          <w:rFonts w:cs="Arial"/>
        </w:rPr>
        <w:t>implement</w:t>
      </w:r>
      <w:r w:rsidR="00090FA6" w:rsidRPr="000A53C0">
        <w:rPr>
          <w:rFonts w:cs="Arial"/>
        </w:rPr>
        <w:t>ed</w:t>
      </w:r>
      <w:r w:rsidR="00042D3D" w:rsidRPr="000A53C0">
        <w:rPr>
          <w:rFonts w:cs="Arial"/>
        </w:rPr>
        <w:t>.</w:t>
      </w:r>
      <w:r w:rsidR="001F3F96" w:rsidRPr="000A53C0">
        <w:rPr>
          <w:rFonts w:cs="Arial"/>
        </w:rPr>
        <w:t xml:space="preserve"> As above, many also supply other products</w:t>
      </w:r>
      <w:r w:rsidR="00090FA6" w:rsidRPr="000A53C0">
        <w:rPr>
          <w:rFonts w:cs="Arial"/>
        </w:rPr>
        <w:t xml:space="preserve"> and it is </w:t>
      </w:r>
      <w:r w:rsidR="00A80207" w:rsidRPr="000A53C0">
        <w:rPr>
          <w:rFonts w:cs="Arial"/>
        </w:rPr>
        <w:t>feasible that they ma</w:t>
      </w:r>
      <w:r w:rsidR="0038313F" w:rsidRPr="000A53C0">
        <w:rPr>
          <w:rFonts w:cs="Arial"/>
        </w:rPr>
        <w:t>y move their Australian operations to focus on these products</w:t>
      </w:r>
      <w:r w:rsidR="001F3F96" w:rsidRPr="000A53C0">
        <w:rPr>
          <w:rFonts w:cs="Arial"/>
        </w:rPr>
        <w:t>.</w:t>
      </w:r>
    </w:p>
    <w:p w14:paraId="1A3899C0" w14:textId="36A27F97" w:rsidR="008F7196" w:rsidRPr="000A53C0" w:rsidRDefault="00567CB5" w:rsidP="00ED3C8B">
      <w:pPr>
        <w:pStyle w:val="IAListbullet2"/>
        <w:numPr>
          <w:ilvl w:val="0"/>
          <w:numId w:val="0"/>
        </w:numPr>
        <w:ind w:left="426"/>
        <w:rPr>
          <w:rFonts w:cs="Arial"/>
        </w:rPr>
      </w:pPr>
      <w:r w:rsidRPr="000A53C0">
        <w:rPr>
          <w:rFonts w:cs="Arial"/>
        </w:rPr>
        <w:t>I</w:t>
      </w:r>
      <w:r w:rsidR="00810281" w:rsidRPr="000A53C0">
        <w:rPr>
          <w:rFonts w:cs="Arial"/>
        </w:rPr>
        <w:t>n</w:t>
      </w:r>
      <w:r w:rsidRPr="000A53C0">
        <w:rPr>
          <w:rFonts w:cs="Arial"/>
        </w:rPr>
        <w:t xml:space="preserve"> all cases, the operations </w:t>
      </w:r>
      <w:r w:rsidR="00BE2D0C" w:rsidRPr="000A53C0">
        <w:rPr>
          <w:rFonts w:cs="Arial"/>
        </w:rPr>
        <w:t>o</w:t>
      </w:r>
      <w:r w:rsidR="00F47AEE" w:rsidRPr="000A53C0">
        <w:rPr>
          <w:rFonts w:cs="Arial"/>
        </w:rPr>
        <w:t xml:space="preserve">f these </w:t>
      </w:r>
      <w:r w:rsidR="00B42B54" w:rsidRPr="000A53C0">
        <w:rPr>
          <w:rFonts w:cs="Arial"/>
        </w:rPr>
        <w:t>businesses</w:t>
      </w:r>
      <w:r w:rsidR="00F47AEE" w:rsidRPr="000A53C0">
        <w:rPr>
          <w:rFonts w:cs="Arial"/>
        </w:rPr>
        <w:t xml:space="preserve"> </w:t>
      </w:r>
      <w:r w:rsidR="0038313F" w:rsidRPr="000A53C0">
        <w:rPr>
          <w:rFonts w:cs="Arial"/>
        </w:rPr>
        <w:t xml:space="preserve">– </w:t>
      </w:r>
      <w:r w:rsidR="00F47AEE" w:rsidRPr="000A53C0">
        <w:rPr>
          <w:rFonts w:cs="Arial"/>
        </w:rPr>
        <w:t>warehouses, logistic</w:t>
      </w:r>
      <w:r w:rsidR="0038313F" w:rsidRPr="000A53C0">
        <w:rPr>
          <w:rFonts w:cs="Arial"/>
        </w:rPr>
        <w:t>al</w:t>
      </w:r>
      <w:r w:rsidR="00F47AEE" w:rsidRPr="000A53C0">
        <w:rPr>
          <w:rFonts w:cs="Arial"/>
        </w:rPr>
        <w:t xml:space="preserve"> operations, machinery for moving and storing heavy stone slabs</w:t>
      </w:r>
      <w:r w:rsidR="0038313F" w:rsidRPr="000A53C0">
        <w:rPr>
          <w:rFonts w:cs="Arial"/>
        </w:rPr>
        <w:t xml:space="preserve"> etc. –</w:t>
      </w:r>
      <w:r w:rsidR="00F47AEE" w:rsidRPr="000A53C0">
        <w:rPr>
          <w:rFonts w:cs="Arial"/>
        </w:rPr>
        <w:t xml:space="preserve"> can be </w:t>
      </w:r>
      <w:r w:rsidR="00042D3D" w:rsidRPr="000A53C0">
        <w:rPr>
          <w:rFonts w:cs="Arial"/>
        </w:rPr>
        <w:t>repurposed</w:t>
      </w:r>
      <w:r w:rsidR="005D6F5F" w:rsidRPr="000A53C0">
        <w:rPr>
          <w:rFonts w:cs="Arial"/>
        </w:rPr>
        <w:t xml:space="preserve"> for </w:t>
      </w:r>
      <w:r w:rsidR="0038313F" w:rsidRPr="000A53C0">
        <w:rPr>
          <w:rFonts w:cs="Arial"/>
        </w:rPr>
        <w:t>substitute products</w:t>
      </w:r>
      <w:r w:rsidR="005D6F5F" w:rsidRPr="000A53C0">
        <w:rPr>
          <w:rFonts w:cs="Arial"/>
        </w:rPr>
        <w:t xml:space="preserve"> (natural stone, laminate etc). </w:t>
      </w:r>
      <w:r w:rsidR="0038313F" w:rsidRPr="000A53C0">
        <w:rPr>
          <w:rFonts w:cs="Arial"/>
        </w:rPr>
        <w:t>T</w:t>
      </w:r>
      <w:r w:rsidR="00AC5C8E" w:rsidRPr="000A53C0">
        <w:rPr>
          <w:rFonts w:cs="Arial"/>
        </w:rPr>
        <w:t xml:space="preserve">he demand for </w:t>
      </w:r>
      <w:r w:rsidR="00205AAD" w:rsidRPr="000A53C0">
        <w:rPr>
          <w:rFonts w:cs="Arial"/>
        </w:rPr>
        <w:t>bench tops</w:t>
      </w:r>
      <w:r w:rsidR="003458A6" w:rsidRPr="000A53C0">
        <w:rPr>
          <w:rFonts w:cs="Arial"/>
        </w:rPr>
        <w:t>, cladding, flooring</w:t>
      </w:r>
      <w:r w:rsidR="00AC5C8E" w:rsidRPr="000A53C0">
        <w:rPr>
          <w:rFonts w:cs="Arial"/>
        </w:rPr>
        <w:t xml:space="preserve"> </w:t>
      </w:r>
      <w:r w:rsidR="003458A6" w:rsidRPr="000A53C0">
        <w:rPr>
          <w:rFonts w:cs="Arial"/>
        </w:rPr>
        <w:t>is not expected to</w:t>
      </w:r>
      <w:r w:rsidR="00AC5C8E" w:rsidRPr="000A53C0">
        <w:rPr>
          <w:rFonts w:cs="Arial"/>
        </w:rPr>
        <w:t xml:space="preserve"> decrease</w:t>
      </w:r>
      <w:r w:rsidR="00683FBE" w:rsidRPr="000A53C0">
        <w:rPr>
          <w:rFonts w:cs="Arial"/>
        </w:rPr>
        <w:t xml:space="preserve"> </w:t>
      </w:r>
      <w:r w:rsidR="00700FF0" w:rsidRPr="000A53C0">
        <w:rPr>
          <w:rFonts w:cs="Arial"/>
        </w:rPr>
        <w:t>as alternatives to engineered stone are available</w:t>
      </w:r>
      <w:r w:rsidR="008F7196" w:rsidRPr="000A53C0">
        <w:rPr>
          <w:rFonts w:cs="Arial"/>
        </w:rPr>
        <w:t>.</w:t>
      </w:r>
      <w:r w:rsidR="00205AAD" w:rsidRPr="000A53C0">
        <w:rPr>
          <w:rFonts w:cs="Arial"/>
        </w:rPr>
        <w:t xml:space="preserve"> </w:t>
      </w:r>
      <w:r w:rsidR="002611CA" w:rsidRPr="000A53C0">
        <w:rPr>
          <w:rFonts w:cs="Arial"/>
        </w:rPr>
        <w:t>There may be costs associated with pivoting to alternative products</w:t>
      </w:r>
      <w:r w:rsidR="008F7196" w:rsidRPr="000A53C0">
        <w:rPr>
          <w:rFonts w:cs="Arial"/>
        </w:rPr>
        <w:t xml:space="preserve"> </w:t>
      </w:r>
      <w:r w:rsidR="005317AF" w:rsidRPr="000A53C0">
        <w:rPr>
          <w:rFonts w:cs="Arial"/>
        </w:rPr>
        <w:t>and disposing</w:t>
      </w:r>
      <w:r w:rsidR="002611CA" w:rsidRPr="000A53C0">
        <w:rPr>
          <w:rFonts w:cs="Arial"/>
        </w:rPr>
        <w:t xml:space="preserve"> of old stock</w:t>
      </w:r>
      <w:r w:rsidR="004D6887" w:rsidRPr="000A53C0">
        <w:rPr>
          <w:rFonts w:cs="Arial"/>
        </w:rPr>
        <w:t>, however,</w:t>
      </w:r>
      <w:r w:rsidR="0069623E" w:rsidRPr="000A53C0">
        <w:rPr>
          <w:rFonts w:cs="Arial"/>
        </w:rPr>
        <w:t xml:space="preserve"> </w:t>
      </w:r>
      <w:r w:rsidR="005040A1" w:rsidRPr="000A53C0">
        <w:rPr>
          <w:rFonts w:cs="Arial"/>
        </w:rPr>
        <w:t>they</w:t>
      </w:r>
      <w:r w:rsidR="003A14E1" w:rsidRPr="000A53C0">
        <w:rPr>
          <w:rFonts w:cs="Arial"/>
        </w:rPr>
        <w:t xml:space="preserve"> are not able to be quantified due to a lack of information.</w:t>
      </w:r>
      <w:r w:rsidR="004904D5" w:rsidRPr="000A53C0">
        <w:rPr>
          <w:rFonts w:cs="Arial"/>
        </w:rPr>
        <w:t xml:space="preserve"> </w:t>
      </w:r>
      <w:r w:rsidR="008F7196" w:rsidRPr="000A53C0">
        <w:rPr>
          <w:rFonts w:cs="Arial"/>
        </w:rPr>
        <w:t>A</w:t>
      </w:r>
      <w:r w:rsidR="001F4106" w:rsidRPr="000A53C0">
        <w:rPr>
          <w:rFonts w:cs="Arial"/>
        </w:rPr>
        <w:t xml:space="preserve"> submission from one of the larger</w:t>
      </w:r>
      <w:r w:rsidR="00CB070F" w:rsidRPr="000A53C0">
        <w:rPr>
          <w:rFonts w:cs="Arial"/>
        </w:rPr>
        <w:t xml:space="preserve"> businesses</w:t>
      </w:r>
      <w:r w:rsidR="008F7196" w:rsidRPr="000A53C0">
        <w:rPr>
          <w:rFonts w:cs="Arial"/>
        </w:rPr>
        <w:t xml:space="preserve"> noted that</w:t>
      </w:r>
      <w:r w:rsidR="00405008" w:rsidRPr="000A53C0">
        <w:rPr>
          <w:rFonts w:cs="Arial"/>
        </w:rPr>
        <w:t xml:space="preserve"> should work with high silica</w:t>
      </w:r>
      <w:r w:rsidR="0038313F" w:rsidRPr="000A53C0">
        <w:rPr>
          <w:rFonts w:cs="Arial"/>
        </w:rPr>
        <w:t xml:space="preserve"> engineered</w:t>
      </w:r>
      <w:r w:rsidR="00405008" w:rsidRPr="000A53C0">
        <w:rPr>
          <w:rFonts w:cs="Arial"/>
        </w:rPr>
        <w:t xml:space="preserve"> stone be banned,</w:t>
      </w:r>
      <w:r w:rsidR="008F7196" w:rsidRPr="000A53C0">
        <w:rPr>
          <w:rFonts w:cs="Arial"/>
        </w:rPr>
        <w:t xml:space="preserve"> a 12</w:t>
      </w:r>
      <w:r w:rsidR="00F52F22">
        <w:rPr>
          <w:rFonts w:cs="Arial"/>
        </w:rPr>
        <w:t>-</w:t>
      </w:r>
      <w:r w:rsidR="008F7196" w:rsidRPr="000A53C0">
        <w:rPr>
          <w:rFonts w:cs="Arial"/>
        </w:rPr>
        <w:t>month transition</w:t>
      </w:r>
      <w:r w:rsidR="001E2632" w:rsidRPr="000A53C0">
        <w:rPr>
          <w:rFonts w:cs="Arial"/>
        </w:rPr>
        <w:t>al</w:t>
      </w:r>
      <w:r w:rsidR="008F7196" w:rsidRPr="000A53C0">
        <w:rPr>
          <w:rFonts w:cs="Arial"/>
        </w:rPr>
        <w:t xml:space="preserve"> period would allow </w:t>
      </w:r>
      <w:r w:rsidR="003C75AF" w:rsidRPr="000A53C0">
        <w:rPr>
          <w:rFonts w:cs="Arial"/>
        </w:rPr>
        <w:t xml:space="preserve">manufacturers and distributors to </w:t>
      </w:r>
      <w:r w:rsidR="00145DEC" w:rsidRPr="000A53C0">
        <w:rPr>
          <w:rFonts w:cs="Arial"/>
        </w:rPr>
        <w:t xml:space="preserve">sell current stock holdings and fulfill existing orders. </w:t>
      </w:r>
    </w:p>
    <w:p w14:paraId="2E6BA99A" w14:textId="141463B7" w:rsidR="00FC42D1" w:rsidRPr="000A53C0" w:rsidRDefault="008F7196" w:rsidP="00ED3C8B">
      <w:pPr>
        <w:pStyle w:val="IAListbullet2"/>
        <w:numPr>
          <w:ilvl w:val="0"/>
          <w:numId w:val="0"/>
        </w:numPr>
        <w:ind w:left="426"/>
        <w:rPr>
          <w:rFonts w:cs="Arial"/>
        </w:rPr>
      </w:pPr>
      <w:r w:rsidRPr="000A53C0">
        <w:rPr>
          <w:rFonts w:cs="Arial"/>
        </w:rPr>
        <w:t xml:space="preserve">There may be costs associated with </w:t>
      </w:r>
      <w:r w:rsidR="002611CA" w:rsidRPr="000A53C0">
        <w:rPr>
          <w:rFonts w:cs="Arial"/>
        </w:rPr>
        <w:t>closure</w:t>
      </w:r>
      <w:r w:rsidR="005317AF" w:rsidRPr="000A53C0">
        <w:rPr>
          <w:rFonts w:cs="Arial"/>
        </w:rPr>
        <w:t xml:space="preserve"> of a small number of businesses that import</w:t>
      </w:r>
      <w:r w:rsidR="00904F89" w:rsidRPr="000A53C0">
        <w:rPr>
          <w:rFonts w:cs="Arial"/>
        </w:rPr>
        <w:t xml:space="preserve">, </w:t>
      </w:r>
      <w:r w:rsidR="005317AF" w:rsidRPr="000A53C0">
        <w:rPr>
          <w:rFonts w:cs="Arial"/>
        </w:rPr>
        <w:t>manufacture</w:t>
      </w:r>
      <w:r w:rsidR="00904F89" w:rsidRPr="000A53C0">
        <w:rPr>
          <w:rFonts w:cs="Arial"/>
        </w:rPr>
        <w:t xml:space="preserve"> or </w:t>
      </w:r>
      <w:r w:rsidR="005317AF" w:rsidRPr="000A53C0">
        <w:rPr>
          <w:rFonts w:cs="Arial"/>
        </w:rPr>
        <w:t>distribute engineered stone</w:t>
      </w:r>
      <w:r w:rsidR="002611CA" w:rsidRPr="000A53C0">
        <w:rPr>
          <w:rFonts w:cs="Arial"/>
        </w:rPr>
        <w:t xml:space="preserve">. </w:t>
      </w:r>
      <w:r w:rsidR="00282569" w:rsidRPr="000A53C0">
        <w:rPr>
          <w:rFonts w:cs="Arial"/>
        </w:rPr>
        <w:t>How</w:t>
      </w:r>
      <w:r w:rsidR="007116CA" w:rsidRPr="000A53C0">
        <w:rPr>
          <w:rFonts w:cs="Arial"/>
        </w:rPr>
        <w:t xml:space="preserve">ever, due to a lack of information these </w:t>
      </w:r>
      <w:r w:rsidR="003A14E1" w:rsidRPr="000A53C0">
        <w:rPr>
          <w:rFonts w:cs="Arial"/>
        </w:rPr>
        <w:t xml:space="preserve">costs </w:t>
      </w:r>
      <w:r w:rsidR="007116CA" w:rsidRPr="000A53C0">
        <w:rPr>
          <w:rFonts w:cs="Arial"/>
        </w:rPr>
        <w:t>are unable to be quantified.</w:t>
      </w:r>
    </w:p>
    <w:p w14:paraId="4120394E" w14:textId="77777777" w:rsidR="002611CA" w:rsidRPr="000A53C0" w:rsidRDefault="3CA390F3" w:rsidP="001B44C4">
      <w:pPr>
        <w:pStyle w:val="IAListbullet2"/>
        <w:rPr>
          <w:rFonts w:cs="Arial"/>
        </w:rPr>
      </w:pPr>
      <w:r w:rsidRPr="000A53C0">
        <w:rPr>
          <w:rFonts w:cs="Arial"/>
          <w:b/>
          <w:bCs/>
        </w:rPr>
        <w:t>Costs to retailers:</w:t>
      </w:r>
      <w:r w:rsidRPr="000A53C0">
        <w:rPr>
          <w:rFonts w:cs="Arial"/>
        </w:rPr>
        <w:t xml:space="preserve"> considered out of scope for this analysis. There may be additional labour and other costs to kitchen and bathroom retailers, architects and designers associated with required changes to their designs, production, pricing and/or marketing for alternative products. There may also be additional costs associated with removing and replacing existing engineered stone displays. </w:t>
      </w:r>
    </w:p>
    <w:p w14:paraId="0C4329E6" w14:textId="77777777" w:rsidR="002611CA" w:rsidRPr="000A53C0" w:rsidRDefault="3CA390F3" w:rsidP="001B44C4">
      <w:pPr>
        <w:pStyle w:val="IAListbullet2"/>
        <w:rPr>
          <w:rFonts w:cs="Arial"/>
          <w:strike/>
        </w:rPr>
      </w:pPr>
      <w:r w:rsidRPr="000A53C0">
        <w:rPr>
          <w:rFonts w:cs="Arial"/>
          <w:b/>
          <w:bCs/>
        </w:rPr>
        <w:t>Change in the size of the market:</w:t>
      </w:r>
      <w:r w:rsidRPr="000A53C0">
        <w:rPr>
          <w:rFonts w:cs="Arial"/>
        </w:rPr>
        <w:t xml:space="preserve"> The proposed prohibition options are not expected to have any impacts on underlying demand for kitchen and bathroom benchtops, splashbacks and other products that engineered stone is often used for. Alternative product options exist for consumers.</w:t>
      </w:r>
    </w:p>
    <w:p w14:paraId="07AB17C0" w14:textId="5949EFB0" w:rsidR="002611CA" w:rsidRPr="000A53C0" w:rsidRDefault="002611CA" w:rsidP="00514CCB">
      <w:pPr>
        <w:pStyle w:val="Heading3numbered"/>
      </w:pPr>
      <w:r w:rsidRPr="000A53C0">
        <w:t>Qualitative costs to workers</w:t>
      </w:r>
    </w:p>
    <w:p w14:paraId="49BAE742" w14:textId="0BD2EE1A" w:rsidR="002611CA" w:rsidRPr="000A53C0" w:rsidRDefault="002611CA" w:rsidP="002611CA">
      <w:pPr>
        <w:pStyle w:val="BodyText"/>
        <w:keepNext/>
        <w:rPr>
          <w:rFonts w:cs="Arial"/>
        </w:rPr>
      </w:pPr>
      <w:r w:rsidRPr="000A53C0">
        <w:rPr>
          <w:rFonts w:cs="Arial"/>
        </w:rPr>
        <w:t>The proposed options are not expected to have significant longer</w:t>
      </w:r>
      <w:r w:rsidR="00D41E04" w:rsidRPr="000A53C0">
        <w:rPr>
          <w:rFonts w:cs="Arial"/>
        </w:rPr>
        <w:t>-</w:t>
      </w:r>
      <w:r w:rsidRPr="000A53C0">
        <w:rPr>
          <w:rFonts w:cs="Arial"/>
        </w:rPr>
        <w:t xml:space="preserve">term impacts on employment levels or wages of engineered stone workers. This is because underlying demand for kitchen and bathroom benchtops and other surfaces is not expected to change regardless of any prohibition on engineered stone. Given significant workforce shortages across the construction sector (Judd, 2023), it is expected that displaced workers would find alternative employment in similar or related trades. </w:t>
      </w:r>
    </w:p>
    <w:p w14:paraId="2026C3CF" w14:textId="0B66E004" w:rsidR="00E03CBF" w:rsidRPr="000A53C0" w:rsidRDefault="002611CA" w:rsidP="00514CCB">
      <w:pPr>
        <w:pStyle w:val="Heading3numbered"/>
      </w:pPr>
      <w:bookmarkStart w:id="146" w:name="_Toc136327233"/>
      <w:r w:rsidRPr="000A53C0">
        <w:t>Qualitative costs to consumers</w:t>
      </w:r>
      <w:bookmarkEnd w:id="146"/>
      <w:r w:rsidRPr="000A53C0">
        <w:t xml:space="preserve"> </w:t>
      </w:r>
    </w:p>
    <w:p w14:paraId="0B5710A5" w14:textId="6031D2DF" w:rsidR="002611CA" w:rsidRPr="000A53C0" w:rsidRDefault="002611CA" w:rsidP="003B5178">
      <w:pPr>
        <w:pStyle w:val="Heading4numbered"/>
      </w:pPr>
      <w:bookmarkStart w:id="147" w:name="_Ref141367681"/>
      <w:r w:rsidRPr="000A53C0">
        <w:t>Potential for increased purchasing prices for new engineered stone products</w:t>
      </w:r>
      <w:bookmarkEnd w:id="147"/>
    </w:p>
    <w:p w14:paraId="2626443D" w14:textId="6AD71A29" w:rsidR="002611CA" w:rsidRPr="000A53C0" w:rsidRDefault="002611CA" w:rsidP="002611CA">
      <w:pPr>
        <w:pStyle w:val="BodyText"/>
        <w:spacing w:after="200" w:line="260" w:lineRule="exact"/>
        <w:rPr>
          <w:rFonts w:cs="Arial"/>
        </w:rPr>
      </w:pPr>
      <w:r w:rsidRPr="000A53C0">
        <w:rPr>
          <w:rFonts w:cs="Arial"/>
        </w:rPr>
        <w:t>Engineered stone currently accounts for 55% of the kitchen benchtop market (by volume).</w:t>
      </w:r>
      <w:r w:rsidRPr="000A53C0">
        <w:rPr>
          <w:rFonts w:cs="Arial"/>
          <w:vertAlign w:val="superscript"/>
        </w:rPr>
        <w:footnoteReference w:id="12"/>
      </w:r>
      <w:r w:rsidRPr="000A53C0">
        <w:rPr>
          <w:rFonts w:cs="Arial"/>
          <w:vertAlign w:val="superscript"/>
        </w:rPr>
        <w:t xml:space="preserve"> </w:t>
      </w:r>
      <w:r w:rsidRPr="000A53C0">
        <w:rPr>
          <w:rFonts w:cs="Arial"/>
        </w:rPr>
        <w:t xml:space="preserve">A prohibition on use of </w:t>
      </w:r>
      <w:r w:rsidR="00202491" w:rsidRPr="000A53C0">
        <w:rPr>
          <w:rFonts w:cs="Arial"/>
        </w:rPr>
        <w:t xml:space="preserve">all </w:t>
      </w:r>
      <w:r w:rsidR="00C521C2" w:rsidRPr="000A53C0">
        <w:rPr>
          <w:rFonts w:cs="Arial"/>
        </w:rPr>
        <w:t>engineered stone</w:t>
      </w:r>
      <w:r w:rsidRPr="000A53C0">
        <w:rPr>
          <w:rFonts w:cs="Arial"/>
        </w:rPr>
        <w:t xml:space="preserve"> may drive a substantial shift in demand in the market to alternative products (e.g. natural stone, laminate or wood). It is feasible that this shift</w:t>
      </w:r>
      <w:r w:rsidRPr="000A53C0" w:rsidDel="00160223">
        <w:rPr>
          <w:rFonts w:cs="Arial"/>
        </w:rPr>
        <w:t xml:space="preserve"> </w:t>
      </w:r>
      <w:r w:rsidRPr="000A53C0">
        <w:rPr>
          <w:rFonts w:cs="Arial"/>
        </w:rPr>
        <w:t xml:space="preserve">may lead to short-term price increases </w:t>
      </w:r>
      <w:r w:rsidR="00100139" w:rsidRPr="000A53C0">
        <w:rPr>
          <w:rFonts w:cs="Arial"/>
        </w:rPr>
        <w:t xml:space="preserve">in these alternate products </w:t>
      </w:r>
      <w:r w:rsidRPr="000A53C0">
        <w:rPr>
          <w:rFonts w:cs="Arial"/>
        </w:rPr>
        <w:t xml:space="preserve">while the market adapts to changes in demand (substitution effect). The size of price increases will depend on the market power of producers relative to consumers. In turn, </w:t>
      </w:r>
      <w:r w:rsidRPr="000A53C0">
        <w:rPr>
          <w:rFonts w:cs="Arial"/>
        </w:rPr>
        <w:lastRenderedPageBreak/>
        <w:t xml:space="preserve">this is influenced by the level of competition throughout the supply chain for kitchen and bathroom benchtops and similar products. </w:t>
      </w:r>
    </w:p>
    <w:p w14:paraId="251497C7" w14:textId="77777777" w:rsidR="002611CA" w:rsidRPr="000A53C0" w:rsidRDefault="002611CA" w:rsidP="002611CA">
      <w:pPr>
        <w:pStyle w:val="BodyText"/>
        <w:spacing w:after="200" w:line="260" w:lineRule="exact"/>
        <w:rPr>
          <w:rFonts w:cs="Arial"/>
        </w:rPr>
      </w:pPr>
      <w:r w:rsidRPr="000A53C0">
        <w:rPr>
          <w:rFonts w:cs="Arial"/>
        </w:rPr>
        <w:t>Under Options 2 and 3, there may also be an increase in the price of lower silica engineered stone due to:</w:t>
      </w:r>
    </w:p>
    <w:p w14:paraId="220F68F0" w14:textId="260B160A" w:rsidR="002611CA" w:rsidRPr="000A53C0" w:rsidRDefault="0019325A" w:rsidP="001B44C4">
      <w:pPr>
        <w:pStyle w:val="IAListbullet2"/>
        <w:rPr>
          <w:rFonts w:cs="Arial"/>
        </w:rPr>
      </w:pPr>
      <w:r>
        <w:rPr>
          <w:rFonts w:cs="Arial"/>
        </w:rPr>
        <w:t>a</w:t>
      </w:r>
      <w:r w:rsidR="3CA390F3" w:rsidRPr="000A53C0">
        <w:rPr>
          <w:rFonts w:cs="Arial"/>
        </w:rPr>
        <w:t>dditional costs associated with licensing arrangements (Option 3</w:t>
      </w:r>
      <w:r>
        <w:rPr>
          <w:rFonts w:cs="Arial"/>
        </w:rPr>
        <w:t>)</w:t>
      </w:r>
    </w:p>
    <w:p w14:paraId="44398924" w14:textId="250DB541" w:rsidR="002611CA" w:rsidRPr="000A53C0" w:rsidRDefault="0019325A" w:rsidP="001B44C4">
      <w:pPr>
        <w:pStyle w:val="IAListbullet2"/>
        <w:rPr>
          <w:rFonts w:cs="Arial"/>
        </w:rPr>
      </w:pPr>
      <w:r>
        <w:rPr>
          <w:rFonts w:cs="Arial"/>
        </w:rPr>
        <w:t>t</w:t>
      </w:r>
      <w:r w:rsidR="3CA390F3" w:rsidRPr="000A53C0">
        <w:rPr>
          <w:rFonts w:cs="Arial"/>
        </w:rPr>
        <w:t>hese products can take longer to fabricate, and it is expected that engineered stone PCBUs would need to pass these higher production costs on to consumers</w:t>
      </w:r>
    </w:p>
    <w:p w14:paraId="0F73A8FA" w14:textId="29D08924" w:rsidR="00985F07" w:rsidRPr="000A53C0" w:rsidRDefault="0019325A" w:rsidP="001B44C4">
      <w:pPr>
        <w:pStyle w:val="IAListbullet2"/>
        <w:rPr>
          <w:rFonts w:cs="Arial"/>
        </w:rPr>
      </w:pPr>
      <w:r>
        <w:rPr>
          <w:rFonts w:cs="Arial"/>
        </w:rPr>
        <w:t>m</w:t>
      </w:r>
      <w:r w:rsidR="237B7386" w:rsidRPr="000A53C0">
        <w:rPr>
          <w:rFonts w:cs="Arial"/>
        </w:rPr>
        <w:t>anufacturers may seek to recoup the cost of developing these new products</w:t>
      </w:r>
      <w:r>
        <w:rPr>
          <w:rFonts w:cs="Arial"/>
        </w:rPr>
        <w:t>, and</w:t>
      </w:r>
    </w:p>
    <w:p w14:paraId="6E4F0EA1" w14:textId="47FFC06E" w:rsidR="002611CA" w:rsidRPr="000A53C0" w:rsidRDefault="0019325A" w:rsidP="001B44C4">
      <w:pPr>
        <w:pStyle w:val="IAListbullet2"/>
        <w:rPr>
          <w:rFonts w:cs="Arial"/>
        </w:rPr>
      </w:pPr>
      <w:r>
        <w:rPr>
          <w:rFonts w:cs="Arial"/>
        </w:rPr>
        <w:t>p</w:t>
      </w:r>
      <w:r w:rsidR="3CA390F3" w:rsidRPr="000A53C0">
        <w:rPr>
          <w:rFonts w:cs="Arial"/>
        </w:rPr>
        <w:t xml:space="preserve">otentially reduced competition in the market due to a small increase in the barriers to entry. Nevertheless, there are several providers of lower silica alternatives (see </w:t>
      </w:r>
      <w:r w:rsidR="2541A903" w:rsidRPr="000A53C0">
        <w:rPr>
          <w:rFonts w:cs="Arial"/>
        </w:rPr>
        <w:t>section</w:t>
      </w:r>
      <w:r w:rsidR="638DC1FE" w:rsidRPr="000A53C0">
        <w:rPr>
          <w:rFonts w:cs="Arial"/>
        </w:rPr>
        <w:t xml:space="preserve"> B.1.1)</w:t>
      </w:r>
      <w:r w:rsidR="3CA390F3" w:rsidRPr="000A53C0">
        <w:rPr>
          <w:rFonts w:cs="Arial"/>
        </w:rPr>
        <w:t xml:space="preserve">. </w:t>
      </w:r>
    </w:p>
    <w:p w14:paraId="69F12D8C" w14:textId="40BA8334" w:rsidR="002611CA" w:rsidRPr="000A53C0" w:rsidRDefault="002611CA" w:rsidP="002611CA">
      <w:pPr>
        <w:pStyle w:val="BodyText"/>
        <w:spacing w:after="200" w:line="260" w:lineRule="exact"/>
        <w:rPr>
          <w:rFonts w:cs="Arial"/>
        </w:rPr>
      </w:pPr>
      <w:r w:rsidRPr="000A53C0">
        <w:rPr>
          <w:rFonts w:cs="Arial"/>
        </w:rPr>
        <w:t>This impact will depend on the level of competition throughout the supply chain for benchtops and similar products. Where price increases are driven b</w:t>
      </w:r>
      <w:r w:rsidR="0038174A" w:rsidRPr="000A53C0">
        <w:rPr>
          <w:rFonts w:cs="Arial"/>
        </w:rPr>
        <w:t>y a</w:t>
      </w:r>
      <w:r w:rsidRPr="000A53C0">
        <w:rPr>
          <w:rFonts w:cs="Arial"/>
        </w:rPr>
        <w:t xml:space="preserve"> higher </w:t>
      </w:r>
      <w:r w:rsidR="00582FC5" w:rsidRPr="000A53C0">
        <w:rPr>
          <w:rFonts w:cs="Arial"/>
        </w:rPr>
        <w:t>production costs</w:t>
      </w:r>
      <w:r w:rsidR="0038174A" w:rsidRPr="000A53C0">
        <w:rPr>
          <w:rFonts w:cs="Arial"/>
        </w:rPr>
        <w:t>, rather than variation in demand</w:t>
      </w:r>
      <w:r w:rsidR="00582FC5" w:rsidRPr="000A53C0">
        <w:rPr>
          <w:rFonts w:cs="Arial"/>
        </w:rPr>
        <w:t xml:space="preserve">, </w:t>
      </w:r>
      <w:r w:rsidRPr="000A53C0">
        <w:rPr>
          <w:rFonts w:cs="Arial"/>
        </w:rPr>
        <w:t>the</w:t>
      </w:r>
      <w:r w:rsidR="00582FC5" w:rsidRPr="000A53C0">
        <w:rPr>
          <w:rFonts w:cs="Arial"/>
        </w:rPr>
        <w:t xml:space="preserve"> increased price will likely </w:t>
      </w:r>
      <w:r w:rsidRPr="000A53C0">
        <w:rPr>
          <w:rFonts w:cs="Arial"/>
        </w:rPr>
        <w:t xml:space="preserve">be persistent. </w:t>
      </w:r>
    </w:p>
    <w:p w14:paraId="646D45D3" w14:textId="64D1D052" w:rsidR="002611CA" w:rsidRPr="000A53C0" w:rsidRDefault="002611CA" w:rsidP="003B5178">
      <w:pPr>
        <w:pStyle w:val="Heading4numbered"/>
      </w:pPr>
      <w:bookmarkStart w:id="148" w:name="_Ref141367508"/>
      <w:r w:rsidRPr="000A53C0">
        <w:t>Potential increased price for removal, repair or modification of previously installed engineered stone</w:t>
      </w:r>
      <w:bookmarkEnd w:id="148"/>
      <w:r w:rsidRPr="000A53C0">
        <w:t xml:space="preserve"> </w:t>
      </w:r>
    </w:p>
    <w:p w14:paraId="4F1C940E" w14:textId="13058B57" w:rsidR="002611CA" w:rsidRPr="000A53C0" w:rsidRDefault="002611CA" w:rsidP="002611CA">
      <w:pPr>
        <w:pStyle w:val="BodyText"/>
        <w:rPr>
          <w:rFonts w:cs="Arial"/>
        </w:rPr>
      </w:pPr>
      <w:r w:rsidRPr="000A53C0">
        <w:rPr>
          <w:rFonts w:cs="Arial"/>
        </w:rPr>
        <w:t xml:space="preserve">Under the prohibition options, there may be some upward pressure on the price paid by consumers when engaging a tradesperson to undertake removal, repair or modification of engineered stone already installed in their home or workplace. This would be due to other industry PCBUs passing on the costs they incur under the licensing framework for work with legacy products (including any passed on to PCBUs by </w:t>
      </w:r>
      <w:r w:rsidR="007F6C28" w:rsidRPr="000A53C0">
        <w:rPr>
          <w:rFonts w:cs="Arial"/>
        </w:rPr>
        <w:t>governments</w:t>
      </w:r>
      <w:r w:rsidRPr="000A53C0">
        <w:rPr>
          <w:rFonts w:cs="Arial"/>
        </w:rPr>
        <w:t xml:space="preserve">) and </w:t>
      </w:r>
      <w:r w:rsidR="00343BBB" w:rsidRPr="000A53C0">
        <w:rPr>
          <w:rFonts w:cs="Arial"/>
        </w:rPr>
        <w:t xml:space="preserve">decreased </w:t>
      </w:r>
      <w:r w:rsidRPr="000A53C0">
        <w:rPr>
          <w:rFonts w:cs="Arial"/>
        </w:rPr>
        <w:t xml:space="preserve">competition should the number of PCBUs willing to obtain a licence to do this work decrease. </w:t>
      </w:r>
    </w:p>
    <w:p w14:paraId="1668C637" w14:textId="65901DBD" w:rsidR="002611CA" w:rsidRPr="000A53C0" w:rsidRDefault="002611CA" w:rsidP="003B5178">
      <w:pPr>
        <w:pStyle w:val="Heading4numbered"/>
      </w:pPr>
      <w:r w:rsidRPr="000A53C0">
        <w:t>Other impacts on consumers</w:t>
      </w:r>
    </w:p>
    <w:p w14:paraId="4C88D963" w14:textId="1353CF1E" w:rsidR="002611CA" w:rsidRPr="000A53C0" w:rsidRDefault="002611CA" w:rsidP="002611CA">
      <w:pPr>
        <w:pStyle w:val="BodyText"/>
        <w:rPr>
          <w:rFonts w:cs="Arial"/>
          <w:bCs/>
        </w:rPr>
      </w:pPr>
      <w:r w:rsidRPr="000A53C0">
        <w:rPr>
          <w:rFonts w:cs="Arial"/>
        </w:rPr>
        <w:t>The prohibition options would lead to a decrease in the choice of material for kitchen and bathroom benchtops and similar products. While there are various alternatives to engineered stone, the alternatives have different prope</w:t>
      </w:r>
      <w:r w:rsidRPr="000A53C0">
        <w:rPr>
          <w:rFonts w:cs="Arial"/>
          <w:bCs/>
        </w:rPr>
        <w:t>rties and price points relative to engineered stone</w:t>
      </w:r>
      <w:r w:rsidR="00874AD2">
        <w:rPr>
          <w:rFonts w:cs="Arial"/>
          <w:bCs/>
        </w:rPr>
        <w:t>:</w:t>
      </w:r>
      <w:r w:rsidRPr="000A53C0">
        <w:rPr>
          <w:rFonts w:cs="Arial"/>
          <w:bCs/>
        </w:rPr>
        <w:t xml:space="preserve"> </w:t>
      </w:r>
    </w:p>
    <w:p w14:paraId="390887A7" w14:textId="77777777" w:rsidR="002611CA" w:rsidRPr="000A53C0" w:rsidRDefault="3CA390F3" w:rsidP="001B44C4">
      <w:pPr>
        <w:pStyle w:val="IAListbullet2"/>
        <w:rPr>
          <w:rFonts w:cs="Arial"/>
        </w:rPr>
      </w:pPr>
      <w:r w:rsidRPr="000A53C0">
        <w:rPr>
          <w:rFonts w:cs="Arial"/>
        </w:rPr>
        <w:t>Under Option 1, the prohibition on the use of all engineered stone would reduce the range of price-quality combinations for kitchen</w:t>
      </w:r>
      <w:r w:rsidRPr="000A53C0">
        <w:rPr>
          <w:rFonts w:cs="Arial"/>
          <w:b/>
          <w:bCs/>
        </w:rPr>
        <w:t xml:space="preserve"> </w:t>
      </w:r>
      <w:r w:rsidRPr="000A53C0">
        <w:rPr>
          <w:rFonts w:cs="Arial"/>
        </w:rPr>
        <w:t xml:space="preserve">and bathroom benchtops and similar products. </w:t>
      </w:r>
    </w:p>
    <w:p w14:paraId="61B6A076" w14:textId="61CEB841" w:rsidR="002611CA" w:rsidRPr="000A53C0" w:rsidRDefault="3CA390F3" w:rsidP="001B44C4">
      <w:pPr>
        <w:pStyle w:val="IAListbullet2"/>
        <w:rPr>
          <w:rFonts w:cs="Arial"/>
        </w:rPr>
      </w:pPr>
      <w:r w:rsidRPr="000A53C0">
        <w:rPr>
          <w:rFonts w:cs="Arial"/>
        </w:rPr>
        <w:t>Under Option 2 and 3, a prohibition on the use of engineered stone with 40% or more crystalline silica content would reduce the choice in engineered stone products</w:t>
      </w:r>
      <w:r w:rsidR="4E8CD276" w:rsidRPr="000A53C0">
        <w:rPr>
          <w:rFonts w:cs="Arial"/>
        </w:rPr>
        <w:t xml:space="preserve"> and potentially increase the price (see section</w:t>
      </w:r>
      <w:r w:rsidR="20CA7384" w:rsidRPr="000A53C0">
        <w:rPr>
          <w:rFonts w:cs="Arial"/>
        </w:rPr>
        <w:t xml:space="preserve"> </w:t>
      </w:r>
      <w:r w:rsidR="002611CA" w:rsidRPr="000A53C0">
        <w:rPr>
          <w:rFonts w:cs="Arial"/>
        </w:rPr>
        <w:fldChar w:fldCharType="begin" w:fldLock="1"/>
      </w:r>
      <w:r w:rsidR="002611CA" w:rsidRPr="000A53C0">
        <w:rPr>
          <w:rFonts w:cs="Arial"/>
        </w:rPr>
        <w:instrText xml:space="preserve"> REF _Ref141367681 \r \h </w:instrText>
      </w:r>
      <w:r w:rsidR="000A53C0">
        <w:rPr>
          <w:rFonts w:cs="Arial"/>
        </w:rPr>
        <w:instrText xml:space="preserve"> \* MERGEFORMAT </w:instrText>
      </w:r>
      <w:r w:rsidR="002611CA" w:rsidRPr="000A53C0">
        <w:rPr>
          <w:rFonts w:cs="Arial"/>
        </w:rPr>
      </w:r>
      <w:r w:rsidR="002611CA" w:rsidRPr="000A53C0">
        <w:rPr>
          <w:rFonts w:cs="Arial"/>
        </w:rPr>
        <w:fldChar w:fldCharType="separate"/>
      </w:r>
      <w:r w:rsidR="00D16271">
        <w:rPr>
          <w:rFonts w:cs="Arial"/>
        </w:rPr>
        <w:t>4.7.3.1</w:t>
      </w:r>
      <w:r w:rsidR="002611CA" w:rsidRPr="000A53C0">
        <w:rPr>
          <w:rFonts w:cs="Arial"/>
        </w:rPr>
        <w:fldChar w:fldCharType="end"/>
      </w:r>
      <w:r w:rsidR="20CA7384" w:rsidRPr="000A53C0">
        <w:rPr>
          <w:rFonts w:cs="Arial"/>
        </w:rPr>
        <w:t>).</w:t>
      </w:r>
      <w:r w:rsidRPr="000A53C0">
        <w:rPr>
          <w:rFonts w:cs="Arial"/>
        </w:rPr>
        <w:t>In both cases, however, there are numerous alternative products and the market is expected to continue to innovate.</w:t>
      </w:r>
    </w:p>
    <w:p w14:paraId="3636AB54" w14:textId="05E60D12" w:rsidR="002611CA" w:rsidRPr="000A53C0" w:rsidRDefault="002611CA" w:rsidP="00514CCB">
      <w:pPr>
        <w:pStyle w:val="Heading3numbered"/>
      </w:pPr>
      <w:bookmarkStart w:id="149" w:name="_Toc136327234"/>
      <w:r w:rsidRPr="000A53C0">
        <w:t>Costs to the community</w:t>
      </w:r>
      <w:bookmarkEnd w:id="149"/>
    </w:p>
    <w:p w14:paraId="6A5794E6" w14:textId="3A23AE64" w:rsidR="002611CA" w:rsidRPr="000A53C0" w:rsidRDefault="002611CA" w:rsidP="003B5178">
      <w:pPr>
        <w:pStyle w:val="Heading4numbered"/>
      </w:pPr>
      <w:r w:rsidRPr="000A53C0">
        <w:t>Economic growth</w:t>
      </w:r>
    </w:p>
    <w:p w14:paraId="3CF81E29" w14:textId="77777777" w:rsidR="002611CA" w:rsidRPr="000A53C0" w:rsidRDefault="002611CA" w:rsidP="002611CA">
      <w:pPr>
        <w:pStyle w:val="BodyText"/>
        <w:rPr>
          <w:rFonts w:cs="Arial"/>
        </w:rPr>
      </w:pPr>
      <w:r w:rsidRPr="000A53C0">
        <w:rPr>
          <w:rFonts w:cs="Arial"/>
        </w:rPr>
        <w:t xml:space="preserve">No negative impacts on economic growth are expected from any of the options. There may be a small positive impact on GDP if locally produced products replace imported engineered stone products. </w:t>
      </w:r>
    </w:p>
    <w:p w14:paraId="37DC364C" w14:textId="1C1704E6" w:rsidR="002611CA" w:rsidRPr="000A53C0" w:rsidRDefault="002611CA" w:rsidP="003B5178">
      <w:pPr>
        <w:pStyle w:val="Heading4numbered"/>
      </w:pPr>
      <w:r w:rsidRPr="000A53C0">
        <w:t>Environmental impacts</w:t>
      </w:r>
    </w:p>
    <w:p w14:paraId="161BD755" w14:textId="77777777" w:rsidR="002611CA" w:rsidRPr="000A53C0" w:rsidRDefault="002611CA" w:rsidP="002611CA">
      <w:pPr>
        <w:pStyle w:val="BodyText"/>
        <w:rPr>
          <w:rFonts w:cs="Arial"/>
        </w:rPr>
      </w:pPr>
      <w:r w:rsidRPr="000A53C0">
        <w:rPr>
          <w:rFonts w:cs="Arial"/>
        </w:rPr>
        <w:t xml:space="preserve">All options may have some level of environmental impact if PCBUs are unable to sell unused engineered stone stock and must dispose of it instead. </w:t>
      </w:r>
    </w:p>
    <w:p w14:paraId="0B64012F" w14:textId="6E3B70CB" w:rsidR="002611CA" w:rsidRPr="000A53C0" w:rsidRDefault="002611CA" w:rsidP="00514CCB">
      <w:pPr>
        <w:pStyle w:val="Heading2numbered"/>
      </w:pPr>
      <w:bookmarkStart w:id="150" w:name="_Toc136327235"/>
      <w:bookmarkStart w:id="151" w:name="_Toc142991342"/>
      <w:r w:rsidRPr="000A53C0">
        <w:lastRenderedPageBreak/>
        <w:t>Qualitative benefits</w:t>
      </w:r>
      <w:bookmarkEnd w:id="150"/>
      <w:bookmarkEnd w:id="151"/>
    </w:p>
    <w:p w14:paraId="168E21B2" w14:textId="7F9E32E5" w:rsidR="002611CA" w:rsidRPr="000A53C0" w:rsidRDefault="002611CA" w:rsidP="002611CA">
      <w:pPr>
        <w:pStyle w:val="BodyText"/>
        <w:rPr>
          <w:rFonts w:cs="Arial"/>
        </w:rPr>
      </w:pPr>
      <w:r w:rsidRPr="000A53C0">
        <w:rPr>
          <w:rFonts w:cs="Arial"/>
        </w:rPr>
        <w:t xml:space="preserve">As discussed in </w:t>
      </w:r>
      <w:r w:rsidR="00040A84" w:rsidRPr="000A53C0">
        <w:rPr>
          <w:rFonts w:cs="Arial"/>
        </w:rPr>
        <w:t>C</w:t>
      </w:r>
      <w:r w:rsidRPr="000A53C0">
        <w:rPr>
          <w:rFonts w:cs="Arial"/>
        </w:rPr>
        <w:t xml:space="preserve">hapter </w:t>
      </w:r>
      <w:r w:rsidR="00040A84" w:rsidRPr="000A53C0">
        <w:rPr>
          <w:rFonts w:cs="Arial"/>
        </w:rPr>
        <w:fldChar w:fldCharType="begin" w:fldLock="1"/>
      </w:r>
      <w:r w:rsidR="00040A84" w:rsidRPr="000A53C0">
        <w:rPr>
          <w:rFonts w:cs="Arial"/>
        </w:rPr>
        <w:instrText xml:space="preserve"> REF _Ref139639328 \r \h </w:instrText>
      </w:r>
      <w:r w:rsidR="000A53C0">
        <w:rPr>
          <w:rFonts w:cs="Arial"/>
        </w:rPr>
        <w:instrText xml:space="preserve"> \* MERGEFORMAT </w:instrText>
      </w:r>
      <w:r w:rsidR="00040A84" w:rsidRPr="000A53C0">
        <w:rPr>
          <w:rFonts w:cs="Arial"/>
        </w:rPr>
      </w:r>
      <w:r w:rsidR="00040A84" w:rsidRPr="000A53C0">
        <w:rPr>
          <w:rFonts w:cs="Arial"/>
        </w:rPr>
        <w:fldChar w:fldCharType="separate"/>
      </w:r>
      <w:r w:rsidR="00D16271">
        <w:rPr>
          <w:rFonts w:cs="Arial"/>
        </w:rPr>
        <w:t>2</w:t>
      </w:r>
      <w:r w:rsidR="00040A84" w:rsidRPr="000A53C0">
        <w:rPr>
          <w:rFonts w:cs="Arial"/>
        </w:rPr>
        <w:fldChar w:fldCharType="end"/>
      </w:r>
      <w:r w:rsidR="00040A84" w:rsidRPr="000A53C0">
        <w:rPr>
          <w:rFonts w:cs="Arial"/>
        </w:rPr>
        <w:t xml:space="preserve">, </w:t>
      </w:r>
      <w:r w:rsidRPr="000A53C0">
        <w:rPr>
          <w:rFonts w:cs="Arial"/>
        </w:rPr>
        <w:t>exposure to respirable crystalline silica (RCS) can lead to silicosis and silica-related diseases. The increased use of engineered stone in Australia coincides with an increase in silicosis diagnosis, and engineered stone workers are over</w:t>
      </w:r>
      <w:r w:rsidR="00CF158B" w:rsidRPr="000A53C0">
        <w:rPr>
          <w:rFonts w:cs="Arial"/>
        </w:rPr>
        <w:t>-</w:t>
      </w:r>
      <w:r w:rsidRPr="000A53C0">
        <w:rPr>
          <w:rFonts w:cs="Arial"/>
        </w:rPr>
        <w:t>represented amongst silicosis patients. Removing engineered stone as a source of RCS from the Australian market, is expected to lead to the following benefits over the long term:</w:t>
      </w:r>
    </w:p>
    <w:p w14:paraId="65AF774A" w14:textId="61A9C3A9" w:rsidR="002611CA" w:rsidRPr="000A53C0" w:rsidRDefault="00D05281" w:rsidP="001B44C4">
      <w:pPr>
        <w:pStyle w:val="IAListbullet2"/>
        <w:rPr>
          <w:rFonts w:cs="Arial"/>
        </w:rPr>
      </w:pPr>
      <w:r>
        <w:rPr>
          <w:rFonts w:cs="Arial"/>
        </w:rPr>
        <w:t>r</w:t>
      </w:r>
      <w:r w:rsidR="3CA390F3" w:rsidRPr="000A53C0">
        <w:rPr>
          <w:rFonts w:cs="Arial"/>
        </w:rPr>
        <w:t>educed number of people living with silicosis and silica-related diseases</w:t>
      </w:r>
    </w:p>
    <w:p w14:paraId="1780329E" w14:textId="600DE2A8" w:rsidR="002611CA" w:rsidRPr="000A53C0" w:rsidRDefault="00D05281" w:rsidP="001B44C4">
      <w:pPr>
        <w:pStyle w:val="IAListbullet2"/>
        <w:rPr>
          <w:rFonts w:cs="Arial"/>
        </w:rPr>
      </w:pPr>
      <w:r>
        <w:rPr>
          <w:rFonts w:cs="Arial"/>
        </w:rPr>
        <w:t>r</w:t>
      </w:r>
      <w:r w:rsidR="3CA390F3" w:rsidRPr="000A53C0">
        <w:rPr>
          <w:rFonts w:cs="Arial"/>
        </w:rPr>
        <w:t>educed premature death from silicosis and silica-related diseases</w:t>
      </w:r>
    </w:p>
    <w:p w14:paraId="2C229DFC" w14:textId="3D7B7349" w:rsidR="002611CA" w:rsidRPr="000A53C0" w:rsidRDefault="00D05281" w:rsidP="001B44C4">
      <w:pPr>
        <w:pStyle w:val="IAListbullet2"/>
        <w:rPr>
          <w:rFonts w:cs="Arial"/>
        </w:rPr>
      </w:pPr>
      <w:r>
        <w:rPr>
          <w:rFonts w:cs="Arial"/>
        </w:rPr>
        <w:t>a</w:t>
      </w:r>
      <w:r w:rsidR="3CA390F3" w:rsidRPr="000A53C0">
        <w:rPr>
          <w:rFonts w:cs="Arial"/>
        </w:rPr>
        <w:t>voided hospitalisations, outpatient care and care in the home from a reduced number of cases of silicosis and silica-related diseases</w:t>
      </w:r>
    </w:p>
    <w:p w14:paraId="47138412" w14:textId="3210329D" w:rsidR="002611CA" w:rsidRPr="000A53C0" w:rsidRDefault="00D05281" w:rsidP="001B44C4">
      <w:pPr>
        <w:pStyle w:val="IAListbullet2"/>
        <w:rPr>
          <w:rFonts w:cs="Arial"/>
        </w:rPr>
      </w:pPr>
      <w:r>
        <w:rPr>
          <w:rFonts w:cs="Arial"/>
        </w:rPr>
        <w:t>a</w:t>
      </w:r>
      <w:r w:rsidR="3CA390F3" w:rsidRPr="000A53C0">
        <w:rPr>
          <w:rFonts w:cs="Arial"/>
        </w:rPr>
        <w:t>voided mental health and quality of life effects for workers, family and friends</w:t>
      </w:r>
    </w:p>
    <w:p w14:paraId="52BE70DE" w14:textId="77912C47" w:rsidR="002611CA" w:rsidRPr="000A53C0" w:rsidRDefault="00D05281" w:rsidP="001B44C4">
      <w:pPr>
        <w:pStyle w:val="IAListbullet2"/>
        <w:rPr>
          <w:rFonts w:cs="Arial"/>
        </w:rPr>
      </w:pPr>
      <w:r>
        <w:rPr>
          <w:rFonts w:cs="Arial"/>
        </w:rPr>
        <w:t>i</w:t>
      </w:r>
      <w:r w:rsidR="3CA390F3" w:rsidRPr="000A53C0">
        <w:rPr>
          <w:rFonts w:cs="Arial"/>
        </w:rPr>
        <w:t>mproved worker productivity by reducing ill health and extending working life</w:t>
      </w:r>
    </w:p>
    <w:p w14:paraId="6EFCD5AE" w14:textId="01279B49" w:rsidR="002611CA" w:rsidRPr="000A53C0" w:rsidRDefault="00D05281" w:rsidP="001B44C4">
      <w:pPr>
        <w:pStyle w:val="IAListbullet2"/>
        <w:rPr>
          <w:rFonts w:cs="Arial"/>
        </w:rPr>
      </w:pPr>
      <w:r>
        <w:rPr>
          <w:rFonts w:cs="Arial"/>
        </w:rPr>
        <w:t>a</w:t>
      </w:r>
      <w:r w:rsidR="3CA390F3" w:rsidRPr="000A53C0">
        <w:rPr>
          <w:rFonts w:cs="Arial"/>
        </w:rPr>
        <w:t>voided workers compensation claims/legal costs driven by a reduction in the incidence of the disease</w:t>
      </w:r>
      <w:r>
        <w:rPr>
          <w:rFonts w:cs="Arial"/>
        </w:rPr>
        <w:t>, and</w:t>
      </w:r>
    </w:p>
    <w:p w14:paraId="749E56AA" w14:textId="3B94D5AE" w:rsidR="002611CA" w:rsidRPr="000A53C0" w:rsidRDefault="00831941" w:rsidP="001B44C4">
      <w:pPr>
        <w:pStyle w:val="IAListbullet2"/>
        <w:rPr>
          <w:rFonts w:cs="Arial"/>
        </w:rPr>
      </w:pPr>
      <w:r>
        <w:rPr>
          <w:rFonts w:cs="Arial"/>
        </w:rPr>
        <w:t>a</w:t>
      </w:r>
      <w:r w:rsidR="3CA390F3" w:rsidRPr="000A53C0">
        <w:rPr>
          <w:rFonts w:cs="Arial"/>
        </w:rPr>
        <w:t>voided higher insurance premia for workers compensation.</w:t>
      </w:r>
    </w:p>
    <w:p w14:paraId="4C19BF53" w14:textId="77777777" w:rsidR="002611CA" w:rsidRPr="000A53C0" w:rsidRDefault="002611CA" w:rsidP="002611CA">
      <w:pPr>
        <w:pStyle w:val="BodyText"/>
        <w:rPr>
          <w:rFonts w:cs="Arial"/>
        </w:rPr>
      </w:pPr>
      <w:r w:rsidRPr="000A53C0">
        <w:rPr>
          <w:rFonts w:cs="Arial"/>
        </w:rPr>
        <w:t xml:space="preserve">It has not been possible to monetise these benefits for a number of reasons: </w:t>
      </w:r>
    </w:p>
    <w:p w14:paraId="12CDA4E7" w14:textId="1FF2DE8B" w:rsidR="002611CA" w:rsidRPr="000A53C0" w:rsidRDefault="00146EB3" w:rsidP="001B44C4">
      <w:pPr>
        <w:pStyle w:val="IAListbullet2"/>
        <w:rPr>
          <w:rFonts w:cs="Arial"/>
        </w:rPr>
      </w:pPr>
      <w:r>
        <w:rPr>
          <w:rFonts w:cs="Arial"/>
        </w:rPr>
        <w:t>t</w:t>
      </w:r>
      <w:r w:rsidR="3CA390F3" w:rsidRPr="000A53C0">
        <w:rPr>
          <w:rFonts w:cs="Arial"/>
        </w:rPr>
        <w:t xml:space="preserve">here is a lack of available </w:t>
      </w:r>
      <w:r w:rsidR="66E8BDAD" w:rsidRPr="000A53C0">
        <w:rPr>
          <w:rFonts w:cs="Arial"/>
        </w:rPr>
        <w:t xml:space="preserve">data </w:t>
      </w:r>
      <w:r w:rsidR="3CA390F3" w:rsidRPr="000A53C0">
        <w:rPr>
          <w:rFonts w:cs="Arial"/>
        </w:rPr>
        <w:t>regarding the total health system costs incurred in</w:t>
      </w:r>
      <w:r w:rsidR="7F3FD0BC" w:rsidRPr="000A53C0">
        <w:rPr>
          <w:rFonts w:cs="Arial"/>
        </w:rPr>
        <w:t xml:space="preserve"> t</w:t>
      </w:r>
      <w:r w:rsidR="3CA390F3" w:rsidRPr="000A53C0">
        <w:rPr>
          <w:rFonts w:cs="Arial"/>
        </w:rPr>
        <w:t xml:space="preserve">reating silicosis and silica-related disease  </w:t>
      </w:r>
    </w:p>
    <w:p w14:paraId="763BEBE9" w14:textId="26DBA1EA" w:rsidR="002611CA" w:rsidRPr="000A53C0" w:rsidRDefault="00146EB3" w:rsidP="001B44C4">
      <w:pPr>
        <w:pStyle w:val="IAListbullet2"/>
        <w:rPr>
          <w:rFonts w:cs="Arial"/>
        </w:rPr>
      </w:pPr>
      <w:r>
        <w:rPr>
          <w:rFonts w:cs="Arial"/>
        </w:rPr>
        <w:t>w</w:t>
      </w:r>
      <w:r w:rsidR="3CA390F3" w:rsidRPr="000A53C0">
        <w:rPr>
          <w:rFonts w:cs="Arial"/>
        </w:rPr>
        <w:t xml:space="preserve">here data is available for individual patients; occupational exposure history may not be available or may not be complete </w:t>
      </w:r>
    </w:p>
    <w:p w14:paraId="73D63A1C" w14:textId="2D60B128" w:rsidR="002611CA" w:rsidRPr="000A53C0" w:rsidRDefault="00146EB3" w:rsidP="001B44C4">
      <w:pPr>
        <w:pStyle w:val="IAListbullet2"/>
        <w:rPr>
          <w:rFonts w:cs="Arial"/>
        </w:rPr>
      </w:pPr>
      <w:r>
        <w:rPr>
          <w:rFonts w:cs="Arial"/>
        </w:rPr>
        <w:t>t</w:t>
      </w:r>
      <w:r w:rsidR="3CA390F3" w:rsidRPr="000A53C0">
        <w:rPr>
          <w:rFonts w:cs="Arial"/>
        </w:rPr>
        <w:t xml:space="preserve">here is no evidence available on how engineered stone of different crystalline silica content impacts health outcomes for workers </w:t>
      </w:r>
    </w:p>
    <w:p w14:paraId="7C8036BC" w14:textId="072D087A" w:rsidR="002611CA" w:rsidRPr="000A53C0" w:rsidRDefault="00146EB3" w:rsidP="001B44C4">
      <w:pPr>
        <w:pStyle w:val="IAListbullet2"/>
        <w:rPr>
          <w:rFonts w:cs="Arial"/>
        </w:rPr>
      </w:pPr>
      <w:r>
        <w:rPr>
          <w:rFonts w:cs="Arial"/>
        </w:rPr>
        <w:t>t</w:t>
      </w:r>
      <w:r w:rsidR="3CA390F3" w:rsidRPr="000A53C0">
        <w:rPr>
          <w:rFonts w:cs="Arial"/>
        </w:rPr>
        <w:t>he time lag between exposure to RCS and symptoms of silicosis and silica-related disease, which can be as much as 30 years (Hoy, RF &amp; Chambers, DC 2020), but may be significantly shorter in engineered stone workers</w:t>
      </w:r>
      <w:r w:rsidR="320811A7" w:rsidRPr="000A53C0">
        <w:rPr>
          <w:rFonts w:cs="Arial"/>
        </w:rPr>
        <w:t xml:space="preserve"> </w:t>
      </w:r>
      <w:sdt>
        <w:sdtPr>
          <w:rPr>
            <w:rFonts w:cs="Arial"/>
          </w:rPr>
          <w:id w:val="-568577219"/>
          <w:citation/>
        </w:sdtPr>
        <w:sdtEndPr/>
        <w:sdtContent>
          <w:r w:rsidR="00B75DE8" w:rsidRPr="000A53C0">
            <w:rPr>
              <w:rFonts w:cs="Arial"/>
            </w:rPr>
            <w:fldChar w:fldCharType="begin"/>
          </w:r>
          <w:r w:rsidR="00A74AA4" w:rsidRPr="000A53C0">
            <w:rPr>
              <w:rFonts w:cs="Arial"/>
            </w:rPr>
            <w:instrText xml:space="preserve">CITATION Hoy23 \l 3081 </w:instrText>
          </w:r>
          <w:r w:rsidR="00B75DE8" w:rsidRPr="000A53C0">
            <w:rPr>
              <w:rFonts w:cs="Arial"/>
            </w:rPr>
            <w:fldChar w:fldCharType="separate"/>
          </w:r>
          <w:r w:rsidR="001F7BAA" w:rsidRPr="000A53C0">
            <w:rPr>
              <w:rFonts w:cs="Arial"/>
              <w:noProof/>
            </w:rPr>
            <w:t>(Hoy, et al. 2023)</w:t>
          </w:r>
          <w:r w:rsidR="00B75DE8" w:rsidRPr="000A53C0">
            <w:rPr>
              <w:rFonts w:cs="Arial"/>
            </w:rPr>
            <w:fldChar w:fldCharType="end"/>
          </w:r>
        </w:sdtContent>
      </w:sdt>
      <w:r>
        <w:rPr>
          <w:rFonts w:cs="Arial"/>
        </w:rPr>
        <w:t>, and</w:t>
      </w:r>
    </w:p>
    <w:p w14:paraId="5DC0C028" w14:textId="71EF4291" w:rsidR="002611CA" w:rsidRPr="000A53C0" w:rsidRDefault="00146EB3" w:rsidP="001B44C4">
      <w:pPr>
        <w:pStyle w:val="IAListbullet2"/>
        <w:rPr>
          <w:rFonts w:cs="Arial"/>
        </w:rPr>
      </w:pPr>
      <w:r>
        <w:rPr>
          <w:rFonts w:cs="Arial"/>
        </w:rPr>
        <w:t>t</w:t>
      </w:r>
      <w:r w:rsidR="3CA390F3" w:rsidRPr="000A53C0">
        <w:rPr>
          <w:rFonts w:cs="Arial"/>
        </w:rPr>
        <w:t>his time lag makes it challenging to know when we will see a peak in silicosis cases attributable to engineered stone, or when we may expect a decline in cases following a</w:t>
      </w:r>
      <w:r w:rsidR="18D7E4DC" w:rsidRPr="000A53C0">
        <w:rPr>
          <w:rFonts w:cs="Arial"/>
        </w:rPr>
        <w:t>ny</w:t>
      </w:r>
      <w:r w:rsidR="3CA390F3" w:rsidRPr="000A53C0">
        <w:rPr>
          <w:rFonts w:cs="Arial"/>
        </w:rPr>
        <w:t xml:space="preserve"> prohibition. </w:t>
      </w:r>
    </w:p>
    <w:p w14:paraId="6B41D655" w14:textId="478B05ED" w:rsidR="002611CA" w:rsidRPr="000A53C0" w:rsidRDefault="002611CA" w:rsidP="00514CCB">
      <w:pPr>
        <w:pStyle w:val="Heading3numbered"/>
      </w:pPr>
      <w:r w:rsidRPr="000A53C0">
        <w:t xml:space="preserve">Impact of benefits </w:t>
      </w:r>
    </w:p>
    <w:p w14:paraId="57C85E02" w14:textId="77727248" w:rsidR="002611CA" w:rsidRPr="000A53C0" w:rsidRDefault="002611CA" w:rsidP="002611CA">
      <w:pPr>
        <w:pStyle w:val="BodyText"/>
        <w:rPr>
          <w:rFonts w:cs="Arial"/>
        </w:rPr>
      </w:pPr>
      <w:r w:rsidRPr="000A53C0">
        <w:rPr>
          <w:rFonts w:cs="Arial"/>
        </w:rPr>
        <w:t xml:space="preserve">As a significant proportion of silica cases have been identified in engineered stone workers, a prohibition on the use of engineered stone would be expected to have a significant health benefit for those workers. This would be accompanied by an indirect benefit to the wellbeing of their </w:t>
      </w:r>
      <w:r w:rsidR="00BF3F81" w:rsidRPr="000A53C0">
        <w:rPr>
          <w:rFonts w:cs="Arial"/>
        </w:rPr>
        <w:t xml:space="preserve">family, </w:t>
      </w:r>
      <w:r w:rsidRPr="000A53C0">
        <w:rPr>
          <w:rFonts w:cs="Arial"/>
        </w:rPr>
        <w:t>friends</w:t>
      </w:r>
      <w:r w:rsidR="0082396C" w:rsidRPr="000A53C0">
        <w:rPr>
          <w:rFonts w:cs="Arial"/>
        </w:rPr>
        <w:t xml:space="preserve"> and community</w:t>
      </w:r>
      <w:r w:rsidRPr="000A53C0">
        <w:rPr>
          <w:rFonts w:cs="Arial"/>
        </w:rPr>
        <w:t xml:space="preserve">. </w:t>
      </w:r>
    </w:p>
    <w:p w14:paraId="3CCB588E" w14:textId="77777777" w:rsidR="002611CA" w:rsidRPr="000A53C0" w:rsidRDefault="002611CA" w:rsidP="002611CA">
      <w:pPr>
        <w:pStyle w:val="BodyText"/>
        <w:rPr>
          <w:rFonts w:cs="Arial"/>
        </w:rPr>
      </w:pPr>
      <w:r w:rsidRPr="000A53C0">
        <w:rPr>
          <w:rFonts w:cs="Arial"/>
        </w:rPr>
        <w:t>If realised, these health benefits for workers would also result in avoided government costs associated with hospitalisations and outpatient care, avoided PCBU costs associated with workers compensation claims and higher insurance premiums, and an increase in productivity in the relevant industry workforce.</w:t>
      </w:r>
    </w:p>
    <w:p w14:paraId="21620E49" w14:textId="77777777" w:rsidR="00790A78" w:rsidRPr="000A53C0" w:rsidRDefault="00790A78" w:rsidP="00AE16EF">
      <w:pPr>
        <w:pStyle w:val="BodyText"/>
        <w:rPr>
          <w:rFonts w:cs="Arial"/>
        </w:rPr>
      </w:pPr>
      <w:r w:rsidRPr="000A53C0">
        <w:rPr>
          <w:rFonts w:cs="Arial"/>
        </w:rPr>
        <w:t xml:space="preserve">The extent to which these benefits are realised will depend on the option implemented. A prohibition on the use of all engineered stone (Option 1) will have greater health benefits for workers compared to a prohibition on the use of engineered stone containing 40% or more crystalline silica (Options 2 and 3). </w:t>
      </w:r>
      <w:r w:rsidRPr="000A53C0">
        <w:rPr>
          <w:rFonts w:cs="Arial"/>
        </w:rPr>
        <w:lastRenderedPageBreak/>
        <w:t>There is no evidence to demonstrate that prohibiting engineered stone with 40% or more crystalline silica (Options 2 and 3) will prevent all adverse health effects associated with exposure to dust from engineered stone.</w:t>
      </w:r>
    </w:p>
    <w:p w14:paraId="445274EB" w14:textId="0443F217" w:rsidR="001466D6" w:rsidRPr="000A53C0" w:rsidRDefault="002611CA" w:rsidP="00AE16EF">
      <w:pPr>
        <w:pStyle w:val="BodyText"/>
        <w:rPr>
          <w:rFonts w:cs="Arial"/>
        </w:rPr>
      </w:pPr>
      <w:r w:rsidRPr="000A53C0">
        <w:rPr>
          <w:rFonts w:cs="Arial"/>
        </w:rPr>
        <w:t>Options 2 and 3 are expected to reduce worker risk compared to the base case, due to an assumed reduction in RCS exposure as a result of working with a lower silica product, albeit less than Option 1. However, a prohibition that is limited to higher silica content engineered stone may lead to a perverse outcome whereby PCBUs, workers and the public assume that the permitted material is safe to work with</w:t>
      </w:r>
      <w:r w:rsidR="00C261EB" w:rsidRPr="000A53C0">
        <w:rPr>
          <w:rFonts w:cs="Arial"/>
        </w:rPr>
        <w:t xml:space="preserve"> when this has not yet been demonstrated</w:t>
      </w:r>
      <w:r w:rsidRPr="000A53C0">
        <w:rPr>
          <w:rFonts w:cs="Arial"/>
        </w:rPr>
        <w:t xml:space="preserve">. </w:t>
      </w:r>
      <w:r w:rsidR="00505616" w:rsidRPr="000A53C0">
        <w:rPr>
          <w:rFonts w:cs="Arial"/>
        </w:rPr>
        <w:t>This may result in further non-compliances with the WHS laws</w:t>
      </w:r>
      <w:r w:rsidR="00562CE8" w:rsidRPr="000A53C0">
        <w:rPr>
          <w:rFonts w:cs="Arial"/>
        </w:rPr>
        <w:t>.</w:t>
      </w:r>
      <w:r w:rsidR="00505616" w:rsidRPr="000A53C0">
        <w:rPr>
          <w:rFonts w:cs="Arial"/>
        </w:rPr>
        <w:t xml:space="preserve"> </w:t>
      </w:r>
      <w:r w:rsidRPr="000A53C0">
        <w:rPr>
          <w:rFonts w:cs="Arial"/>
        </w:rPr>
        <w:t>If Option 2 or 3 are preferred, it will be important for clear messaging that</w:t>
      </w:r>
      <w:r w:rsidR="00AF0BC1" w:rsidRPr="000A53C0">
        <w:rPr>
          <w:rFonts w:cs="Arial"/>
        </w:rPr>
        <w:t>, in accordance with WHS laws,</w:t>
      </w:r>
      <w:r w:rsidRPr="000A53C0">
        <w:rPr>
          <w:rFonts w:cs="Arial"/>
        </w:rPr>
        <w:t xml:space="preserve"> any work with engineered stone with &lt;40% </w:t>
      </w:r>
      <w:r w:rsidR="00AD7725" w:rsidRPr="000A53C0">
        <w:rPr>
          <w:rFonts w:cs="Arial"/>
        </w:rPr>
        <w:t xml:space="preserve">crystalline silica </w:t>
      </w:r>
      <w:r w:rsidRPr="000A53C0">
        <w:rPr>
          <w:rFonts w:cs="Arial"/>
        </w:rPr>
        <w:t xml:space="preserve">still requires strict controls in place to minimise worker exposure to any dust or </w:t>
      </w:r>
      <w:r w:rsidR="00F06CBF" w:rsidRPr="000A53C0">
        <w:rPr>
          <w:rFonts w:cs="Arial"/>
        </w:rPr>
        <w:t xml:space="preserve">other </w:t>
      </w:r>
      <w:r w:rsidRPr="000A53C0">
        <w:rPr>
          <w:rFonts w:cs="Arial"/>
        </w:rPr>
        <w:t xml:space="preserve">emissions generated. </w:t>
      </w:r>
    </w:p>
    <w:p w14:paraId="514F9FB2" w14:textId="77777777" w:rsidR="00AE16EF" w:rsidRPr="000A53C0" w:rsidRDefault="004A4FEF" w:rsidP="00AE16EF">
      <w:pPr>
        <w:pStyle w:val="BodyText"/>
        <w:rPr>
          <w:rFonts w:cs="Arial"/>
        </w:rPr>
      </w:pPr>
      <w:r w:rsidRPr="000A53C0">
        <w:rPr>
          <w:rFonts w:cs="Arial"/>
        </w:rPr>
        <w:t>The licensing framewor</w:t>
      </w:r>
      <w:r w:rsidR="00AF2B3D" w:rsidRPr="000A53C0">
        <w:rPr>
          <w:rFonts w:cs="Arial"/>
        </w:rPr>
        <w:t>k</w:t>
      </w:r>
      <w:r w:rsidR="00CC6514" w:rsidRPr="000A53C0">
        <w:rPr>
          <w:rFonts w:cs="Arial"/>
        </w:rPr>
        <w:t xml:space="preserve"> for </w:t>
      </w:r>
      <w:r w:rsidR="005B395A" w:rsidRPr="000A53C0">
        <w:rPr>
          <w:rFonts w:cs="Arial"/>
        </w:rPr>
        <w:t xml:space="preserve">work with </w:t>
      </w:r>
      <w:r w:rsidR="00CC6514" w:rsidRPr="000A53C0">
        <w:rPr>
          <w:rFonts w:cs="Arial"/>
        </w:rPr>
        <w:t>legacy pro</w:t>
      </w:r>
      <w:r w:rsidR="005B395A" w:rsidRPr="000A53C0">
        <w:rPr>
          <w:rFonts w:cs="Arial"/>
        </w:rPr>
        <w:t>ducts (all options)</w:t>
      </w:r>
      <w:r w:rsidR="002157E7" w:rsidRPr="000A53C0">
        <w:rPr>
          <w:rFonts w:cs="Arial"/>
        </w:rPr>
        <w:t xml:space="preserve"> and the licensing </w:t>
      </w:r>
      <w:r w:rsidR="00D56FEE" w:rsidRPr="000A53C0">
        <w:rPr>
          <w:rFonts w:cs="Arial"/>
        </w:rPr>
        <w:t>framework for work with lower silica engineered stone</w:t>
      </w:r>
      <w:r w:rsidR="00397A03" w:rsidRPr="000A53C0">
        <w:rPr>
          <w:rFonts w:cs="Arial"/>
        </w:rPr>
        <w:t xml:space="preserve"> </w:t>
      </w:r>
      <w:r w:rsidR="00B61AE3" w:rsidRPr="000A53C0">
        <w:rPr>
          <w:rFonts w:cs="Arial"/>
        </w:rPr>
        <w:t xml:space="preserve">may only </w:t>
      </w:r>
      <w:r w:rsidR="00DB3DCB" w:rsidRPr="000A53C0">
        <w:rPr>
          <w:rFonts w:cs="Arial"/>
        </w:rPr>
        <w:t>have incremental benefit</w:t>
      </w:r>
      <w:r w:rsidR="00B61AE3" w:rsidRPr="000A53C0">
        <w:rPr>
          <w:rFonts w:cs="Arial"/>
        </w:rPr>
        <w:t>s</w:t>
      </w:r>
      <w:r w:rsidR="00DB3DCB" w:rsidRPr="000A53C0">
        <w:rPr>
          <w:rFonts w:cs="Arial"/>
        </w:rPr>
        <w:t xml:space="preserve"> over the base case</w:t>
      </w:r>
      <w:r w:rsidR="00B61AE3" w:rsidRPr="000A53C0">
        <w:rPr>
          <w:rFonts w:cs="Arial"/>
        </w:rPr>
        <w:t>, as</w:t>
      </w:r>
      <w:r w:rsidR="000E413D" w:rsidRPr="000A53C0">
        <w:rPr>
          <w:rFonts w:cs="Arial"/>
        </w:rPr>
        <w:t xml:space="preserve"> any</w:t>
      </w:r>
      <w:r w:rsidR="00B61AE3" w:rsidRPr="000A53C0">
        <w:rPr>
          <w:rFonts w:cs="Arial"/>
        </w:rPr>
        <w:t xml:space="preserve"> </w:t>
      </w:r>
      <w:r w:rsidR="000E413D" w:rsidRPr="000A53C0">
        <w:rPr>
          <w:rFonts w:cs="Arial"/>
        </w:rPr>
        <w:t xml:space="preserve">permitted </w:t>
      </w:r>
      <w:r w:rsidR="00B61AE3" w:rsidRPr="000A53C0">
        <w:rPr>
          <w:rFonts w:cs="Arial"/>
        </w:rPr>
        <w:t>work with engineered stone</w:t>
      </w:r>
      <w:r w:rsidR="005B395A" w:rsidRPr="000A53C0">
        <w:rPr>
          <w:rFonts w:cs="Arial"/>
        </w:rPr>
        <w:t xml:space="preserve"> </w:t>
      </w:r>
      <w:r w:rsidR="009B6BCA" w:rsidRPr="000A53C0">
        <w:rPr>
          <w:rFonts w:cs="Arial"/>
        </w:rPr>
        <w:t xml:space="preserve">will </w:t>
      </w:r>
      <w:r w:rsidR="000E413D" w:rsidRPr="000A53C0">
        <w:rPr>
          <w:rFonts w:cs="Arial"/>
        </w:rPr>
        <w:t xml:space="preserve">still </w:t>
      </w:r>
      <w:r w:rsidR="004C4365" w:rsidRPr="000A53C0">
        <w:rPr>
          <w:rFonts w:cs="Arial"/>
        </w:rPr>
        <w:t xml:space="preserve">be </w:t>
      </w:r>
      <w:r w:rsidR="00F66352" w:rsidRPr="000A53C0">
        <w:rPr>
          <w:rFonts w:cs="Arial"/>
        </w:rPr>
        <w:t>subject to</w:t>
      </w:r>
      <w:r w:rsidR="004C4365" w:rsidRPr="000A53C0">
        <w:rPr>
          <w:rFonts w:cs="Arial"/>
        </w:rPr>
        <w:t xml:space="preserve"> the </w:t>
      </w:r>
      <w:r w:rsidR="000E413D" w:rsidRPr="000A53C0">
        <w:rPr>
          <w:rFonts w:cs="Arial"/>
        </w:rPr>
        <w:t>prohibition on</w:t>
      </w:r>
      <w:r w:rsidR="00E843DE" w:rsidRPr="000A53C0">
        <w:rPr>
          <w:rFonts w:cs="Arial"/>
        </w:rPr>
        <w:t xml:space="preserve"> uncontrolled processing</w:t>
      </w:r>
      <w:r w:rsidR="009534AA" w:rsidRPr="000A53C0">
        <w:rPr>
          <w:rFonts w:cs="Arial"/>
        </w:rPr>
        <w:t xml:space="preserve"> and </w:t>
      </w:r>
      <w:r w:rsidR="000E413D" w:rsidRPr="000A53C0">
        <w:rPr>
          <w:rFonts w:cs="Arial"/>
        </w:rPr>
        <w:t xml:space="preserve">the </w:t>
      </w:r>
      <w:r w:rsidR="004C4365" w:rsidRPr="000A53C0">
        <w:rPr>
          <w:rFonts w:cs="Arial"/>
        </w:rPr>
        <w:t xml:space="preserve">additional </w:t>
      </w:r>
      <w:r w:rsidR="00782653" w:rsidRPr="000A53C0">
        <w:rPr>
          <w:rFonts w:cs="Arial"/>
        </w:rPr>
        <w:t>requireme</w:t>
      </w:r>
      <w:r w:rsidR="000E413D" w:rsidRPr="000A53C0">
        <w:rPr>
          <w:rFonts w:cs="Arial"/>
        </w:rPr>
        <w:t>nts</w:t>
      </w:r>
      <w:r w:rsidR="004C4365" w:rsidRPr="000A53C0">
        <w:rPr>
          <w:rFonts w:cs="Arial"/>
        </w:rPr>
        <w:t xml:space="preserve"> for high risk crystalline silica </w:t>
      </w:r>
      <w:r w:rsidR="000E413D" w:rsidRPr="000A53C0">
        <w:rPr>
          <w:rFonts w:cs="Arial"/>
        </w:rPr>
        <w:t>processes</w:t>
      </w:r>
      <w:r w:rsidR="00F66352" w:rsidRPr="000A53C0">
        <w:rPr>
          <w:rFonts w:cs="Arial"/>
        </w:rPr>
        <w:t xml:space="preserve"> (see base case</w:t>
      </w:r>
      <w:r w:rsidR="00D40F99" w:rsidRPr="000A53C0">
        <w:rPr>
          <w:rFonts w:cs="Arial"/>
        </w:rPr>
        <w:t>)</w:t>
      </w:r>
      <w:r w:rsidR="000E413D" w:rsidRPr="000A53C0">
        <w:rPr>
          <w:rFonts w:cs="Arial"/>
        </w:rPr>
        <w:t>.</w:t>
      </w:r>
      <w:r w:rsidR="004C4365" w:rsidRPr="000A53C0">
        <w:rPr>
          <w:rFonts w:cs="Arial"/>
        </w:rPr>
        <w:t xml:space="preserve"> </w:t>
      </w:r>
    </w:p>
    <w:p w14:paraId="2542C31E" w14:textId="681A3AD3" w:rsidR="002611CA" w:rsidRPr="000A53C0" w:rsidRDefault="004C4365" w:rsidP="00AE16EF">
      <w:pPr>
        <w:pStyle w:val="BodyText"/>
        <w:rPr>
          <w:rFonts w:cs="Arial"/>
        </w:rPr>
      </w:pPr>
      <w:r w:rsidRPr="000A53C0">
        <w:rPr>
          <w:rFonts w:cs="Arial"/>
        </w:rPr>
        <w:t>The licensing framework</w:t>
      </w:r>
      <w:r w:rsidR="00B61AE3" w:rsidRPr="000A53C0">
        <w:rPr>
          <w:rFonts w:cs="Arial"/>
        </w:rPr>
        <w:t xml:space="preserve">s </w:t>
      </w:r>
      <w:r w:rsidRPr="000A53C0">
        <w:rPr>
          <w:rFonts w:cs="Arial"/>
        </w:rPr>
        <w:t xml:space="preserve">will </w:t>
      </w:r>
      <w:r w:rsidR="00A25C4D" w:rsidRPr="000A53C0">
        <w:rPr>
          <w:rFonts w:cs="Arial"/>
        </w:rPr>
        <w:t>provide</w:t>
      </w:r>
      <w:r w:rsidR="008A5DC4" w:rsidRPr="000A53C0">
        <w:rPr>
          <w:rFonts w:cs="Arial"/>
        </w:rPr>
        <w:t xml:space="preserve"> v</w:t>
      </w:r>
      <w:r w:rsidR="00A25C4D" w:rsidRPr="000A53C0">
        <w:rPr>
          <w:rFonts w:cs="Arial"/>
        </w:rPr>
        <w:t xml:space="preserve">isibility to regulators of those PCBUs </w:t>
      </w:r>
      <w:r w:rsidR="007B47DC" w:rsidRPr="000A53C0">
        <w:rPr>
          <w:rFonts w:cs="Arial"/>
        </w:rPr>
        <w:t xml:space="preserve">undertaking </w:t>
      </w:r>
      <w:r w:rsidR="000F09A3" w:rsidRPr="000A53C0">
        <w:rPr>
          <w:rFonts w:cs="Arial"/>
        </w:rPr>
        <w:t>licensed</w:t>
      </w:r>
      <w:r w:rsidR="007B47DC" w:rsidRPr="000A53C0">
        <w:rPr>
          <w:rFonts w:cs="Arial"/>
        </w:rPr>
        <w:t xml:space="preserve"> work</w:t>
      </w:r>
      <w:r w:rsidR="008A5DC4" w:rsidRPr="000A53C0">
        <w:rPr>
          <w:rFonts w:cs="Arial"/>
        </w:rPr>
        <w:t xml:space="preserve">, and </w:t>
      </w:r>
      <w:r w:rsidR="00E460C1" w:rsidRPr="000A53C0">
        <w:rPr>
          <w:rFonts w:cs="Arial"/>
        </w:rPr>
        <w:t>a</w:t>
      </w:r>
      <w:r w:rsidR="006D2838" w:rsidRPr="000A53C0">
        <w:rPr>
          <w:rFonts w:cs="Arial"/>
        </w:rPr>
        <w:t xml:space="preserve">ssurance to consumers and workers that PCBUs are </w:t>
      </w:r>
      <w:r w:rsidR="00D879E5" w:rsidRPr="000A53C0">
        <w:rPr>
          <w:rFonts w:cs="Arial"/>
        </w:rPr>
        <w:t>appropriately authorised to undertake the permitted work</w:t>
      </w:r>
      <w:r w:rsidR="006D2838" w:rsidRPr="000A53C0">
        <w:rPr>
          <w:rFonts w:cs="Arial"/>
        </w:rPr>
        <w:t xml:space="preserve"> </w:t>
      </w:r>
      <w:r w:rsidR="00D879E5" w:rsidRPr="000A53C0">
        <w:rPr>
          <w:rFonts w:cs="Arial"/>
        </w:rPr>
        <w:t xml:space="preserve">with </w:t>
      </w:r>
      <w:r w:rsidR="006D2838" w:rsidRPr="000A53C0">
        <w:rPr>
          <w:rFonts w:cs="Arial"/>
        </w:rPr>
        <w:t xml:space="preserve">engineered stone. </w:t>
      </w:r>
      <w:r w:rsidR="00037BB9" w:rsidRPr="000A53C0">
        <w:rPr>
          <w:rFonts w:cs="Arial"/>
        </w:rPr>
        <w:t xml:space="preserve"> </w:t>
      </w:r>
    </w:p>
    <w:p w14:paraId="045486E9" w14:textId="24CF2269" w:rsidR="00037BB9" w:rsidRPr="000A53C0" w:rsidRDefault="00AD6E10" w:rsidP="00AE16EF">
      <w:pPr>
        <w:pStyle w:val="BodyText"/>
        <w:rPr>
          <w:rFonts w:cs="Arial"/>
        </w:rPr>
      </w:pPr>
      <w:r w:rsidRPr="000A53C0">
        <w:rPr>
          <w:rFonts w:cs="Arial"/>
        </w:rPr>
        <w:t>S</w:t>
      </w:r>
      <w:r w:rsidR="00C608E3" w:rsidRPr="000A53C0">
        <w:rPr>
          <w:rFonts w:cs="Arial"/>
        </w:rPr>
        <w:t>ome i</w:t>
      </w:r>
      <w:r w:rsidR="00037BB9" w:rsidRPr="000A53C0">
        <w:rPr>
          <w:rFonts w:cs="Arial"/>
        </w:rPr>
        <w:t xml:space="preserve">ndustry stakeholder submissions </w:t>
      </w:r>
      <w:r w:rsidR="00C608E3" w:rsidRPr="000A53C0">
        <w:rPr>
          <w:rFonts w:cs="Arial"/>
        </w:rPr>
        <w:t>have suggested</w:t>
      </w:r>
      <w:r w:rsidR="008A117F" w:rsidRPr="000A53C0">
        <w:rPr>
          <w:rFonts w:cs="Arial"/>
        </w:rPr>
        <w:t xml:space="preserve"> </w:t>
      </w:r>
      <w:r w:rsidR="00E460C1" w:rsidRPr="000A53C0">
        <w:rPr>
          <w:rFonts w:cs="Arial"/>
        </w:rPr>
        <w:t xml:space="preserve">a </w:t>
      </w:r>
      <w:r w:rsidR="008A117F" w:rsidRPr="000A53C0">
        <w:rPr>
          <w:rFonts w:cs="Arial"/>
        </w:rPr>
        <w:t>benefit of the licensing framework for work with lower silica engineered stone would be</w:t>
      </w:r>
      <w:r w:rsidR="00AD7725" w:rsidRPr="000A53C0">
        <w:rPr>
          <w:rFonts w:cs="Arial"/>
        </w:rPr>
        <w:t xml:space="preserve"> increased compliance</w:t>
      </w:r>
      <w:r w:rsidRPr="000A53C0">
        <w:rPr>
          <w:rFonts w:cs="Arial"/>
        </w:rPr>
        <w:t xml:space="preserve">. It would also provide an ability to link licensing work with training and reporting requirements recently agreed to by WHS ministers; and </w:t>
      </w:r>
      <w:r w:rsidR="00C450D7" w:rsidRPr="000A53C0">
        <w:rPr>
          <w:rFonts w:cs="Arial"/>
        </w:rPr>
        <w:t>give WHS regulators the ability to cancel or suspend licences for PCBUs who do not meet safe work standards</w:t>
      </w:r>
      <w:r w:rsidR="00AD7725" w:rsidRPr="000A53C0">
        <w:rPr>
          <w:rFonts w:cs="Arial"/>
        </w:rPr>
        <w:t>.</w:t>
      </w:r>
      <w:r w:rsidR="00C450D7" w:rsidRPr="000A53C0">
        <w:rPr>
          <w:rFonts w:cs="Arial"/>
        </w:rPr>
        <w:t xml:space="preserve">  </w:t>
      </w:r>
    </w:p>
    <w:p w14:paraId="077EE4D2" w14:textId="56E06CB2" w:rsidR="00342E88" w:rsidRPr="000A53C0" w:rsidRDefault="00C450D7" w:rsidP="00AE16EF">
      <w:pPr>
        <w:pStyle w:val="BodyText"/>
        <w:rPr>
          <w:rFonts w:cs="Arial"/>
        </w:rPr>
      </w:pPr>
      <w:r w:rsidRPr="000A53C0">
        <w:rPr>
          <w:rFonts w:cs="Arial"/>
        </w:rPr>
        <w:t>The administrative cost, for both PCBUs and governments, o</w:t>
      </w:r>
      <w:r w:rsidR="00F813EA" w:rsidRPr="000A53C0">
        <w:rPr>
          <w:rFonts w:cs="Arial"/>
        </w:rPr>
        <w:t xml:space="preserve">f managing and complying with a licence scheme may outweigh the benefits. </w:t>
      </w:r>
    </w:p>
    <w:p w14:paraId="0A306B1F" w14:textId="58E4E7A0" w:rsidR="002611CA" w:rsidRPr="000A53C0" w:rsidRDefault="002611CA" w:rsidP="00514CCB">
      <w:pPr>
        <w:pStyle w:val="Heading2numbered"/>
      </w:pPr>
      <w:bookmarkStart w:id="152" w:name="_Toc136327236"/>
      <w:bookmarkStart w:id="153" w:name="_Toc142991343"/>
      <w:r w:rsidRPr="000A53C0">
        <w:t>Breakeven analysis</w:t>
      </w:r>
      <w:bookmarkEnd w:id="152"/>
      <w:bookmarkEnd w:id="153"/>
    </w:p>
    <w:p w14:paraId="7E8A47FE" w14:textId="35AE6705" w:rsidR="002611CA" w:rsidRPr="000A53C0" w:rsidRDefault="002611CA" w:rsidP="002611CA">
      <w:pPr>
        <w:pStyle w:val="BodyText"/>
        <w:rPr>
          <w:rFonts w:cs="Arial"/>
        </w:rPr>
      </w:pPr>
      <w:r w:rsidRPr="000A53C0">
        <w:rPr>
          <w:rFonts w:cs="Arial"/>
        </w:rPr>
        <w:t>Breakeven analysis estimates the number of illnesses and deaths that would need to be prevented by each prohibition option to offset the costs of the option.</w:t>
      </w:r>
      <w:r w:rsidRPr="000A53C0" w:rsidDel="003731C3">
        <w:rPr>
          <w:rFonts w:cs="Arial"/>
        </w:rPr>
        <w:t xml:space="preserve"> </w:t>
      </w:r>
    </w:p>
    <w:p w14:paraId="19F8E345" w14:textId="7868F533" w:rsidR="002611CA" w:rsidRPr="000A53C0" w:rsidRDefault="002611CA" w:rsidP="00514CCB">
      <w:pPr>
        <w:pStyle w:val="Heading3numbered"/>
      </w:pPr>
      <w:r w:rsidRPr="000A53C0">
        <w:t>Results of breakeven analysis</w:t>
      </w:r>
    </w:p>
    <w:p w14:paraId="3404D0F5" w14:textId="65DA8AA9" w:rsidR="00FF4B43" w:rsidRPr="000A53C0" w:rsidRDefault="009A4958" w:rsidP="00FF4B43">
      <w:pPr>
        <w:pStyle w:val="BodyText"/>
        <w:rPr>
          <w:rFonts w:cs="Arial"/>
        </w:rPr>
      </w:pPr>
      <w:r w:rsidRPr="000A53C0">
        <w:rPr>
          <w:rFonts w:cs="Arial"/>
        </w:rPr>
        <w:t xml:space="preserve">Table 16 </w:t>
      </w:r>
      <w:r w:rsidR="002611CA" w:rsidRPr="000A53C0">
        <w:rPr>
          <w:rFonts w:cs="Arial"/>
        </w:rPr>
        <w:t xml:space="preserve">shows the cost of each of the options over the </w:t>
      </w:r>
      <w:r w:rsidR="003731C3" w:rsidRPr="000A53C0">
        <w:rPr>
          <w:rFonts w:cs="Arial"/>
        </w:rPr>
        <w:t>appraisal period,</w:t>
      </w:r>
      <w:r w:rsidR="002611CA" w:rsidRPr="000A53C0">
        <w:rPr>
          <w:rFonts w:cs="Arial"/>
        </w:rPr>
        <w:t xml:space="preserve"> and the total number of silicosis cases that are required to be prevented </w:t>
      </w:r>
      <w:r w:rsidR="003731C3" w:rsidRPr="000A53C0">
        <w:rPr>
          <w:rFonts w:cs="Arial"/>
        </w:rPr>
        <w:t xml:space="preserve">over this period </w:t>
      </w:r>
      <w:r w:rsidR="002611CA" w:rsidRPr="000A53C0">
        <w:rPr>
          <w:rFonts w:cs="Arial"/>
        </w:rPr>
        <w:t xml:space="preserve">to </w:t>
      </w:r>
      <w:r w:rsidR="003731C3" w:rsidRPr="000A53C0">
        <w:rPr>
          <w:rFonts w:cs="Arial"/>
        </w:rPr>
        <w:t>offset these costs</w:t>
      </w:r>
      <w:r w:rsidR="002611CA" w:rsidRPr="000A53C0">
        <w:rPr>
          <w:rFonts w:cs="Arial"/>
        </w:rPr>
        <w:t>. The number of cases of silicosis cases that would be needed to breakeven was determined by dividing the net present cost over the appraisal period by the $4.</w:t>
      </w:r>
      <w:r w:rsidR="004A3A62" w:rsidRPr="000A53C0">
        <w:rPr>
          <w:rFonts w:cs="Arial"/>
        </w:rPr>
        <w:t>9 </w:t>
      </w:r>
      <w:r w:rsidR="002611CA" w:rsidRPr="000A53C0">
        <w:rPr>
          <w:rFonts w:cs="Arial"/>
        </w:rPr>
        <w:t>million expected value of life saved and illness avoided</w:t>
      </w:r>
      <w:r w:rsidR="003731C3" w:rsidRPr="000A53C0">
        <w:rPr>
          <w:rFonts w:cs="Arial"/>
        </w:rPr>
        <w:t xml:space="preserve"> (see B.9.5)</w:t>
      </w:r>
      <w:r w:rsidR="002611CA" w:rsidRPr="000A53C0">
        <w:rPr>
          <w:rFonts w:cs="Arial"/>
        </w:rPr>
        <w:t>. A detailed description of the approach used to undertake the breakeven analysis i</w:t>
      </w:r>
      <w:bookmarkStart w:id="154" w:name="_Ref135864756"/>
      <w:r w:rsidR="00FF4B43" w:rsidRPr="000A53C0">
        <w:rPr>
          <w:rFonts w:cs="Arial"/>
        </w:rPr>
        <w:t xml:space="preserve">s provided in Appendix B. </w:t>
      </w:r>
    </w:p>
    <w:p w14:paraId="2655D41D" w14:textId="03D4DCC1" w:rsidR="002611CA" w:rsidRPr="000A53C0" w:rsidRDefault="002611CA" w:rsidP="00B26034">
      <w:pPr>
        <w:pStyle w:val="Caption"/>
        <w:rPr>
          <w:rFonts w:cs="Arial"/>
        </w:rPr>
      </w:pPr>
      <w:r w:rsidRPr="009F4B01">
        <w:rPr>
          <w:rFonts w:cs="Arial"/>
          <w:b/>
          <w:bCs/>
        </w:rPr>
        <w:lastRenderedPageBreak/>
        <w:t xml:space="preserve">Table </w:t>
      </w:r>
      <w:r w:rsidRPr="009F4B01">
        <w:rPr>
          <w:rFonts w:cs="Arial"/>
          <w:b/>
          <w:bCs/>
        </w:rPr>
        <w:fldChar w:fldCharType="begin"/>
      </w:r>
      <w:r w:rsidRPr="009F4B01">
        <w:rPr>
          <w:rFonts w:cs="Arial"/>
          <w:b/>
          <w:bCs/>
        </w:rPr>
        <w:instrText xml:space="preserve"> SEQ Table \* ARABIC </w:instrText>
      </w:r>
      <w:r w:rsidRPr="009F4B01">
        <w:rPr>
          <w:rFonts w:cs="Arial"/>
          <w:b/>
          <w:bCs/>
        </w:rPr>
        <w:fldChar w:fldCharType="separate"/>
      </w:r>
      <w:r w:rsidR="00D16271">
        <w:rPr>
          <w:rFonts w:cs="Arial"/>
          <w:b/>
          <w:bCs/>
          <w:noProof/>
        </w:rPr>
        <w:t>16</w:t>
      </w:r>
      <w:r w:rsidRPr="009F4B01">
        <w:rPr>
          <w:rFonts w:cs="Arial"/>
          <w:b/>
          <w:bCs/>
        </w:rPr>
        <w:fldChar w:fldCharType="end"/>
      </w:r>
      <w:bookmarkEnd w:id="154"/>
      <w:r w:rsidRPr="000A53C0">
        <w:rPr>
          <w:rFonts w:cs="Arial"/>
        </w:rPr>
        <w:t xml:space="preserve"> Estimated breakeven analysis results over 10-year </w:t>
      </w:r>
      <w:r w:rsidR="00CA6A56" w:rsidRPr="000A53C0">
        <w:rPr>
          <w:rFonts w:cs="Arial"/>
        </w:rPr>
        <w:t>apprais</w:t>
      </w:r>
      <w:r w:rsidRPr="000A53C0">
        <w:rPr>
          <w:rFonts w:cs="Arial"/>
        </w:rPr>
        <w:t xml:space="preserve">al period </w:t>
      </w:r>
    </w:p>
    <w:tbl>
      <w:tblPr>
        <w:tblStyle w:val="TableGrid"/>
        <w:tblW w:w="49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
      </w:tblPr>
      <w:tblGrid>
        <w:gridCol w:w="1438"/>
        <w:gridCol w:w="1438"/>
        <w:gridCol w:w="1438"/>
        <w:gridCol w:w="1438"/>
        <w:gridCol w:w="1438"/>
        <w:gridCol w:w="1438"/>
        <w:gridCol w:w="1437"/>
      </w:tblGrid>
      <w:tr w:rsidR="002611CA" w:rsidRPr="000A53C0" w14:paraId="771577DB" w14:textId="77777777" w:rsidTr="009F4B01">
        <w:trPr>
          <w:trHeight w:val="104"/>
          <w:tblHeader/>
        </w:trPr>
        <w:tc>
          <w:tcPr>
            <w:tcW w:w="714" w:type="pct"/>
            <w:shd w:val="clear" w:color="auto" w:fill="E81D32"/>
            <w:vAlign w:val="center"/>
            <w:hideMark/>
          </w:tcPr>
          <w:p w14:paraId="45B7219E" w14:textId="77777777" w:rsidR="002611CA" w:rsidRPr="009F4B01" w:rsidRDefault="002611CA" w:rsidP="009F4B01">
            <w:pPr>
              <w:pStyle w:val="TableHeading"/>
              <w:jc w:val="center"/>
              <w:rPr>
                <w:rFonts w:ascii="Arial" w:hAnsi="Arial" w:cs="Arial"/>
                <w:color w:val="FFFFFF" w:themeColor="background1"/>
                <w:sz w:val="18"/>
                <w:szCs w:val="18"/>
              </w:rPr>
            </w:pPr>
            <w:bookmarkStart w:id="155" w:name="_Hlk107217157"/>
            <w:r w:rsidRPr="009F4B01">
              <w:rPr>
                <w:rFonts w:ascii="Arial" w:hAnsi="Arial" w:cs="Arial"/>
                <w:color w:val="FFFFFF" w:themeColor="background1"/>
                <w:sz w:val="18"/>
                <w:szCs w:val="18"/>
              </w:rPr>
              <w:t>Option</w:t>
            </w:r>
          </w:p>
        </w:tc>
        <w:tc>
          <w:tcPr>
            <w:tcW w:w="714" w:type="pct"/>
            <w:shd w:val="clear" w:color="auto" w:fill="E81D32"/>
            <w:vAlign w:val="center"/>
          </w:tcPr>
          <w:p w14:paraId="1D91965F" w14:textId="473E0D0C" w:rsidR="002611CA" w:rsidRPr="009F4B01" w:rsidRDefault="00424EF5"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Total cost</w:t>
            </w:r>
            <w:r w:rsidR="002611CA" w:rsidRPr="009F4B01">
              <w:rPr>
                <w:rFonts w:ascii="Arial" w:hAnsi="Arial" w:cs="Arial"/>
                <w:color w:val="FFFFFF" w:themeColor="background1"/>
                <w:sz w:val="18"/>
                <w:szCs w:val="18"/>
              </w:rPr>
              <w:t xml:space="preserve"> ($m)</w:t>
            </w:r>
          </w:p>
        </w:tc>
        <w:tc>
          <w:tcPr>
            <w:tcW w:w="714" w:type="pct"/>
            <w:shd w:val="clear" w:color="auto" w:fill="E81D32"/>
            <w:vAlign w:val="center"/>
          </w:tcPr>
          <w:p w14:paraId="75428A88" w14:textId="70065E32" w:rsidR="002611CA" w:rsidRPr="009F4B01" w:rsidRDefault="002611CA"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 xml:space="preserve">Estimated number of cases prevented required to breakeven over the period </w:t>
            </w:r>
            <w:r w:rsidR="00A42177">
              <w:rPr>
                <w:rFonts w:ascii="Arial" w:hAnsi="Arial" w:cs="Arial"/>
                <w:color w:val="FFFFFF" w:themeColor="background1"/>
                <w:sz w:val="18"/>
                <w:szCs w:val="18"/>
              </w:rPr>
              <w:t>–</w:t>
            </w:r>
            <w:r w:rsidRPr="009F4B01">
              <w:rPr>
                <w:rFonts w:ascii="Arial" w:hAnsi="Arial" w:cs="Arial"/>
                <w:color w:val="FFFFFF" w:themeColor="background1"/>
                <w:sz w:val="18"/>
                <w:szCs w:val="18"/>
              </w:rPr>
              <w:t xml:space="preserve"> total</w:t>
            </w:r>
          </w:p>
        </w:tc>
        <w:tc>
          <w:tcPr>
            <w:tcW w:w="714" w:type="pct"/>
            <w:shd w:val="clear" w:color="auto" w:fill="E81D32"/>
            <w:vAlign w:val="center"/>
          </w:tcPr>
          <w:p w14:paraId="14C98350" w14:textId="470B1772" w:rsidR="002611CA" w:rsidRPr="009F4B01" w:rsidRDefault="00424EF5"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Total</w:t>
            </w:r>
            <w:r w:rsidR="002611CA" w:rsidRPr="009F4B01">
              <w:rPr>
                <w:rFonts w:ascii="Arial" w:hAnsi="Arial" w:cs="Arial"/>
                <w:color w:val="FFFFFF" w:themeColor="background1"/>
                <w:sz w:val="18"/>
                <w:szCs w:val="18"/>
              </w:rPr>
              <w:t xml:space="preserve"> cost </w:t>
            </w:r>
            <w:r w:rsidR="00A42177">
              <w:rPr>
                <w:rFonts w:ascii="Arial" w:hAnsi="Arial" w:cs="Arial"/>
                <w:color w:val="FFFFFF" w:themeColor="background1"/>
                <w:sz w:val="18"/>
                <w:szCs w:val="18"/>
              </w:rPr>
              <w:t>–</w:t>
            </w:r>
            <w:r w:rsidR="002611CA" w:rsidRPr="009F4B01">
              <w:rPr>
                <w:rFonts w:ascii="Arial" w:hAnsi="Arial" w:cs="Arial"/>
                <w:color w:val="FFFFFF" w:themeColor="background1"/>
                <w:sz w:val="18"/>
                <w:szCs w:val="18"/>
              </w:rPr>
              <w:t xml:space="preserve"> licensing framework for work with legacy products($m)</w:t>
            </w:r>
          </w:p>
        </w:tc>
        <w:tc>
          <w:tcPr>
            <w:tcW w:w="714" w:type="pct"/>
            <w:shd w:val="clear" w:color="auto" w:fill="E81D32"/>
            <w:vAlign w:val="center"/>
          </w:tcPr>
          <w:p w14:paraId="11BF49F0" w14:textId="04C7AC51" w:rsidR="002611CA" w:rsidRPr="009F4B01" w:rsidRDefault="002611CA"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 xml:space="preserve">Estimated number of cases prevented required to breakeven (licensing framework </w:t>
            </w:r>
            <w:r w:rsidR="00A42177">
              <w:rPr>
                <w:rFonts w:ascii="Arial" w:hAnsi="Arial" w:cs="Arial"/>
                <w:color w:val="FFFFFF" w:themeColor="background1"/>
                <w:sz w:val="18"/>
                <w:szCs w:val="18"/>
              </w:rPr>
              <w:t>–</w:t>
            </w:r>
            <w:r w:rsidRPr="009F4B01">
              <w:rPr>
                <w:rFonts w:ascii="Arial" w:hAnsi="Arial" w:cs="Arial"/>
                <w:color w:val="FFFFFF" w:themeColor="background1"/>
                <w:sz w:val="18"/>
                <w:szCs w:val="18"/>
              </w:rPr>
              <w:t xml:space="preserve"> legacy products)</w:t>
            </w:r>
          </w:p>
        </w:tc>
        <w:tc>
          <w:tcPr>
            <w:tcW w:w="714" w:type="pct"/>
            <w:shd w:val="clear" w:color="auto" w:fill="E81D32"/>
            <w:vAlign w:val="center"/>
            <w:hideMark/>
          </w:tcPr>
          <w:p w14:paraId="728446AA" w14:textId="2350B069" w:rsidR="002611CA" w:rsidRPr="009F4B01" w:rsidRDefault="00424EF5"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C</w:t>
            </w:r>
            <w:r w:rsidR="002611CA" w:rsidRPr="009F4B01">
              <w:rPr>
                <w:rFonts w:ascii="Arial" w:hAnsi="Arial" w:cs="Arial"/>
                <w:color w:val="FFFFFF" w:themeColor="background1"/>
                <w:sz w:val="18"/>
                <w:szCs w:val="18"/>
              </w:rPr>
              <w:t>ost specific to each option ($m)</w:t>
            </w:r>
          </w:p>
        </w:tc>
        <w:tc>
          <w:tcPr>
            <w:tcW w:w="714" w:type="pct"/>
            <w:shd w:val="clear" w:color="auto" w:fill="E81D32"/>
            <w:vAlign w:val="center"/>
          </w:tcPr>
          <w:p w14:paraId="5797D6BA" w14:textId="77777777" w:rsidR="002611CA" w:rsidRPr="009F4B01" w:rsidRDefault="002611CA" w:rsidP="009F4B01">
            <w:pPr>
              <w:pStyle w:val="TableHeading"/>
              <w:jc w:val="center"/>
              <w:rPr>
                <w:rFonts w:ascii="Arial" w:hAnsi="Arial" w:cs="Arial"/>
                <w:color w:val="FFFFFF" w:themeColor="background1"/>
                <w:sz w:val="18"/>
                <w:szCs w:val="18"/>
              </w:rPr>
            </w:pPr>
            <w:r w:rsidRPr="009F4B01">
              <w:rPr>
                <w:rFonts w:ascii="Arial" w:hAnsi="Arial" w:cs="Arial"/>
                <w:color w:val="FFFFFF" w:themeColor="background1"/>
                <w:sz w:val="18"/>
                <w:szCs w:val="18"/>
              </w:rPr>
              <w:t>Estimated number of cases prevented required to breakeven (option specific)</w:t>
            </w:r>
          </w:p>
        </w:tc>
      </w:tr>
      <w:tr w:rsidR="002611CA" w:rsidRPr="000A53C0" w14:paraId="3BF9D83F" w14:textId="77777777" w:rsidTr="007C396A">
        <w:trPr>
          <w:trHeight w:val="196"/>
        </w:trPr>
        <w:tc>
          <w:tcPr>
            <w:tcW w:w="714" w:type="pct"/>
            <w:tcBorders>
              <w:top w:val="nil"/>
              <w:left w:val="nil"/>
              <w:bottom w:val="single" w:sz="8" w:space="0" w:color="D1D1D1" w:themeColor="background2"/>
              <w:right w:val="nil"/>
            </w:tcBorders>
            <w:hideMark/>
          </w:tcPr>
          <w:p w14:paraId="0DA4080B" w14:textId="77777777" w:rsidR="002611CA" w:rsidRPr="000A53C0" w:rsidRDefault="002611CA">
            <w:pPr>
              <w:pStyle w:val="TableBody"/>
              <w:rPr>
                <w:rFonts w:cs="Arial"/>
              </w:rPr>
            </w:pPr>
            <w:r w:rsidRPr="000A53C0">
              <w:rPr>
                <w:rFonts w:cs="Arial"/>
              </w:rPr>
              <w:t>Option 1</w:t>
            </w:r>
          </w:p>
        </w:tc>
        <w:tc>
          <w:tcPr>
            <w:tcW w:w="714" w:type="pct"/>
            <w:tcBorders>
              <w:top w:val="nil"/>
              <w:left w:val="nil"/>
              <w:right w:val="nil"/>
            </w:tcBorders>
            <w:vAlign w:val="center"/>
          </w:tcPr>
          <w:p w14:paraId="68D54EA8" w14:textId="5F319E35" w:rsidR="002611CA" w:rsidRPr="000A53C0" w:rsidRDefault="00C3240E" w:rsidP="007C396A">
            <w:pPr>
              <w:pStyle w:val="TableBody"/>
              <w:jc w:val="center"/>
              <w:rPr>
                <w:rFonts w:cs="Arial"/>
              </w:rPr>
            </w:pPr>
            <w:r>
              <w:rPr>
                <w:rFonts w:cs="Arial"/>
              </w:rPr>
              <w:t>$</w:t>
            </w:r>
            <w:r w:rsidR="002611CA" w:rsidRPr="000A53C0">
              <w:rPr>
                <w:rFonts w:cs="Arial"/>
              </w:rPr>
              <w:t>251.1</w:t>
            </w:r>
          </w:p>
        </w:tc>
        <w:tc>
          <w:tcPr>
            <w:tcW w:w="714" w:type="pct"/>
            <w:tcBorders>
              <w:top w:val="nil"/>
              <w:left w:val="nil"/>
              <w:right w:val="nil"/>
            </w:tcBorders>
            <w:vAlign w:val="center"/>
          </w:tcPr>
          <w:p w14:paraId="5A3779DE" w14:textId="24A4F210" w:rsidR="002611CA" w:rsidRPr="000A53C0" w:rsidRDefault="004A3A62" w:rsidP="007C396A">
            <w:pPr>
              <w:pStyle w:val="TableBody"/>
              <w:jc w:val="center"/>
              <w:rPr>
                <w:rFonts w:cs="Arial"/>
              </w:rPr>
            </w:pPr>
            <w:r w:rsidRPr="000A53C0">
              <w:rPr>
                <w:rFonts w:cs="Arial"/>
              </w:rPr>
              <w:t>51</w:t>
            </w:r>
          </w:p>
        </w:tc>
        <w:tc>
          <w:tcPr>
            <w:tcW w:w="714" w:type="pct"/>
            <w:vMerge w:val="restart"/>
            <w:tcBorders>
              <w:top w:val="nil"/>
              <w:left w:val="nil"/>
              <w:right w:val="nil"/>
            </w:tcBorders>
            <w:vAlign w:val="center"/>
          </w:tcPr>
          <w:p w14:paraId="1D4B16A3" w14:textId="77777777" w:rsidR="002611CA" w:rsidRPr="000A53C0" w:rsidRDefault="002611CA">
            <w:pPr>
              <w:pStyle w:val="TableBody"/>
              <w:jc w:val="center"/>
              <w:rPr>
                <w:rFonts w:cs="Arial"/>
              </w:rPr>
            </w:pPr>
            <w:r w:rsidRPr="000A53C0">
              <w:rPr>
                <w:rFonts w:cs="Arial"/>
              </w:rPr>
              <w:t>$240.5</w:t>
            </w:r>
          </w:p>
        </w:tc>
        <w:tc>
          <w:tcPr>
            <w:tcW w:w="714" w:type="pct"/>
            <w:vMerge w:val="restart"/>
            <w:tcBorders>
              <w:top w:val="nil"/>
              <w:left w:val="nil"/>
              <w:right w:val="nil"/>
            </w:tcBorders>
            <w:vAlign w:val="center"/>
          </w:tcPr>
          <w:p w14:paraId="64B02EA6" w14:textId="4B52D311" w:rsidR="002611CA" w:rsidRPr="000A53C0" w:rsidRDefault="0021257A">
            <w:pPr>
              <w:pStyle w:val="TableBody"/>
              <w:jc w:val="center"/>
              <w:rPr>
                <w:rFonts w:cs="Arial"/>
              </w:rPr>
            </w:pPr>
            <w:r w:rsidRPr="000A53C0">
              <w:rPr>
                <w:rFonts w:cs="Arial"/>
              </w:rPr>
              <w:t>49</w:t>
            </w:r>
          </w:p>
        </w:tc>
        <w:tc>
          <w:tcPr>
            <w:tcW w:w="714" w:type="pct"/>
            <w:tcBorders>
              <w:top w:val="nil"/>
              <w:left w:val="nil"/>
              <w:bottom w:val="single" w:sz="8" w:space="0" w:color="D1D1D1" w:themeColor="background2"/>
              <w:right w:val="nil"/>
            </w:tcBorders>
            <w:vAlign w:val="center"/>
            <w:hideMark/>
          </w:tcPr>
          <w:p w14:paraId="55FA826D" w14:textId="77777777" w:rsidR="002611CA" w:rsidRPr="000A53C0" w:rsidRDefault="002611CA" w:rsidP="007C396A">
            <w:pPr>
              <w:pStyle w:val="TableBody"/>
              <w:jc w:val="center"/>
              <w:rPr>
                <w:rFonts w:cs="Arial"/>
              </w:rPr>
            </w:pPr>
            <w:r w:rsidRPr="000A53C0">
              <w:rPr>
                <w:rFonts w:cs="Arial"/>
              </w:rPr>
              <w:t>$10.6</w:t>
            </w:r>
          </w:p>
        </w:tc>
        <w:tc>
          <w:tcPr>
            <w:tcW w:w="714" w:type="pct"/>
            <w:tcBorders>
              <w:top w:val="nil"/>
              <w:left w:val="nil"/>
              <w:bottom w:val="single" w:sz="8" w:space="0" w:color="D1D1D1" w:themeColor="background2"/>
              <w:right w:val="nil"/>
            </w:tcBorders>
            <w:vAlign w:val="center"/>
          </w:tcPr>
          <w:p w14:paraId="066A6D90" w14:textId="77777777" w:rsidR="002611CA" w:rsidRPr="000A53C0" w:rsidRDefault="002611CA" w:rsidP="007C396A">
            <w:pPr>
              <w:pStyle w:val="TableBody"/>
              <w:jc w:val="center"/>
              <w:rPr>
                <w:rFonts w:cs="Arial"/>
              </w:rPr>
            </w:pPr>
            <w:r w:rsidRPr="000A53C0">
              <w:rPr>
                <w:rFonts w:cs="Arial"/>
              </w:rPr>
              <w:t>2</w:t>
            </w:r>
          </w:p>
        </w:tc>
      </w:tr>
      <w:tr w:rsidR="002611CA" w:rsidRPr="000A53C0" w14:paraId="428DC3CB" w14:textId="77777777" w:rsidTr="007C396A">
        <w:trPr>
          <w:trHeight w:val="196"/>
        </w:trPr>
        <w:tc>
          <w:tcPr>
            <w:tcW w:w="714" w:type="pct"/>
            <w:tcBorders>
              <w:top w:val="single" w:sz="8" w:space="0" w:color="D1D1D1" w:themeColor="background2"/>
              <w:left w:val="nil"/>
              <w:bottom w:val="single" w:sz="8" w:space="0" w:color="D1D1D1" w:themeColor="background2"/>
              <w:right w:val="nil"/>
            </w:tcBorders>
            <w:hideMark/>
          </w:tcPr>
          <w:p w14:paraId="7AE9C5CB" w14:textId="77777777" w:rsidR="002611CA" w:rsidRPr="000A53C0" w:rsidRDefault="002611CA">
            <w:pPr>
              <w:pStyle w:val="TableBody"/>
              <w:rPr>
                <w:rFonts w:cs="Arial"/>
              </w:rPr>
            </w:pPr>
            <w:r w:rsidRPr="000A53C0">
              <w:rPr>
                <w:rFonts w:cs="Arial"/>
              </w:rPr>
              <w:t>Option 2</w:t>
            </w:r>
          </w:p>
        </w:tc>
        <w:tc>
          <w:tcPr>
            <w:tcW w:w="714" w:type="pct"/>
            <w:tcBorders>
              <w:left w:val="nil"/>
              <w:right w:val="nil"/>
            </w:tcBorders>
            <w:vAlign w:val="center"/>
          </w:tcPr>
          <w:p w14:paraId="755605F0" w14:textId="0D8F38D0" w:rsidR="002611CA" w:rsidRPr="000A53C0" w:rsidRDefault="00C3240E" w:rsidP="007C396A">
            <w:pPr>
              <w:pStyle w:val="TableBody"/>
              <w:jc w:val="center"/>
              <w:rPr>
                <w:rFonts w:cs="Arial"/>
              </w:rPr>
            </w:pPr>
            <w:r>
              <w:rPr>
                <w:rFonts w:cs="Arial"/>
              </w:rPr>
              <w:t>$</w:t>
            </w:r>
            <w:r w:rsidR="002611CA" w:rsidRPr="000A53C0">
              <w:rPr>
                <w:rFonts w:cs="Arial"/>
              </w:rPr>
              <w:t>240.5</w:t>
            </w:r>
          </w:p>
        </w:tc>
        <w:tc>
          <w:tcPr>
            <w:tcW w:w="714" w:type="pct"/>
            <w:tcBorders>
              <w:left w:val="nil"/>
              <w:right w:val="nil"/>
            </w:tcBorders>
            <w:vAlign w:val="center"/>
          </w:tcPr>
          <w:p w14:paraId="002EB882" w14:textId="6FCBE1CB" w:rsidR="002611CA" w:rsidRPr="000A53C0" w:rsidRDefault="00FE4CFD" w:rsidP="007C396A">
            <w:pPr>
              <w:pStyle w:val="TableBody"/>
              <w:jc w:val="center"/>
              <w:rPr>
                <w:rFonts w:cs="Arial"/>
              </w:rPr>
            </w:pPr>
            <w:r w:rsidRPr="000A53C0">
              <w:rPr>
                <w:rFonts w:cs="Arial"/>
              </w:rPr>
              <w:t>49</w:t>
            </w:r>
          </w:p>
        </w:tc>
        <w:tc>
          <w:tcPr>
            <w:tcW w:w="714" w:type="pct"/>
            <w:vMerge/>
            <w:tcBorders>
              <w:left w:val="nil"/>
              <w:right w:val="nil"/>
            </w:tcBorders>
          </w:tcPr>
          <w:p w14:paraId="1B69117F" w14:textId="77777777" w:rsidR="002611CA" w:rsidRPr="000A53C0" w:rsidRDefault="002611CA">
            <w:pPr>
              <w:pStyle w:val="TableBody"/>
              <w:jc w:val="center"/>
              <w:rPr>
                <w:rFonts w:cs="Arial"/>
              </w:rPr>
            </w:pPr>
          </w:p>
        </w:tc>
        <w:tc>
          <w:tcPr>
            <w:tcW w:w="714" w:type="pct"/>
            <w:vMerge/>
            <w:tcBorders>
              <w:left w:val="nil"/>
              <w:right w:val="nil"/>
            </w:tcBorders>
          </w:tcPr>
          <w:p w14:paraId="28D0E671" w14:textId="77777777" w:rsidR="002611CA" w:rsidRPr="000A53C0" w:rsidRDefault="002611CA">
            <w:pPr>
              <w:pStyle w:val="TableBody"/>
              <w:jc w:val="center"/>
              <w:rPr>
                <w:rFonts w:cs="Arial"/>
              </w:rPr>
            </w:pPr>
          </w:p>
        </w:tc>
        <w:tc>
          <w:tcPr>
            <w:tcW w:w="714" w:type="pct"/>
            <w:tcBorders>
              <w:top w:val="single" w:sz="8" w:space="0" w:color="D1D1D1" w:themeColor="background2"/>
              <w:left w:val="nil"/>
              <w:bottom w:val="single" w:sz="8" w:space="0" w:color="D1D1D1" w:themeColor="background2"/>
              <w:right w:val="nil"/>
            </w:tcBorders>
            <w:vAlign w:val="center"/>
            <w:hideMark/>
          </w:tcPr>
          <w:p w14:paraId="712552D7" w14:textId="62242181" w:rsidR="002611CA" w:rsidRPr="000A53C0" w:rsidRDefault="00414AFA" w:rsidP="007C396A">
            <w:pPr>
              <w:pStyle w:val="TableBody"/>
              <w:jc w:val="center"/>
              <w:rPr>
                <w:rFonts w:cs="Arial"/>
              </w:rPr>
            </w:pPr>
            <w:r>
              <w:rPr>
                <w:rFonts w:cs="Arial"/>
              </w:rPr>
              <w:t>$</w:t>
            </w:r>
            <w:r w:rsidR="002611CA" w:rsidRPr="000A53C0">
              <w:rPr>
                <w:rFonts w:cs="Arial"/>
              </w:rPr>
              <w:t>0</w:t>
            </w:r>
          </w:p>
        </w:tc>
        <w:tc>
          <w:tcPr>
            <w:tcW w:w="714" w:type="pct"/>
            <w:tcBorders>
              <w:top w:val="single" w:sz="8" w:space="0" w:color="D1D1D1" w:themeColor="background2"/>
              <w:left w:val="nil"/>
              <w:bottom w:val="single" w:sz="8" w:space="0" w:color="D1D1D1" w:themeColor="background2"/>
              <w:right w:val="nil"/>
            </w:tcBorders>
            <w:vAlign w:val="center"/>
          </w:tcPr>
          <w:p w14:paraId="3FE8017C" w14:textId="77777777" w:rsidR="002611CA" w:rsidRPr="000A53C0" w:rsidRDefault="002611CA" w:rsidP="007C396A">
            <w:pPr>
              <w:pStyle w:val="TableBody"/>
              <w:jc w:val="center"/>
              <w:rPr>
                <w:rFonts w:cs="Arial"/>
              </w:rPr>
            </w:pPr>
            <w:r w:rsidRPr="000A53C0">
              <w:rPr>
                <w:rFonts w:cs="Arial"/>
              </w:rPr>
              <w:t>0</w:t>
            </w:r>
          </w:p>
        </w:tc>
      </w:tr>
      <w:tr w:rsidR="002611CA" w:rsidRPr="000A53C0" w14:paraId="618667CD" w14:textId="77777777" w:rsidTr="007C396A">
        <w:trPr>
          <w:trHeight w:val="196"/>
        </w:trPr>
        <w:tc>
          <w:tcPr>
            <w:tcW w:w="714" w:type="pct"/>
            <w:tcBorders>
              <w:top w:val="single" w:sz="8" w:space="0" w:color="D1D1D1" w:themeColor="background2"/>
              <w:left w:val="nil"/>
              <w:bottom w:val="single" w:sz="8" w:space="0" w:color="D1D1D1" w:themeColor="background2"/>
              <w:right w:val="nil"/>
            </w:tcBorders>
            <w:hideMark/>
          </w:tcPr>
          <w:p w14:paraId="539D231A" w14:textId="77777777" w:rsidR="002611CA" w:rsidRPr="000A53C0" w:rsidRDefault="002611CA">
            <w:pPr>
              <w:pStyle w:val="TableBody"/>
              <w:rPr>
                <w:rFonts w:cs="Arial"/>
              </w:rPr>
            </w:pPr>
            <w:r w:rsidRPr="000A53C0">
              <w:rPr>
                <w:rFonts w:cs="Arial"/>
              </w:rPr>
              <w:t>Option 3</w:t>
            </w:r>
          </w:p>
        </w:tc>
        <w:tc>
          <w:tcPr>
            <w:tcW w:w="714" w:type="pct"/>
            <w:tcBorders>
              <w:left w:val="nil"/>
              <w:bottom w:val="single" w:sz="8" w:space="0" w:color="D1D1D1" w:themeColor="background2"/>
              <w:right w:val="nil"/>
            </w:tcBorders>
            <w:vAlign w:val="center"/>
          </w:tcPr>
          <w:p w14:paraId="4E588CEA" w14:textId="4A834A12" w:rsidR="002611CA" w:rsidRPr="000A53C0" w:rsidRDefault="00C3240E" w:rsidP="007C396A">
            <w:pPr>
              <w:pStyle w:val="TableBody"/>
              <w:jc w:val="center"/>
              <w:rPr>
                <w:rFonts w:cs="Arial"/>
              </w:rPr>
            </w:pPr>
            <w:r>
              <w:rPr>
                <w:rFonts w:cs="Arial"/>
              </w:rPr>
              <w:t>$</w:t>
            </w:r>
            <w:r w:rsidR="002611CA" w:rsidRPr="000A53C0">
              <w:rPr>
                <w:rFonts w:cs="Arial"/>
              </w:rPr>
              <w:t>249.7</w:t>
            </w:r>
          </w:p>
        </w:tc>
        <w:tc>
          <w:tcPr>
            <w:tcW w:w="714" w:type="pct"/>
            <w:tcBorders>
              <w:left w:val="nil"/>
              <w:bottom w:val="single" w:sz="8" w:space="0" w:color="D1D1D1" w:themeColor="background2"/>
              <w:right w:val="nil"/>
            </w:tcBorders>
            <w:vAlign w:val="center"/>
          </w:tcPr>
          <w:p w14:paraId="3622B923" w14:textId="175A4068" w:rsidR="002611CA" w:rsidRPr="000A53C0" w:rsidRDefault="00FE4CFD" w:rsidP="007C396A">
            <w:pPr>
              <w:pStyle w:val="TableBody"/>
              <w:jc w:val="center"/>
              <w:rPr>
                <w:rFonts w:cs="Arial"/>
              </w:rPr>
            </w:pPr>
            <w:r w:rsidRPr="000A53C0">
              <w:rPr>
                <w:rFonts w:cs="Arial"/>
              </w:rPr>
              <w:t>51</w:t>
            </w:r>
          </w:p>
        </w:tc>
        <w:tc>
          <w:tcPr>
            <w:tcW w:w="714" w:type="pct"/>
            <w:vMerge/>
            <w:tcBorders>
              <w:left w:val="nil"/>
              <w:bottom w:val="single" w:sz="8" w:space="0" w:color="D1D1D1" w:themeColor="background2"/>
              <w:right w:val="nil"/>
            </w:tcBorders>
          </w:tcPr>
          <w:p w14:paraId="6D253C2B" w14:textId="77777777" w:rsidR="002611CA" w:rsidRPr="000A53C0" w:rsidRDefault="002611CA">
            <w:pPr>
              <w:pStyle w:val="TableBody"/>
              <w:jc w:val="center"/>
              <w:rPr>
                <w:rFonts w:cs="Arial"/>
              </w:rPr>
            </w:pPr>
          </w:p>
        </w:tc>
        <w:tc>
          <w:tcPr>
            <w:tcW w:w="714" w:type="pct"/>
            <w:vMerge/>
            <w:tcBorders>
              <w:left w:val="nil"/>
              <w:bottom w:val="single" w:sz="8" w:space="0" w:color="D1D1D1" w:themeColor="background2"/>
              <w:right w:val="nil"/>
            </w:tcBorders>
          </w:tcPr>
          <w:p w14:paraId="48823043" w14:textId="77777777" w:rsidR="002611CA" w:rsidRPr="000A53C0" w:rsidRDefault="002611CA">
            <w:pPr>
              <w:pStyle w:val="TableBody"/>
              <w:jc w:val="center"/>
              <w:rPr>
                <w:rFonts w:cs="Arial"/>
              </w:rPr>
            </w:pPr>
          </w:p>
        </w:tc>
        <w:tc>
          <w:tcPr>
            <w:tcW w:w="714" w:type="pct"/>
            <w:tcBorders>
              <w:top w:val="single" w:sz="8" w:space="0" w:color="D1D1D1" w:themeColor="background2"/>
              <w:left w:val="nil"/>
              <w:bottom w:val="single" w:sz="8" w:space="0" w:color="D1D1D1" w:themeColor="background2"/>
              <w:right w:val="nil"/>
            </w:tcBorders>
            <w:vAlign w:val="center"/>
            <w:hideMark/>
          </w:tcPr>
          <w:p w14:paraId="458250E2" w14:textId="77777777" w:rsidR="002611CA" w:rsidRPr="000A53C0" w:rsidRDefault="002611CA" w:rsidP="007C396A">
            <w:pPr>
              <w:pStyle w:val="TableBody"/>
              <w:jc w:val="center"/>
              <w:rPr>
                <w:rFonts w:cs="Arial"/>
                <w:highlight w:val="yellow"/>
              </w:rPr>
            </w:pPr>
            <w:r w:rsidRPr="000A53C0">
              <w:rPr>
                <w:rFonts w:cs="Arial"/>
              </w:rPr>
              <w:t>$9.2</w:t>
            </w:r>
          </w:p>
        </w:tc>
        <w:tc>
          <w:tcPr>
            <w:tcW w:w="714" w:type="pct"/>
            <w:tcBorders>
              <w:top w:val="single" w:sz="8" w:space="0" w:color="D1D1D1" w:themeColor="background2"/>
              <w:left w:val="nil"/>
              <w:bottom w:val="single" w:sz="8" w:space="0" w:color="D1D1D1" w:themeColor="background2"/>
              <w:right w:val="nil"/>
            </w:tcBorders>
            <w:vAlign w:val="center"/>
          </w:tcPr>
          <w:p w14:paraId="3365C013" w14:textId="77777777" w:rsidR="002611CA" w:rsidRPr="000A53C0" w:rsidRDefault="002611CA" w:rsidP="007C396A">
            <w:pPr>
              <w:pStyle w:val="TableBody"/>
              <w:jc w:val="center"/>
              <w:rPr>
                <w:rFonts w:cs="Arial"/>
              </w:rPr>
            </w:pPr>
            <w:r w:rsidRPr="000A53C0">
              <w:rPr>
                <w:rFonts w:cs="Arial"/>
              </w:rPr>
              <w:t>2</w:t>
            </w:r>
          </w:p>
        </w:tc>
      </w:tr>
      <w:bookmarkEnd w:id="155"/>
    </w:tbl>
    <w:p w14:paraId="257844F3" w14:textId="77777777" w:rsidR="00201FBA" w:rsidRDefault="00201FBA" w:rsidP="52273BA0">
      <w:pPr>
        <w:pStyle w:val="BodyText"/>
        <w:rPr>
          <w:rFonts w:cs="Arial"/>
        </w:rPr>
      </w:pPr>
    </w:p>
    <w:p w14:paraId="7A2B2E78" w14:textId="77777777" w:rsidR="00CC3F74" w:rsidRDefault="002611CA" w:rsidP="52273BA0">
      <w:pPr>
        <w:pStyle w:val="BodyText"/>
        <w:rPr>
          <w:rFonts w:cs="Arial"/>
        </w:rPr>
      </w:pPr>
      <w:r w:rsidRPr="000A53C0">
        <w:rPr>
          <w:rFonts w:cs="Arial"/>
        </w:rPr>
        <w:t>*Estimated number of cases required to break even rounded to the nearest whole number</w:t>
      </w:r>
      <w:r w:rsidR="00FA7D10">
        <w:rPr>
          <w:rFonts w:cs="Arial"/>
        </w:rPr>
        <w:t>.</w:t>
      </w:r>
      <w:r w:rsidRPr="000A53C0">
        <w:rPr>
          <w:rFonts w:cs="Arial"/>
        </w:rPr>
        <w:t xml:space="preserve"> </w:t>
      </w:r>
    </w:p>
    <w:p w14:paraId="2C6B3BFD" w14:textId="39051CF9" w:rsidR="00BB17D7" w:rsidRPr="000A53C0" w:rsidRDefault="440B9558" w:rsidP="52273BA0">
      <w:pPr>
        <w:pStyle w:val="BodyText"/>
        <w:rPr>
          <w:rFonts w:cs="Arial"/>
        </w:rPr>
      </w:pPr>
      <w:r w:rsidRPr="000A53C0">
        <w:rPr>
          <w:rFonts w:cs="Arial"/>
        </w:rPr>
        <w:t xml:space="preserve">The average number of cases </w:t>
      </w:r>
      <w:r w:rsidR="00167266" w:rsidRPr="000A53C0">
        <w:rPr>
          <w:rFonts w:cs="Arial"/>
        </w:rPr>
        <w:t>that</w:t>
      </w:r>
      <w:r w:rsidR="09270D58" w:rsidRPr="000A53C0">
        <w:rPr>
          <w:rFonts w:cs="Arial"/>
        </w:rPr>
        <w:t xml:space="preserve"> </w:t>
      </w:r>
      <w:r w:rsidRPr="000A53C0">
        <w:rPr>
          <w:rFonts w:cs="Arial"/>
        </w:rPr>
        <w:t>need to be prevented per year to break even (</w:t>
      </w:r>
      <w:r w:rsidR="00F43EF7" w:rsidRPr="000A53C0">
        <w:rPr>
          <w:rFonts w:cs="Arial"/>
        </w:rPr>
        <w:t>~</w:t>
      </w:r>
      <w:r w:rsidRPr="000A53C0">
        <w:rPr>
          <w:rFonts w:cs="Arial"/>
        </w:rPr>
        <w:t xml:space="preserve">5 cases) </w:t>
      </w:r>
      <w:r w:rsidR="00F43EF7" w:rsidRPr="000A53C0">
        <w:rPr>
          <w:rFonts w:cs="Arial"/>
        </w:rPr>
        <w:t>is likely</w:t>
      </w:r>
      <w:r w:rsidRPr="000A53C0">
        <w:rPr>
          <w:rFonts w:cs="Arial"/>
        </w:rPr>
        <w:t xml:space="preserve"> achievable given t</w:t>
      </w:r>
      <w:r w:rsidR="68C832C2" w:rsidRPr="000A53C0">
        <w:rPr>
          <w:rFonts w:cs="Arial"/>
        </w:rPr>
        <w:t xml:space="preserve">he </w:t>
      </w:r>
      <w:r w:rsidR="46033FCE" w:rsidRPr="000A53C0">
        <w:rPr>
          <w:rFonts w:cs="Arial"/>
        </w:rPr>
        <w:t xml:space="preserve">annual </w:t>
      </w:r>
      <w:r w:rsidR="68C832C2" w:rsidRPr="000A53C0">
        <w:rPr>
          <w:rFonts w:cs="Arial"/>
        </w:rPr>
        <w:t xml:space="preserve">number of accepted compensation claims </w:t>
      </w:r>
      <w:r w:rsidR="46033FCE" w:rsidRPr="000A53C0">
        <w:rPr>
          <w:rFonts w:cs="Arial"/>
        </w:rPr>
        <w:t>in recent years</w:t>
      </w:r>
      <w:r w:rsidR="06ACFCE5" w:rsidRPr="000A53C0">
        <w:rPr>
          <w:rFonts w:cs="Arial"/>
        </w:rPr>
        <w:t xml:space="preserve"> (Figure 1).</w:t>
      </w:r>
      <w:r w:rsidR="365340CB" w:rsidRPr="000A53C0">
        <w:rPr>
          <w:rFonts w:cs="Arial"/>
        </w:rPr>
        <w:t xml:space="preserve"> </w:t>
      </w:r>
      <w:r w:rsidR="000E4053" w:rsidRPr="000A53C0">
        <w:rPr>
          <w:rFonts w:cs="Arial"/>
        </w:rPr>
        <w:t xml:space="preserve">The 49–51 cases needed to be avoided </w:t>
      </w:r>
      <w:r w:rsidR="003E5276" w:rsidRPr="000A53C0">
        <w:rPr>
          <w:rFonts w:cs="Arial"/>
        </w:rPr>
        <w:t xml:space="preserve">to break even </w:t>
      </w:r>
      <w:r w:rsidR="000E4053" w:rsidRPr="000A53C0">
        <w:rPr>
          <w:rFonts w:cs="Arial"/>
        </w:rPr>
        <w:t>is a small fraction of the 1</w:t>
      </w:r>
      <w:r w:rsidR="00A044EC">
        <w:rPr>
          <w:rFonts w:cs="Arial"/>
        </w:rPr>
        <w:t>,</w:t>
      </w:r>
      <w:r w:rsidR="000E4053" w:rsidRPr="000A53C0">
        <w:rPr>
          <w:rFonts w:cs="Arial"/>
        </w:rPr>
        <w:t>000</w:t>
      </w:r>
      <w:r w:rsidR="00E00F86" w:rsidRPr="000A53C0">
        <w:rPr>
          <w:rFonts w:cs="Arial"/>
        </w:rPr>
        <w:t xml:space="preserve"> future</w:t>
      </w:r>
      <w:r w:rsidR="000E4053" w:rsidRPr="000A53C0">
        <w:rPr>
          <w:rFonts w:cs="Arial"/>
        </w:rPr>
        <w:t xml:space="preserve"> cases of silicosis predicted to be prevented if </w:t>
      </w:r>
      <w:r w:rsidR="00652E33" w:rsidRPr="000A53C0">
        <w:rPr>
          <w:rFonts w:cs="Arial"/>
        </w:rPr>
        <w:t>the</w:t>
      </w:r>
      <w:r w:rsidR="000E4053" w:rsidRPr="000A53C0">
        <w:rPr>
          <w:rFonts w:cs="Arial"/>
        </w:rPr>
        <w:t xml:space="preserve"> use of engineered stone were prohibited in Australia </w:t>
      </w:r>
      <w:sdt>
        <w:sdtPr>
          <w:rPr>
            <w:rFonts w:cs="Arial"/>
          </w:rPr>
          <w:id w:val="-1982064974"/>
          <w:citation/>
        </w:sdtPr>
        <w:sdtEndPr/>
        <w:sdtContent>
          <w:r w:rsidR="000E4053" w:rsidRPr="000A53C0">
            <w:rPr>
              <w:rFonts w:cs="Arial"/>
            </w:rPr>
            <w:fldChar w:fldCharType="begin"/>
          </w:r>
          <w:r w:rsidR="00A74AA4" w:rsidRPr="000A53C0">
            <w:rPr>
              <w:rFonts w:cs="Arial"/>
            </w:rPr>
            <w:instrText xml:space="preserve">CITATION Car22 \l 3081 </w:instrText>
          </w:r>
          <w:r w:rsidR="000E4053" w:rsidRPr="000A53C0">
            <w:rPr>
              <w:rFonts w:cs="Arial"/>
            </w:rPr>
            <w:fldChar w:fldCharType="separate"/>
          </w:r>
          <w:r w:rsidR="001F7BAA" w:rsidRPr="000A53C0">
            <w:rPr>
              <w:rFonts w:cs="Arial"/>
              <w:noProof/>
            </w:rPr>
            <w:t>(Carey and Fritschi 2022)</w:t>
          </w:r>
          <w:r w:rsidR="000E4053" w:rsidRPr="000A53C0">
            <w:rPr>
              <w:rFonts w:cs="Arial"/>
            </w:rPr>
            <w:fldChar w:fldCharType="end"/>
          </w:r>
        </w:sdtContent>
      </w:sdt>
      <w:r w:rsidR="000E4053" w:rsidRPr="000A53C0">
        <w:rPr>
          <w:rFonts w:cs="Arial"/>
        </w:rPr>
        <w:t xml:space="preserve">. </w:t>
      </w:r>
    </w:p>
    <w:bookmarkEnd w:id="120"/>
    <w:bookmarkEnd w:id="121"/>
    <w:p w14:paraId="4BD93EB7" w14:textId="4CD8AF35" w:rsidR="00960C7B" w:rsidRPr="000A53C0" w:rsidRDefault="00960C7B">
      <w:pPr>
        <w:spacing w:after="120" w:line="264" w:lineRule="auto"/>
        <w:rPr>
          <w:rFonts w:cs="Arial"/>
          <w:b/>
          <w:color w:val="014463" w:themeColor="text2"/>
          <w:sz w:val="60"/>
          <w:szCs w:val="60"/>
        </w:rPr>
      </w:pPr>
      <w:r w:rsidRPr="000A53C0">
        <w:rPr>
          <w:rFonts w:cs="Arial"/>
        </w:rPr>
        <w:br w:type="page"/>
      </w:r>
    </w:p>
    <w:p w14:paraId="0F4B1C5C" w14:textId="65E63702" w:rsidR="00D42728" w:rsidRPr="000A53C0" w:rsidRDefault="00D42728" w:rsidP="008D30FF">
      <w:pPr>
        <w:pStyle w:val="Heading1numbered"/>
      </w:pPr>
      <w:bookmarkStart w:id="156" w:name="_Ref139550626"/>
      <w:bookmarkStart w:id="157" w:name="_Ref139550631"/>
      <w:bookmarkStart w:id="158" w:name="_Toc142991344"/>
      <w:r w:rsidRPr="000A53C0">
        <w:lastRenderedPageBreak/>
        <w:t xml:space="preserve">Who was </w:t>
      </w:r>
      <w:r w:rsidR="00FB2787" w:rsidRPr="000A53C0">
        <w:t>consulted</w:t>
      </w:r>
      <w:r w:rsidRPr="000A53C0">
        <w:t xml:space="preserve"> and how was their feedback incorporated?</w:t>
      </w:r>
      <w:bookmarkEnd w:id="156"/>
      <w:bookmarkEnd w:id="157"/>
      <w:bookmarkEnd w:id="158"/>
    </w:p>
    <w:p w14:paraId="428558F1" w14:textId="0E19AAEA" w:rsidR="009E03BF" w:rsidRPr="000A53C0" w:rsidRDefault="00235D5A" w:rsidP="008A3B50">
      <w:pPr>
        <w:pStyle w:val="BodyText"/>
        <w:rPr>
          <w:rFonts w:cs="Arial"/>
        </w:rPr>
      </w:pPr>
      <w:r w:rsidRPr="000A53C0">
        <w:rPr>
          <w:rFonts w:cs="Arial"/>
        </w:rPr>
        <w:t xml:space="preserve">This </w:t>
      </w:r>
      <w:r w:rsidR="001A4BDC" w:rsidRPr="000A53C0">
        <w:rPr>
          <w:rFonts w:cs="Arial"/>
        </w:rPr>
        <w:t xml:space="preserve">Decision RIS </w:t>
      </w:r>
      <w:r w:rsidR="00C700F8" w:rsidRPr="000A53C0">
        <w:rPr>
          <w:rFonts w:cs="Arial"/>
        </w:rPr>
        <w:t xml:space="preserve">was informed by a consultation </w:t>
      </w:r>
      <w:r w:rsidR="004F3A59" w:rsidRPr="000A53C0">
        <w:rPr>
          <w:rFonts w:cs="Arial"/>
        </w:rPr>
        <w:t xml:space="preserve">process that ran </w:t>
      </w:r>
      <w:r w:rsidR="00CF7141" w:rsidRPr="000A53C0">
        <w:rPr>
          <w:rFonts w:cs="Arial"/>
        </w:rPr>
        <w:t xml:space="preserve">from </w:t>
      </w:r>
      <w:r w:rsidR="0018203F" w:rsidRPr="000A53C0">
        <w:rPr>
          <w:rFonts w:cs="Arial"/>
        </w:rPr>
        <w:t>March</w:t>
      </w:r>
      <w:r w:rsidR="001D441B">
        <w:rPr>
          <w:rFonts w:cs="Arial"/>
        </w:rPr>
        <w:t>–</w:t>
      </w:r>
      <w:r w:rsidR="0018203F" w:rsidRPr="000A53C0">
        <w:rPr>
          <w:rFonts w:cs="Arial"/>
        </w:rPr>
        <w:t>Ap</w:t>
      </w:r>
      <w:r w:rsidR="001A4BDC" w:rsidRPr="000A53C0">
        <w:rPr>
          <w:rFonts w:cs="Arial"/>
        </w:rPr>
        <w:t>r</w:t>
      </w:r>
      <w:r w:rsidR="0018203F" w:rsidRPr="000A53C0">
        <w:rPr>
          <w:rFonts w:cs="Arial"/>
        </w:rPr>
        <w:t>il 2023.</w:t>
      </w:r>
      <w:r w:rsidR="004F3A59" w:rsidRPr="000A53C0">
        <w:rPr>
          <w:rFonts w:cs="Arial"/>
        </w:rPr>
        <w:t xml:space="preserve"> </w:t>
      </w:r>
      <w:r w:rsidR="00753687" w:rsidRPr="000A53C0">
        <w:rPr>
          <w:rFonts w:cs="Arial"/>
        </w:rPr>
        <w:t>The Agency</w:t>
      </w:r>
      <w:r w:rsidR="0095415F" w:rsidRPr="000A53C0">
        <w:rPr>
          <w:rFonts w:cs="Arial"/>
        </w:rPr>
        <w:t xml:space="preserve"> </w:t>
      </w:r>
      <w:r w:rsidR="00422569" w:rsidRPr="000A53C0">
        <w:rPr>
          <w:rFonts w:cs="Arial"/>
        </w:rPr>
        <w:t xml:space="preserve">sought feedback </w:t>
      </w:r>
      <w:r w:rsidR="0081226B" w:rsidRPr="000A53C0">
        <w:rPr>
          <w:rFonts w:cs="Arial"/>
        </w:rPr>
        <w:t xml:space="preserve">on a consultation paper </w:t>
      </w:r>
      <w:r w:rsidR="001233CF" w:rsidRPr="000A53C0">
        <w:rPr>
          <w:rFonts w:cs="Arial"/>
        </w:rPr>
        <w:t>outlin</w:t>
      </w:r>
      <w:r w:rsidR="004F3A59" w:rsidRPr="000A53C0">
        <w:rPr>
          <w:rFonts w:cs="Arial"/>
        </w:rPr>
        <w:t>ing</w:t>
      </w:r>
      <w:r w:rsidR="001233CF" w:rsidRPr="000A53C0">
        <w:rPr>
          <w:rFonts w:cs="Arial"/>
        </w:rPr>
        <w:t xml:space="preserve"> </w:t>
      </w:r>
      <w:r w:rsidR="008769A2">
        <w:rPr>
          <w:rFonts w:cs="Arial"/>
        </w:rPr>
        <w:t>3</w:t>
      </w:r>
      <w:r w:rsidR="001233CF" w:rsidRPr="000A53C0">
        <w:rPr>
          <w:rFonts w:cs="Arial"/>
        </w:rPr>
        <w:t xml:space="preserve"> options</w:t>
      </w:r>
      <w:r w:rsidR="00481DA9" w:rsidRPr="000A53C0">
        <w:rPr>
          <w:rFonts w:cs="Arial"/>
        </w:rPr>
        <w:t>.</w:t>
      </w:r>
      <w:r w:rsidR="005E36EC" w:rsidRPr="000A53C0">
        <w:rPr>
          <w:rFonts w:cs="Arial"/>
        </w:rPr>
        <w:t xml:space="preserve"> </w:t>
      </w:r>
      <w:r w:rsidR="008B604D" w:rsidRPr="000A53C0">
        <w:rPr>
          <w:rFonts w:cs="Arial"/>
        </w:rPr>
        <w:t xml:space="preserve">Submissions were accepted via </w:t>
      </w:r>
      <w:r w:rsidR="00E11988" w:rsidRPr="000A53C0">
        <w:rPr>
          <w:rFonts w:cs="Arial"/>
        </w:rPr>
        <w:t xml:space="preserve">Safe Work Australia’s </w:t>
      </w:r>
      <w:r w:rsidR="008B604D" w:rsidRPr="000A53C0">
        <w:rPr>
          <w:rFonts w:cs="Arial"/>
        </w:rPr>
        <w:t>consultation platform</w:t>
      </w:r>
      <w:r w:rsidR="00E11988" w:rsidRPr="000A53C0">
        <w:rPr>
          <w:rFonts w:cs="Arial"/>
        </w:rPr>
        <w:t>,</w:t>
      </w:r>
      <w:r w:rsidR="008B604D" w:rsidRPr="000A53C0">
        <w:rPr>
          <w:rFonts w:cs="Arial"/>
        </w:rPr>
        <w:t xml:space="preserve"> Engage</w:t>
      </w:r>
      <w:r w:rsidR="00E11988" w:rsidRPr="000A53C0">
        <w:rPr>
          <w:rFonts w:cs="Arial"/>
        </w:rPr>
        <w:t>,</w:t>
      </w:r>
      <w:r w:rsidR="008B604D" w:rsidRPr="000A53C0">
        <w:rPr>
          <w:rFonts w:cs="Arial"/>
        </w:rPr>
        <w:t xml:space="preserve"> from </w:t>
      </w:r>
      <w:r w:rsidR="00CF7141" w:rsidRPr="000A53C0">
        <w:rPr>
          <w:rFonts w:cs="Arial"/>
        </w:rPr>
        <w:t>2 March</w:t>
      </w:r>
      <w:r w:rsidR="00063998" w:rsidRPr="000A53C0">
        <w:rPr>
          <w:rFonts w:cs="Arial"/>
        </w:rPr>
        <w:t xml:space="preserve"> 2023</w:t>
      </w:r>
      <w:r w:rsidR="008B604D" w:rsidRPr="000A53C0">
        <w:rPr>
          <w:rFonts w:cs="Arial"/>
        </w:rPr>
        <w:t xml:space="preserve"> to </w:t>
      </w:r>
      <w:r w:rsidR="00B95306" w:rsidRPr="000A53C0">
        <w:rPr>
          <w:rFonts w:cs="Arial"/>
        </w:rPr>
        <w:t>2</w:t>
      </w:r>
      <w:r w:rsidR="004F3A59" w:rsidRPr="000A53C0">
        <w:rPr>
          <w:rFonts w:cs="Arial"/>
        </w:rPr>
        <w:t xml:space="preserve"> </w:t>
      </w:r>
      <w:r w:rsidR="00063998" w:rsidRPr="000A53C0">
        <w:rPr>
          <w:rFonts w:cs="Arial"/>
        </w:rPr>
        <w:t>April 2023</w:t>
      </w:r>
      <w:r w:rsidR="00E11988" w:rsidRPr="000A53C0">
        <w:rPr>
          <w:rFonts w:cs="Arial"/>
        </w:rPr>
        <w:t>.</w:t>
      </w:r>
      <w:r w:rsidR="008B604D" w:rsidRPr="000A53C0">
        <w:rPr>
          <w:rFonts w:cs="Arial"/>
        </w:rPr>
        <w:t xml:space="preserve"> </w:t>
      </w:r>
      <w:r w:rsidR="00E11988" w:rsidRPr="000A53C0">
        <w:rPr>
          <w:rFonts w:cs="Arial"/>
        </w:rPr>
        <w:t>L</w:t>
      </w:r>
      <w:r w:rsidR="008B604D" w:rsidRPr="000A53C0">
        <w:rPr>
          <w:rFonts w:cs="Arial"/>
        </w:rPr>
        <w:t>ate submissions were als</w:t>
      </w:r>
      <w:r w:rsidR="00400D54" w:rsidRPr="000A53C0">
        <w:rPr>
          <w:rFonts w:cs="Arial"/>
        </w:rPr>
        <w:t>o</w:t>
      </w:r>
      <w:r w:rsidR="008B604D" w:rsidRPr="000A53C0">
        <w:rPr>
          <w:rFonts w:cs="Arial"/>
        </w:rPr>
        <w:t xml:space="preserve"> accepted</w:t>
      </w:r>
      <w:r w:rsidR="004313C7" w:rsidRPr="000A53C0">
        <w:rPr>
          <w:rFonts w:cs="Arial"/>
        </w:rPr>
        <w:t xml:space="preserve"> where requested</w:t>
      </w:r>
      <w:r w:rsidR="008B604D" w:rsidRPr="000A53C0">
        <w:rPr>
          <w:rFonts w:cs="Arial"/>
        </w:rPr>
        <w:t xml:space="preserve">. </w:t>
      </w:r>
    </w:p>
    <w:p w14:paraId="2843ED09" w14:textId="77777777" w:rsidR="00C75D93" w:rsidRPr="000A53C0" w:rsidRDefault="00C75D93" w:rsidP="00514CCB">
      <w:pPr>
        <w:pStyle w:val="Heading2numbered"/>
      </w:pPr>
      <w:bookmarkStart w:id="159" w:name="_Toc142991345"/>
      <w:r w:rsidRPr="000A53C0">
        <w:t>Options</w:t>
      </w:r>
      <w:bookmarkEnd w:id="159"/>
    </w:p>
    <w:p w14:paraId="50E945E4" w14:textId="7ADB3271" w:rsidR="00C75D93" w:rsidRPr="000A53C0" w:rsidRDefault="00C75D93" w:rsidP="00351017">
      <w:pPr>
        <w:pStyle w:val="BodyText"/>
        <w:rPr>
          <w:rFonts w:cs="Arial"/>
        </w:rPr>
      </w:pPr>
      <w:r w:rsidRPr="000A53C0">
        <w:rPr>
          <w:rFonts w:cs="Arial"/>
        </w:rPr>
        <w:t xml:space="preserve">Feedback was sought on the following </w:t>
      </w:r>
      <w:r w:rsidR="0063317E">
        <w:rPr>
          <w:rFonts w:cs="Arial"/>
        </w:rPr>
        <w:t>3</w:t>
      </w:r>
      <w:r w:rsidR="00FD7F50">
        <w:rPr>
          <w:rFonts w:cs="Arial"/>
        </w:rPr>
        <w:t xml:space="preserve"> </w:t>
      </w:r>
      <w:r w:rsidRPr="000A53C0">
        <w:rPr>
          <w:rFonts w:cs="Arial"/>
        </w:rPr>
        <w:t>options:</w:t>
      </w:r>
    </w:p>
    <w:p w14:paraId="202B0A94" w14:textId="1B6D6884" w:rsidR="00C75D93" w:rsidRPr="000A53C0" w:rsidRDefault="00C75D93" w:rsidP="00414AFA">
      <w:pPr>
        <w:pStyle w:val="IAListbullet2"/>
      </w:pPr>
      <w:r w:rsidRPr="000A53C0">
        <w:rPr>
          <w:b/>
          <w:bCs/>
        </w:rPr>
        <w:t>Option 1</w:t>
      </w:r>
      <w:r w:rsidRPr="000A53C0">
        <w:t xml:space="preserve">: Prohibition on the use of all engineered stone </w:t>
      </w:r>
    </w:p>
    <w:p w14:paraId="403D89BC" w14:textId="77777777" w:rsidR="00351017" w:rsidRPr="000A53C0" w:rsidRDefault="00C75D93" w:rsidP="00414AFA">
      <w:pPr>
        <w:pStyle w:val="IAListbullet2"/>
      </w:pPr>
      <w:r w:rsidRPr="000A53C0">
        <w:rPr>
          <w:b/>
          <w:bCs/>
        </w:rPr>
        <w:t>Option 2</w:t>
      </w:r>
      <w:r w:rsidRPr="000A53C0">
        <w:t>: Prohibition on the use of engineered stone containing 40% or more crystalline silica, and</w:t>
      </w:r>
    </w:p>
    <w:p w14:paraId="27879752" w14:textId="56028813" w:rsidR="00C75D93" w:rsidRPr="000A53C0" w:rsidRDefault="00C75D93" w:rsidP="00414AFA">
      <w:pPr>
        <w:pStyle w:val="IAListbullet2"/>
      </w:pPr>
      <w:r w:rsidRPr="000A53C0">
        <w:rPr>
          <w:b/>
          <w:bCs/>
        </w:rPr>
        <w:t>Option 3</w:t>
      </w:r>
      <w:r w:rsidRPr="000A53C0">
        <w:t>: Prohibition on the use of engineered stone containing 40% or more crystalline silica and licensing of PCBUs working with engineered stone containing less than 40% crystalline silica.</w:t>
      </w:r>
    </w:p>
    <w:p w14:paraId="17C4E1EF" w14:textId="1160EE4A" w:rsidR="00C75D93" w:rsidRPr="000A53C0" w:rsidRDefault="00C75D93" w:rsidP="006545BF">
      <w:pPr>
        <w:pStyle w:val="BodyText"/>
        <w:rPr>
          <w:rFonts w:cs="Arial"/>
        </w:rPr>
      </w:pPr>
      <w:r w:rsidRPr="000A53C0">
        <w:rPr>
          <w:rFonts w:cs="Arial"/>
        </w:rPr>
        <w:t xml:space="preserve">The </w:t>
      </w:r>
      <w:r w:rsidR="00893467">
        <w:rPr>
          <w:rFonts w:cs="Arial"/>
        </w:rPr>
        <w:t>3</w:t>
      </w:r>
      <w:r w:rsidRPr="000A53C0">
        <w:rPr>
          <w:rFonts w:cs="Arial"/>
        </w:rPr>
        <w:t xml:space="preserve"> options for prohibition include </w:t>
      </w:r>
      <w:r w:rsidR="00BC6592" w:rsidRPr="000A53C0">
        <w:rPr>
          <w:rFonts w:cs="Arial"/>
        </w:rPr>
        <w:t>a</w:t>
      </w:r>
      <w:r w:rsidR="00BC6592" w:rsidRPr="000A53C0">
        <w:rPr>
          <w:rFonts w:cs="Arial"/>
          <w:b/>
          <w:bCs/>
        </w:rPr>
        <w:t xml:space="preserve"> </w:t>
      </w:r>
      <w:r w:rsidR="00C466C7" w:rsidRPr="000A53C0">
        <w:rPr>
          <w:rFonts w:cs="Arial"/>
        </w:rPr>
        <w:t>licensing framework</w:t>
      </w:r>
      <w:r w:rsidR="00C466C7" w:rsidRPr="000A53C0">
        <w:rPr>
          <w:rFonts w:cs="Arial"/>
          <w:b/>
          <w:bCs/>
        </w:rPr>
        <w:t xml:space="preserve"> </w:t>
      </w:r>
      <w:r w:rsidR="00BC6592" w:rsidRPr="000A53C0">
        <w:rPr>
          <w:rFonts w:cs="Arial"/>
          <w:b/>
          <w:bCs/>
        </w:rPr>
        <w:t>common</w:t>
      </w:r>
      <w:r w:rsidR="00C466C7" w:rsidRPr="000A53C0">
        <w:rPr>
          <w:rFonts w:cs="Arial"/>
          <w:b/>
          <w:bCs/>
        </w:rPr>
        <w:t xml:space="preserve"> to all </w:t>
      </w:r>
      <w:r w:rsidR="00893467">
        <w:rPr>
          <w:rFonts w:cs="Arial"/>
          <w:b/>
          <w:bCs/>
        </w:rPr>
        <w:t>3</w:t>
      </w:r>
      <w:r w:rsidR="00C466C7" w:rsidRPr="000A53C0">
        <w:rPr>
          <w:rFonts w:cs="Arial"/>
          <w:b/>
          <w:bCs/>
        </w:rPr>
        <w:t xml:space="preserve"> options</w:t>
      </w:r>
      <w:r w:rsidRPr="000A53C0">
        <w:rPr>
          <w:rFonts w:cs="Arial"/>
        </w:rPr>
        <w:t>:</w:t>
      </w:r>
    </w:p>
    <w:p w14:paraId="771C49B0" w14:textId="0E97F225" w:rsidR="00C75D93" w:rsidRPr="000A53C0" w:rsidRDefault="00B1058E" w:rsidP="001B44C4">
      <w:pPr>
        <w:pStyle w:val="IAListbullet2"/>
        <w:rPr>
          <w:rFonts w:cs="Arial"/>
        </w:rPr>
      </w:pPr>
      <w:r>
        <w:rPr>
          <w:rFonts w:cs="Arial"/>
        </w:rPr>
        <w:t>l</w:t>
      </w:r>
      <w:r w:rsidR="5667C4A8" w:rsidRPr="000A53C0">
        <w:rPr>
          <w:rFonts w:cs="Arial"/>
        </w:rPr>
        <w:t>icensing framework for work with legacy products</w:t>
      </w:r>
      <w:r w:rsidR="7A0A7B9B" w:rsidRPr="000A53C0">
        <w:rPr>
          <w:rFonts w:cs="Arial"/>
        </w:rPr>
        <w:t xml:space="preserve"> – to undertake exempt work (removal, repair, minor modifications) with engineered stone installed prior to prohibition</w:t>
      </w:r>
      <w:r w:rsidR="32653AEE" w:rsidRPr="000A53C0">
        <w:rPr>
          <w:rFonts w:cs="Arial"/>
        </w:rPr>
        <w:t>.</w:t>
      </w:r>
    </w:p>
    <w:p w14:paraId="1343EA2A" w14:textId="03134EF2" w:rsidR="00C75D93" w:rsidRPr="000A53C0" w:rsidRDefault="00C466C7" w:rsidP="001B44C4">
      <w:pPr>
        <w:pStyle w:val="IAListbullet2"/>
        <w:numPr>
          <w:ilvl w:val="0"/>
          <w:numId w:val="0"/>
        </w:numPr>
        <w:rPr>
          <w:rFonts w:cs="Arial"/>
        </w:rPr>
      </w:pPr>
      <w:r w:rsidRPr="000A53C0">
        <w:rPr>
          <w:rFonts w:cs="Arial"/>
        </w:rPr>
        <w:t xml:space="preserve">As described above, </w:t>
      </w:r>
      <w:r w:rsidR="00BC6592" w:rsidRPr="000A53C0">
        <w:rPr>
          <w:rFonts w:cs="Arial"/>
        </w:rPr>
        <w:t>Option 3 includes an additional l</w:t>
      </w:r>
      <w:r w:rsidR="00B068A2" w:rsidRPr="000A53C0">
        <w:rPr>
          <w:rFonts w:cs="Arial"/>
        </w:rPr>
        <w:t xml:space="preserve">icensing framework for work with lower </w:t>
      </w:r>
      <w:r w:rsidR="00C75D93" w:rsidRPr="000A53C0">
        <w:rPr>
          <w:rFonts w:cs="Arial"/>
        </w:rPr>
        <w:t xml:space="preserve">silica engineered stone. </w:t>
      </w:r>
    </w:p>
    <w:p w14:paraId="2F7AFF3C" w14:textId="49AC0A07" w:rsidR="00C75D93" w:rsidRPr="000A53C0" w:rsidRDefault="00C75D93" w:rsidP="006545BF">
      <w:pPr>
        <w:pStyle w:val="BodyText"/>
        <w:rPr>
          <w:rFonts w:cs="Arial"/>
        </w:rPr>
      </w:pPr>
      <w:r w:rsidRPr="000A53C0">
        <w:rPr>
          <w:rFonts w:cs="Arial"/>
        </w:rPr>
        <w:t xml:space="preserve">The </w:t>
      </w:r>
      <w:r w:rsidR="00256A8D">
        <w:rPr>
          <w:rFonts w:cs="Arial"/>
        </w:rPr>
        <w:t>c</w:t>
      </w:r>
      <w:r w:rsidRPr="000A53C0">
        <w:rPr>
          <w:rFonts w:cs="Arial"/>
        </w:rPr>
        <w:t>onsultation paper asked stakeholders to provide data and evidence to support their preferred options and to inform the impact analysis. Stakeholders were also asked to submit any evidence to support a “threshold” level of crystalline silica below which engineered stone can be worked with safely.</w:t>
      </w:r>
    </w:p>
    <w:p w14:paraId="1C9E808F" w14:textId="77777777" w:rsidR="00C75D93" w:rsidRPr="000A53C0" w:rsidRDefault="00C75D93" w:rsidP="00514CCB">
      <w:pPr>
        <w:pStyle w:val="Heading2numbered"/>
        <w:rPr>
          <w:rStyle w:val="normaltextrun"/>
        </w:rPr>
      </w:pPr>
      <w:bookmarkStart w:id="160" w:name="_Toc142991346"/>
      <w:r w:rsidRPr="000A53C0">
        <w:rPr>
          <w:rStyle w:val="normaltextrun"/>
        </w:rPr>
        <w:t>Submissions at a glance</w:t>
      </w:r>
      <w:bookmarkEnd w:id="160"/>
    </w:p>
    <w:p w14:paraId="07B6A6AC" w14:textId="77777777" w:rsidR="00C75D93" w:rsidRPr="000A53C0" w:rsidRDefault="00C75D93" w:rsidP="006545BF">
      <w:pPr>
        <w:pStyle w:val="BodyText"/>
        <w:rPr>
          <w:rFonts w:cs="Arial"/>
          <w:lang w:eastAsia="en-AU"/>
        </w:rPr>
      </w:pPr>
      <w:r w:rsidRPr="000A53C0">
        <w:rPr>
          <w:rFonts w:cs="Arial"/>
          <w:lang w:eastAsia="en-AU"/>
        </w:rPr>
        <w:t xml:space="preserve">A total of 114 submissions were received from a range of stakeholders, including: </w:t>
      </w:r>
    </w:p>
    <w:p w14:paraId="0524DB38" w14:textId="77777777" w:rsidR="00C75D93" w:rsidRPr="000A53C0" w:rsidRDefault="7A0A7B9B" w:rsidP="001B44C4">
      <w:pPr>
        <w:pStyle w:val="IAListbullet2"/>
        <w:rPr>
          <w:rFonts w:cs="Arial"/>
          <w:lang w:eastAsia="en-AU"/>
        </w:rPr>
      </w:pPr>
      <w:r w:rsidRPr="000A53C0">
        <w:rPr>
          <w:rFonts w:cs="Arial"/>
          <w:lang w:eastAsia="en-AU"/>
        </w:rPr>
        <w:t>PCBUs working with engineered stone (60, including four engineered stone suppliers)</w:t>
      </w:r>
    </w:p>
    <w:p w14:paraId="71FAB8CD" w14:textId="77777777" w:rsidR="00C75D93" w:rsidRPr="000A53C0" w:rsidRDefault="7A0A7B9B" w:rsidP="001B44C4">
      <w:pPr>
        <w:pStyle w:val="IAListbullet2"/>
        <w:rPr>
          <w:rFonts w:cs="Arial"/>
          <w:lang w:eastAsia="en-AU"/>
        </w:rPr>
      </w:pPr>
      <w:r w:rsidRPr="000A53C0">
        <w:rPr>
          <w:rFonts w:cs="Arial"/>
          <w:lang w:eastAsia="en-AU"/>
        </w:rPr>
        <w:t xml:space="preserve">other PCBUs, including law firms (11) </w:t>
      </w:r>
    </w:p>
    <w:p w14:paraId="3A9078EC" w14:textId="77777777" w:rsidR="00C75D93" w:rsidRPr="000A53C0" w:rsidRDefault="7A0A7B9B" w:rsidP="001B44C4">
      <w:pPr>
        <w:pStyle w:val="IAListbullet2"/>
        <w:rPr>
          <w:rFonts w:cs="Arial"/>
          <w:lang w:eastAsia="en-AU"/>
        </w:rPr>
      </w:pPr>
      <w:r w:rsidRPr="000A53C0">
        <w:rPr>
          <w:rFonts w:cs="Arial"/>
          <w:lang w:eastAsia="en-AU"/>
        </w:rPr>
        <w:t>industry groups (8)</w:t>
      </w:r>
    </w:p>
    <w:p w14:paraId="537BD7AA" w14:textId="77777777" w:rsidR="00C75D93" w:rsidRPr="000A53C0" w:rsidRDefault="7A0A7B9B" w:rsidP="001B44C4">
      <w:pPr>
        <w:pStyle w:val="IAListbullet2"/>
        <w:rPr>
          <w:rFonts w:cs="Arial"/>
          <w:lang w:eastAsia="en-AU"/>
        </w:rPr>
      </w:pPr>
      <w:r w:rsidRPr="000A53C0">
        <w:rPr>
          <w:rFonts w:cs="Arial"/>
          <w:lang w:eastAsia="en-AU"/>
        </w:rPr>
        <w:t xml:space="preserve">professional organisations and peak health bodies (6) </w:t>
      </w:r>
    </w:p>
    <w:p w14:paraId="510D7E1B" w14:textId="77777777" w:rsidR="00C75D93" w:rsidRPr="000A53C0" w:rsidRDefault="7A0A7B9B" w:rsidP="001B44C4">
      <w:pPr>
        <w:pStyle w:val="IAListbullet2"/>
        <w:rPr>
          <w:rFonts w:cs="Arial"/>
          <w:lang w:eastAsia="en-AU"/>
        </w:rPr>
      </w:pPr>
      <w:r w:rsidRPr="000A53C0">
        <w:rPr>
          <w:rFonts w:cs="Arial"/>
          <w:lang w:eastAsia="en-AU"/>
        </w:rPr>
        <w:t>commonwealth, state and territory government departments and agencies (6)</w:t>
      </w:r>
    </w:p>
    <w:p w14:paraId="0DABBA7D" w14:textId="77777777" w:rsidR="00C75D93" w:rsidRPr="000A53C0" w:rsidRDefault="7A0A7B9B" w:rsidP="001B44C4">
      <w:pPr>
        <w:pStyle w:val="IAListbullet2"/>
        <w:rPr>
          <w:rFonts w:cs="Arial"/>
          <w:lang w:eastAsia="en-AU"/>
        </w:rPr>
      </w:pPr>
      <w:r w:rsidRPr="000A53C0">
        <w:rPr>
          <w:rFonts w:cs="Arial"/>
          <w:lang w:eastAsia="en-AU"/>
        </w:rPr>
        <w:t>unions (5), and</w:t>
      </w:r>
    </w:p>
    <w:p w14:paraId="101DF760" w14:textId="77777777" w:rsidR="00C75D93" w:rsidRPr="000A53C0" w:rsidRDefault="7A0A7B9B" w:rsidP="001B44C4">
      <w:pPr>
        <w:pStyle w:val="IAListbullet2"/>
        <w:rPr>
          <w:rFonts w:cs="Arial"/>
          <w:lang w:eastAsia="en-AU"/>
        </w:rPr>
      </w:pPr>
      <w:r w:rsidRPr="000A53C0">
        <w:rPr>
          <w:rFonts w:cs="Arial"/>
          <w:lang w:eastAsia="en-AU"/>
        </w:rPr>
        <w:t>individuals, including WHS and medical professionals and individuals who work with stone (18).</w:t>
      </w:r>
    </w:p>
    <w:p w14:paraId="68A7C68F" w14:textId="362B3EC6" w:rsidR="00C75D93" w:rsidRPr="000A53C0" w:rsidRDefault="00C75D93" w:rsidP="006545BF">
      <w:pPr>
        <w:pStyle w:val="BodyText"/>
        <w:rPr>
          <w:rFonts w:cs="Arial"/>
          <w:lang w:eastAsia="en-AU"/>
        </w:rPr>
      </w:pPr>
      <w:r w:rsidRPr="000A53C0">
        <w:rPr>
          <w:rFonts w:cs="Arial"/>
          <w:lang w:eastAsia="en-AU"/>
        </w:rPr>
        <w:t>Some submissions represented views of individuals or small organisations, while other submissions were made by one organisation on behalf of many members and/or by organisations with unique expertise in a particular area. While all submissions were invaluable to informing the impact analysis, submissions were weighted with these considerations in mind when informing the analysis.</w:t>
      </w:r>
    </w:p>
    <w:p w14:paraId="07794DFE" w14:textId="77777777" w:rsidR="00C75D93" w:rsidRPr="000A53C0" w:rsidRDefault="00C75D93" w:rsidP="006545BF">
      <w:pPr>
        <w:pStyle w:val="BodyText"/>
        <w:rPr>
          <w:rFonts w:cs="Arial"/>
          <w:lang w:eastAsia="en-AU"/>
        </w:rPr>
      </w:pPr>
      <w:r w:rsidRPr="000A53C0">
        <w:rPr>
          <w:rFonts w:cs="Arial"/>
          <w:lang w:eastAsia="en-AU"/>
        </w:rPr>
        <w:lastRenderedPageBreak/>
        <w:t xml:space="preserve">The majority of submissions supported a prohibition of some kind, however there was no clear preference for any of the three options. Only 16 submissions stated their lack of support for any of the prohibition options presented. </w:t>
      </w:r>
    </w:p>
    <w:p w14:paraId="53B1CE48" w14:textId="77777777" w:rsidR="00C75D93" w:rsidRPr="000A53C0" w:rsidRDefault="00C75D93" w:rsidP="006545BF">
      <w:pPr>
        <w:pStyle w:val="BodyText"/>
        <w:rPr>
          <w:rFonts w:cs="Arial"/>
          <w:lang w:eastAsia="en-AU"/>
        </w:rPr>
      </w:pPr>
      <w:r w:rsidRPr="000A53C0">
        <w:rPr>
          <w:rFonts w:cs="Arial"/>
          <w:lang w:eastAsia="en-AU"/>
        </w:rPr>
        <w:t xml:space="preserve">The main themes from the submissions were:  </w:t>
      </w:r>
    </w:p>
    <w:p w14:paraId="67438528" w14:textId="77777777" w:rsidR="00C75D93" w:rsidRPr="000A53C0" w:rsidRDefault="7A0A7B9B" w:rsidP="001B44C4">
      <w:pPr>
        <w:pStyle w:val="IAListbullet2"/>
        <w:rPr>
          <w:rFonts w:cs="Arial"/>
          <w:color w:val="404040"/>
          <w:lang w:eastAsia="en-AU"/>
        </w:rPr>
      </w:pPr>
      <w:r w:rsidRPr="000A53C0">
        <w:rPr>
          <w:rFonts w:cs="Arial"/>
          <w:lang w:eastAsia="en-AU"/>
        </w:rPr>
        <w:t>Unions, professional organisations and peak health bodies supported Option 1 (a </w:t>
      </w:r>
      <w:r w:rsidRPr="000A53C0">
        <w:rPr>
          <w:rFonts w:cs="Arial"/>
        </w:rPr>
        <w:t xml:space="preserve">prohibition on the use of all engineered stone). </w:t>
      </w:r>
    </w:p>
    <w:p w14:paraId="24584A0B" w14:textId="74556A33" w:rsidR="00C75D93" w:rsidRPr="000A53C0" w:rsidRDefault="7A0A7B9B" w:rsidP="001B44C4">
      <w:pPr>
        <w:pStyle w:val="IAListbullet2"/>
        <w:rPr>
          <w:rFonts w:cs="Arial"/>
          <w:lang w:eastAsia="en-AU"/>
        </w:rPr>
      </w:pPr>
      <w:r w:rsidRPr="000A53C0">
        <w:rPr>
          <w:rFonts w:cs="Arial"/>
          <w:lang w:eastAsia="en-AU"/>
        </w:rPr>
        <w:t>Industry groups, while not necessarily supportive of a prohibition, acknowledged there is an issue with silicosis in engineered stone workers. They believe it can be addressed through regulation of high risk crystalline silica processes previously agreed by WHS ministers (</w:t>
      </w:r>
      <w:r w:rsidR="00EF51C0">
        <w:rPr>
          <w:rFonts w:cs="Arial"/>
          <w:lang w:eastAsia="en-AU"/>
        </w:rPr>
        <w:t>O</w:t>
      </w:r>
      <w:r w:rsidRPr="000A53C0">
        <w:rPr>
          <w:rFonts w:cs="Arial"/>
          <w:lang w:eastAsia="en-AU"/>
        </w:rPr>
        <w:t>ption 5a in the Silica Decision RIS).</w:t>
      </w:r>
    </w:p>
    <w:p w14:paraId="6A1D3ACC" w14:textId="77777777" w:rsidR="00C75D93" w:rsidRPr="000A53C0" w:rsidRDefault="7A0A7B9B" w:rsidP="001B44C4">
      <w:pPr>
        <w:pStyle w:val="IAListbullet2"/>
        <w:rPr>
          <w:rFonts w:cs="Arial"/>
          <w:lang w:eastAsia="en-AU"/>
        </w:rPr>
      </w:pPr>
      <w:r w:rsidRPr="000A53C0">
        <w:rPr>
          <w:rFonts w:cs="Arial"/>
          <w:lang w:eastAsia="en-AU"/>
        </w:rPr>
        <w:t>Some industry groups highlighted specific evidence gaps they would like to see addressed before a decision can be made to prohibit the use of engineered stone. These included:</w:t>
      </w:r>
    </w:p>
    <w:p w14:paraId="7E6583CA" w14:textId="77777777" w:rsidR="00C75D93" w:rsidRPr="000A53C0" w:rsidRDefault="7A0A7B9B" w:rsidP="00D049EB">
      <w:pPr>
        <w:pStyle w:val="MBPointSub"/>
        <w:ind w:left="1134" w:hanging="567"/>
        <w:rPr>
          <w:lang w:eastAsia="en-AU"/>
        </w:rPr>
      </w:pPr>
      <w:r w:rsidRPr="000A53C0">
        <w:rPr>
          <w:lang w:eastAsia="en-AU"/>
        </w:rPr>
        <w:t xml:space="preserve">Scientific evidence that crystalline silica in engineered stone creates a higher level of risk than crystalline silica in natural stone and other products. </w:t>
      </w:r>
    </w:p>
    <w:p w14:paraId="177DDADD" w14:textId="77777777" w:rsidR="00C75D93" w:rsidRPr="000A53C0" w:rsidRDefault="7A0A7B9B" w:rsidP="00D049EB">
      <w:pPr>
        <w:pStyle w:val="MBPointSub"/>
        <w:ind w:left="1134" w:hanging="567"/>
        <w:rPr>
          <w:lang w:eastAsia="en-AU"/>
        </w:rPr>
      </w:pPr>
      <w:r w:rsidRPr="000A53C0">
        <w:rPr>
          <w:lang w:eastAsia="en-AU"/>
        </w:rPr>
        <w:t xml:space="preserve">Evidence that risks associated with engineered stone cannot be appropriately controlled by additional regulation of high risk crystalline silica processes. </w:t>
      </w:r>
    </w:p>
    <w:p w14:paraId="52421B23" w14:textId="77777777" w:rsidR="00C75D93" w:rsidRPr="000A53C0" w:rsidRDefault="7A0A7B9B" w:rsidP="001B44C4">
      <w:pPr>
        <w:pStyle w:val="IAListbullet2"/>
        <w:rPr>
          <w:rFonts w:cs="Arial"/>
          <w:lang w:eastAsia="en-AU"/>
        </w:rPr>
      </w:pPr>
      <w:r w:rsidRPr="000A53C0">
        <w:rPr>
          <w:rFonts w:cs="Arial"/>
          <w:lang w:eastAsia="en-AU"/>
        </w:rPr>
        <w:t>The majority of stakeholders acknowledged there is not currently enough evidence to determine a threshold crystalline silica content at which engineered stone can be worked with safely (for example, the 40% threshold proposed in Options 2 and 3).</w:t>
      </w:r>
    </w:p>
    <w:p w14:paraId="4D17F929" w14:textId="7A7769C4" w:rsidR="00C75D93" w:rsidRPr="000A53C0" w:rsidRDefault="7A0A7B9B" w:rsidP="001B44C4">
      <w:pPr>
        <w:pStyle w:val="IAListbullet2"/>
        <w:rPr>
          <w:rFonts w:cs="Arial"/>
          <w:color w:val="404040"/>
          <w:lang w:eastAsia="en-AU"/>
        </w:rPr>
      </w:pPr>
      <w:r w:rsidRPr="000A53C0">
        <w:rPr>
          <w:rFonts w:cs="Arial"/>
        </w:rPr>
        <w:t>Around half of PCBUs working with or supplying engineered stone supported Option 3, commenting that a licensing scheme</w:t>
      </w:r>
      <w:r w:rsidR="5667C4A8" w:rsidRPr="000A53C0">
        <w:rPr>
          <w:rFonts w:cs="Arial"/>
        </w:rPr>
        <w:t xml:space="preserve"> for work with lower silica engineered stone</w:t>
      </w:r>
      <w:r w:rsidRPr="000A53C0">
        <w:rPr>
          <w:rFonts w:cs="Arial"/>
        </w:rPr>
        <w:t xml:space="preserve"> would enhance compliance in the sector. </w:t>
      </w:r>
    </w:p>
    <w:p w14:paraId="2BBE85DE" w14:textId="671C2F77" w:rsidR="00C75D93" w:rsidRPr="000A53C0" w:rsidRDefault="00C75D93" w:rsidP="00514CCB">
      <w:pPr>
        <w:pStyle w:val="Heading2numbered"/>
      </w:pPr>
      <w:bookmarkStart w:id="161" w:name="_Toc142991347"/>
      <w:r w:rsidRPr="000A53C0">
        <w:t>Information that informed the impact analysis</w:t>
      </w:r>
      <w:bookmarkEnd w:id="161"/>
    </w:p>
    <w:p w14:paraId="472265AC" w14:textId="157C16F5" w:rsidR="00C75D93" w:rsidRPr="000A53C0" w:rsidRDefault="00C75D93" w:rsidP="006545BF">
      <w:pPr>
        <w:pStyle w:val="BodyText"/>
        <w:rPr>
          <w:rFonts w:cs="Arial"/>
        </w:rPr>
      </w:pPr>
      <w:r w:rsidRPr="000A53C0">
        <w:rPr>
          <w:rFonts w:cs="Arial"/>
        </w:rPr>
        <w:t xml:space="preserve">The </w:t>
      </w:r>
      <w:r w:rsidR="00550712" w:rsidRPr="000A53C0">
        <w:rPr>
          <w:rFonts w:cs="Arial"/>
        </w:rPr>
        <w:t>c</w:t>
      </w:r>
      <w:r w:rsidRPr="000A53C0">
        <w:rPr>
          <w:rFonts w:cs="Arial"/>
        </w:rPr>
        <w:t xml:space="preserve">onsultation paper sought specific information from businesses working with engineered stone to inform the impact analysis. This included business size, workforce data, revenue and proportion of work carried out with engineered stone (with varying silica content) and natural stone products. </w:t>
      </w:r>
      <w:r w:rsidR="00753687" w:rsidRPr="000A53C0">
        <w:rPr>
          <w:rFonts w:cs="Arial"/>
        </w:rPr>
        <w:t xml:space="preserve">The Agency </w:t>
      </w:r>
      <w:r w:rsidRPr="000A53C0">
        <w:rPr>
          <w:rFonts w:cs="Arial"/>
        </w:rPr>
        <w:t xml:space="preserve">thanks the many PCBUs working with engineered stone that provided this information in their submissions, and acknowledges the effort involved. The provided data highlight that the vast majority of these PCBUs work with both engineered stone and natural stone, which differs from the assumption made in our preliminary considerations of the impacts of a prohibition on use of engineered stone in the Silica Decision RIS. </w:t>
      </w:r>
    </w:p>
    <w:p w14:paraId="657DBE77" w14:textId="3E1D9284" w:rsidR="005C328E" w:rsidRPr="000A53C0" w:rsidRDefault="008A3B50" w:rsidP="00514CCB">
      <w:pPr>
        <w:pStyle w:val="Heading2numbered"/>
      </w:pPr>
      <w:bookmarkStart w:id="162" w:name="_Toc142991348"/>
      <w:r w:rsidRPr="000A53C0">
        <w:t>Stakeholder views on options</w:t>
      </w:r>
      <w:bookmarkEnd w:id="162"/>
    </w:p>
    <w:p w14:paraId="30ED067B" w14:textId="02392644" w:rsidR="00C75D93" w:rsidRPr="000A53C0" w:rsidRDefault="00C75D93" w:rsidP="00514CCB">
      <w:pPr>
        <w:pStyle w:val="Heading3numbered"/>
      </w:pPr>
      <w:r w:rsidRPr="000A53C0">
        <w:t>The status quo</w:t>
      </w:r>
    </w:p>
    <w:p w14:paraId="101E696A" w14:textId="4B450F55" w:rsidR="00C75D93" w:rsidRPr="000A53C0" w:rsidRDefault="00C75D93" w:rsidP="006545BF">
      <w:pPr>
        <w:pStyle w:val="BodyText"/>
        <w:rPr>
          <w:rFonts w:cs="Arial"/>
          <w:lang w:eastAsia="en-AU"/>
        </w:rPr>
      </w:pPr>
      <w:r w:rsidRPr="000A53C0">
        <w:rPr>
          <w:rFonts w:cs="Arial"/>
          <w:lang w:eastAsia="en-AU"/>
        </w:rPr>
        <w:t>A small number of submissions (16) were not supportive of a prohibition but preferred to maintain the status quo – maintaining the current regulatory framework</w:t>
      </w:r>
      <w:r w:rsidR="001456C2" w:rsidRPr="000A53C0">
        <w:rPr>
          <w:rFonts w:cs="Arial"/>
          <w:lang w:eastAsia="en-AU"/>
        </w:rPr>
        <w:t xml:space="preserve"> –</w:t>
      </w:r>
      <w:r w:rsidRPr="000A53C0">
        <w:rPr>
          <w:rFonts w:cs="Arial"/>
          <w:lang w:eastAsia="en-AU"/>
        </w:rPr>
        <w:t xml:space="preserve"> including the recently agreed additional regulation of high-risk crystalline silica processes. This support was based on: </w:t>
      </w:r>
    </w:p>
    <w:p w14:paraId="79BEBAFB" w14:textId="1BAA4A31" w:rsidR="00C75D93" w:rsidRPr="000A53C0" w:rsidRDefault="2C86334F" w:rsidP="001B44C4">
      <w:pPr>
        <w:pStyle w:val="IAListbullet2"/>
        <w:rPr>
          <w:rFonts w:cs="Arial"/>
        </w:rPr>
      </w:pPr>
      <w:r w:rsidRPr="000A53C0">
        <w:rPr>
          <w:rFonts w:cs="Arial"/>
        </w:rPr>
        <w:t>a need for</w:t>
      </w:r>
      <w:r w:rsidR="520E4058" w:rsidRPr="000A53C0">
        <w:rPr>
          <w:rFonts w:cs="Arial"/>
        </w:rPr>
        <w:t xml:space="preserve"> </w:t>
      </w:r>
      <w:r w:rsidR="7A0A7B9B" w:rsidRPr="000A53C0">
        <w:rPr>
          <w:rFonts w:cs="Arial"/>
        </w:rPr>
        <w:t>consistent regulatory approaches between engineered stone and other products with similar crystalline silica content (i.e., natural stone, concrete, brick and tiles)</w:t>
      </w:r>
    </w:p>
    <w:p w14:paraId="25182738" w14:textId="438D3801" w:rsidR="00C75D93" w:rsidRPr="000A53C0" w:rsidRDefault="7A0A7B9B" w:rsidP="001B44C4">
      <w:pPr>
        <w:pStyle w:val="IAListbullet2"/>
        <w:rPr>
          <w:rFonts w:cs="Arial"/>
        </w:rPr>
      </w:pPr>
      <w:r w:rsidRPr="000A53C0">
        <w:rPr>
          <w:rFonts w:cs="Arial"/>
        </w:rPr>
        <w:t xml:space="preserve">the significant investment already made by many PCBUs to protect their workers from the risks of respirable crystalline silica (RCS) by implementing appropriate control measures. This </w:t>
      </w:r>
      <w:r w:rsidR="0071CDE0" w:rsidRPr="000A53C0">
        <w:rPr>
          <w:rFonts w:cs="Arial"/>
        </w:rPr>
        <w:t xml:space="preserve">investment </w:t>
      </w:r>
      <w:r w:rsidRPr="000A53C0">
        <w:rPr>
          <w:rFonts w:cs="Arial"/>
        </w:rPr>
        <w:lastRenderedPageBreak/>
        <w:t>has been in response to recent regulatory changes, including a reduction in the RCS workplace exposure standard and the prohibition on uncontrolled processing of engineered stone. The impact of these new measures should be evaluated before a prohibition is considered</w:t>
      </w:r>
    </w:p>
    <w:p w14:paraId="2AA568E2" w14:textId="72C9AEE2" w:rsidR="00C75D93" w:rsidRPr="000A53C0" w:rsidRDefault="7A0A7B9B" w:rsidP="001B44C4">
      <w:pPr>
        <w:pStyle w:val="IAListbullet2"/>
        <w:rPr>
          <w:rFonts w:cs="Arial"/>
        </w:rPr>
      </w:pPr>
      <w:r w:rsidRPr="000A53C0">
        <w:rPr>
          <w:rFonts w:cs="Arial"/>
        </w:rPr>
        <w:t>the market</w:t>
      </w:r>
      <w:r w:rsidR="0071CDE0" w:rsidRPr="000A53C0">
        <w:rPr>
          <w:rFonts w:cs="Arial"/>
        </w:rPr>
        <w:t>’</w:t>
      </w:r>
      <w:r w:rsidRPr="000A53C0">
        <w:rPr>
          <w:rFonts w:cs="Arial"/>
        </w:rPr>
        <w:t xml:space="preserve">s recent </w:t>
      </w:r>
      <w:r w:rsidR="15B378EB" w:rsidRPr="000A53C0">
        <w:rPr>
          <w:rFonts w:cs="Arial"/>
        </w:rPr>
        <w:t>response</w:t>
      </w:r>
      <w:r w:rsidRPr="000A53C0">
        <w:rPr>
          <w:rFonts w:cs="Arial"/>
        </w:rPr>
        <w:t xml:space="preserve"> to concerns around RCS exposure</w:t>
      </w:r>
      <w:r w:rsidR="15B378EB" w:rsidRPr="000A53C0">
        <w:rPr>
          <w:rFonts w:cs="Arial"/>
        </w:rPr>
        <w:t xml:space="preserve"> through</w:t>
      </w:r>
      <w:r w:rsidRPr="000A53C0">
        <w:rPr>
          <w:rFonts w:cs="Arial"/>
        </w:rPr>
        <w:t xml:space="preserve"> the development and supply of lower silica content engineered stone</w:t>
      </w:r>
    </w:p>
    <w:p w14:paraId="26B58244" w14:textId="68EBAAE3" w:rsidR="00C75D93" w:rsidRPr="000A53C0" w:rsidRDefault="7A0A7B9B" w:rsidP="001B44C4">
      <w:pPr>
        <w:pStyle w:val="IAListbullet2"/>
        <w:rPr>
          <w:rFonts w:cs="Arial"/>
          <w:lang w:eastAsia="en-AU"/>
        </w:rPr>
      </w:pPr>
      <w:r w:rsidRPr="000A53C0">
        <w:rPr>
          <w:rFonts w:cs="Arial"/>
          <w:color w:val="404040" w:themeColor="text1" w:themeTint="BF"/>
          <w:lang w:eastAsia="en-AU"/>
        </w:rPr>
        <w:t xml:space="preserve">a </w:t>
      </w:r>
      <w:r w:rsidRPr="000A53C0">
        <w:rPr>
          <w:rFonts w:cs="Arial"/>
          <w:lang w:eastAsia="en-AU"/>
        </w:rPr>
        <w:t>prohibition on all engineered stone would have significant impact on small and medium-sized enterprises, with flow on impacts to the wider economy</w:t>
      </w:r>
    </w:p>
    <w:p w14:paraId="1C532E37" w14:textId="77777777" w:rsidR="00C75D93" w:rsidRPr="000A53C0" w:rsidRDefault="7A0A7B9B" w:rsidP="001B44C4">
      <w:pPr>
        <w:pStyle w:val="IAListbullet2"/>
        <w:rPr>
          <w:rFonts w:cs="Arial"/>
        </w:rPr>
      </w:pPr>
      <w:r w:rsidRPr="000A53C0">
        <w:rPr>
          <w:rFonts w:cs="Arial"/>
        </w:rPr>
        <w:t>a lack of clarity around the cause of silicosis cases reported to date – the delay between exposure and diagnosis means it can be difficult to determine if illness is due to exposure to engineered stone, or from natural stone, and</w:t>
      </w:r>
    </w:p>
    <w:p w14:paraId="3E20C0B5" w14:textId="77777777" w:rsidR="00C75D93" w:rsidRPr="000A53C0" w:rsidRDefault="7A0A7B9B" w:rsidP="001B44C4">
      <w:pPr>
        <w:pStyle w:val="IAListbullet2"/>
        <w:rPr>
          <w:rFonts w:cs="Arial"/>
        </w:rPr>
      </w:pPr>
      <w:r w:rsidRPr="000A53C0">
        <w:rPr>
          <w:rFonts w:cs="Arial"/>
        </w:rPr>
        <w:t>the impact of recent improved regulatory compliance will not be seen for some time.</w:t>
      </w:r>
    </w:p>
    <w:p w14:paraId="098DB999" w14:textId="77777777" w:rsidR="00C75D93" w:rsidRPr="000A53C0" w:rsidRDefault="00C75D93" w:rsidP="00514CCB">
      <w:pPr>
        <w:pStyle w:val="Heading3numbered"/>
      </w:pPr>
      <w:r w:rsidRPr="000A53C0">
        <w:t>A prohibition on the use of all engineered stone (Option 1)</w:t>
      </w:r>
    </w:p>
    <w:p w14:paraId="1D15CDE5" w14:textId="255B83EC" w:rsidR="00C75D93" w:rsidRPr="000A53C0" w:rsidRDefault="00C75D93" w:rsidP="006545BF">
      <w:pPr>
        <w:pStyle w:val="BodyText"/>
        <w:rPr>
          <w:rFonts w:cs="Arial"/>
        </w:rPr>
      </w:pPr>
      <w:r w:rsidRPr="000A53C0">
        <w:rPr>
          <w:rFonts w:cs="Arial"/>
          <w:lang w:eastAsia="en-AU"/>
        </w:rPr>
        <w:t xml:space="preserve">There was </w:t>
      </w:r>
      <w:r w:rsidR="00853BA4" w:rsidRPr="000A53C0">
        <w:rPr>
          <w:rFonts w:cs="Arial"/>
          <w:lang w:eastAsia="en-AU"/>
        </w:rPr>
        <w:t>significant</w:t>
      </w:r>
      <w:r w:rsidRPr="000A53C0">
        <w:rPr>
          <w:rFonts w:cs="Arial"/>
          <w:lang w:eastAsia="en-AU"/>
        </w:rPr>
        <w:t xml:space="preserve"> support (29 submissions in total) for a prohibition on the use of all engineered stone. Unions, professional organisations, peak health bodies, individual </w:t>
      </w:r>
      <w:r w:rsidRPr="000A53C0">
        <w:rPr>
          <w:rFonts w:cs="Arial"/>
        </w:rPr>
        <w:t>medical practitioners, WHS professionals</w:t>
      </w:r>
      <w:r w:rsidRPr="000A53C0" w:rsidDel="00BF2AE5">
        <w:rPr>
          <w:rFonts w:cs="Arial"/>
          <w:lang w:eastAsia="en-AU"/>
        </w:rPr>
        <w:t xml:space="preserve"> </w:t>
      </w:r>
      <w:r w:rsidRPr="000A53C0">
        <w:rPr>
          <w:rFonts w:cs="Arial"/>
          <w:lang w:eastAsia="en-AU"/>
        </w:rPr>
        <w:t xml:space="preserve">and some government agencies supported this option, along with </w:t>
      </w:r>
      <w:r w:rsidRPr="000A53C0">
        <w:rPr>
          <w:rFonts w:cs="Arial"/>
        </w:rPr>
        <w:t xml:space="preserve">some PCBUs working with engineered stone. </w:t>
      </w:r>
    </w:p>
    <w:p w14:paraId="68887D37" w14:textId="77777777" w:rsidR="00C75D93" w:rsidRPr="000A53C0" w:rsidRDefault="00C75D93" w:rsidP="006545BF">
      <w:pPr>
        <w:pStyle w:val="BodyText"/>
        <w:rPr>
          <w:rFonts w:cs="Arial"/>
        </w:rPr>
      </w:pPr>
      <w:r w:rsidRPr="000A53C0">
        <w:rPr>
          <w:rFonts w:cs="Arial"/>
        </w:rPr>
        <w:t xml:space="preserve">Support for Option 1 was based on: </w:t>
      </w:r>
    </w:p>
    <w:p w14:paraId="57389B91" w14:textId="5A4DA444" w:rsidR="00C75D93" w:rsidRPr="000A53C0" w:rsidRDefault="7A0A7B9B" w:rsidP="001B44C4">
      <w:pPr>
        <w:pStyle w:val="IAListbullet2"/>
        <w:rPr>
          <w:rFonts w:cs="Arial"/>
        </w:rPr>
      </w:pPr>
      <w:r w:rsidRPr="000A53C0">
        <w:rPr>
          <w:rFonts w:cs="Arial"/>
        </w:rPr>
        <w:t xml:space="preserve">the high incidence and severity of silicosis in engineered stone workers which has resulted in these workers being over-represented as a proportion of all silicosis cases, and the likely continuation of high case numbers into the future due to the latency of disease </w:t>
      </w:r>
    </w:p>
    <w:p w14:paraId="31B4FBCB" w14:textId="289428D9" w:rsidR="00C75D93" w:rsidRPr="000A53C0" w:rsidRDefault="7A0A7B9B" w:rsidP="001B44C4">
      <w:pPr>
        <w:pStyle w:val="IAListbullet2"/>
        <w:rPr>
          <w:rFonts w:cs="Arial"/>
        </w:rPr>
      </w:pPr>
      <w:r w:rsidRPr="000A53C0">
        <w:rPr>
          <w:rFonts w:cs="Arial"/>
        </w:rPr>
        <w:t>a potential link between the differing disease presentation in engineered stone workers (faster onset and more rapid progression of disease) and the differing properties of the dusts generated from engineered and natural stone. This includes differences in the physical properties of RCS and the potential additional risks from other components in the in engineered stone (e.g. resin, pigments)</w:t>
      </w:r>
    </w:p>
    <w:p w14:paraId="072C66BA" w14:textId="56EFD3CA" w:rsidR="00C75D93" w:rsidRPr="000A53C0" w:rsidRDefault="7A0A7B9B" w:rsidP="001B44C4">
      <w:pPr>
        <w:pStyle w:val="IAListbullet2"/>
        <w:rPr>
          <w:rFonts w:cs="Arial"/>
        </w:rPr>
      </w:pPr>
      <w:r w:rsidRPr="000A53C0">
        <w:rPr>
          <w:rFonts w:cs="Arial"/>
        </w:rPr>
        <w:t>a lack of evidence to support a crystalline silica “threshold” content in engineered stone that poses a lower risk profile for those working with it</w:t>
      </w:r>
    </w:p>
    <w:p w14:paraId="4D6DA817" w14:textId="499CC6BF" w:rsidR="00C75D93" w:rsidRPr="000A53C0" w:rsidRDefault="7A0A7B9B" w:rsidP="001B44C4">
      <w:pPr>
        <w:pStyle w:val="IAListbullet2"/>
        <w:rPr>
          <w:rFonts w:cs="Arial"/>
        </w:rPr>
      </w:pPr>
      <w:r w:rsidRPr="000A53C0">
        <w:rPr>
          <w:rFonts w:cs="Arial"/>
        </w:rPr>
        <w:t>a lack of clarity around the impact of other components added to lower silica engineered stone, and the subsequent risk profile of working with this material</w:t>
      </w:r>
    </w:p>
    <w:p w14:paraId="02D64EE1" w14:textId="38FDEB63" w:rsidR="00C75D93" w:rsidRPr="000A53C0" w:rsidRDefault="7A0A7B9B" w:rsidP="001B44C4">
      <w:pPr>
        <w:pStyle w:val="IAListbullet2"/>
        <w:rPr>
          <w:rFonts w:cs="Arial"/>
        </w:rPr>
      </w:pPr>
      <w:r w:rsidRPr="000A53C0">
        <w:rPr>
          <w:rFonts w:cs="Arial"/>
        </w:rPr>
        <w:t>a history of those in the stone bench top industry not employing safe working methods and a lack of evidence regarding current compliance with WHS</w:t>
      </w:r>
      <w:r w:rsidR="00272906" w:rsidRPr="000A53C0">
        <w:rPr>
          <w:rFonts w:cs="Arial"/>
        </w:rPr>
        <w:t xml:space="preserve"> R</w:t>
      </w:r>
      <w:r w:rsidRPr="000A53C0">
        <w:rPr>
          <w:rFonts w:cs="Arial"/>
        </w:rPr>
        <w:t>egulations including meeting the current workplace exposure standard for RCS and controlling dust generation when processing engineered stone, and</w:t>
      </w:r>
    </w:p>
    <w:p w14:paraId="729CBD04" w14:textId="44B77903" w:rsidR="00C75D93" w:rsidRPr="000A53C0" w:rsidRDefault="7A0A7B9B" w:rsidP="001B44C4">
      <w:pPr>
        <w:pStyle w:val="IAListbullet2"/>
        <w:rPr>
          <w:rFonts w:cs="Arial"/>
        </w:rPr>
      </w:pPr>
      <w:r w:rsidRPr="000A53C0">
        <w:rPr>
          <w:rFonts w:cs="Arial"/>
        </w:rPr>
        <w:t xml:space="preserve">the high rate of </w:t>
      </w:r>
      <w:r w:rsidR="2921BD10" w:rsidRPr="000A53C0">
        <w:rPr>
          <w:rFonts w:cs="Arial"/>
        </w:rPr>
        <w:t xml:space="preserve">WHS </w:t>
      </w:r>
      <w:r w:rsidRPr="000A53C0">
        <w:rPr>
          <w:rFonts w:cs="Arial"/>
        </w:rPr>
        <w:t xml:space="preserve">non-compliance amongst </w:t>
      </w:r>
      <w:r w:rsidRPr="000A53C0">
        <w:rPr>
          <w:rFonts w:eastAsia="Times New Roman" w:cs="Arial"/>
          <w:lang w:eastAsia="en-AU"/>
        </w:rPr>
        <w:t xml:space="preserve">PCBUs working with engineered stone </w:t>
      </w:r>
      <w:r w:rsidRPr="000A53C0">
        <w:rPr>
          <w:rFonts w:cs="Arial"/>
        </w:rPr>
        <w:t>as reported by jurisdictional regulators.</w:t>
      </w:r>
    </w:p>
    <w:p w14:paraId="020C33E7" w14:textId="77777777" w:rsidR="00C75D93" w:rsidRPr="000A53C0" w:rsidRDefault="00C75D93" w:rsidP="00514CCB">
      <w:pPr>
        <w:pStyle w:val="Heading3numbered"/>
        <w:rPr>
          <w:rStyle w:val="normaltextrun"/>
        </w:rPr>
      </w:pPr>
      <w:r w:rsidRPr="000A53C0">
        <w:rPr>
          <w:rStyle w:val="normaltextrun"/>
        </w:rPr>
        <w:t>A prohibition on the use of engineered stone containing 40% or more crystalline (Options 2 and 3)</w:t>
      </w:r>
    </w:p>
    <w:p w14:paraId="292FC943" w14:textId="55C0D4DB" w:rsidR="00C75D93" w:rsidRPr="000A53C0" w:rsidRDefault="00C75D93" w:rsidP="006545BF">
      <w:pPr>
        <w:pStyle w:val="BodyText"/>
        <w:rPr>
          <w:rFonts w:cs="Arial"/>
        </w:rPr>
      </w:pPr>
      <w:r w:rsidRPr="000A53C0">
        <w:rPr>
          <w:rFonts w:cs="Arial"/>
        </w:rPr>
        <w:t>Overall, 57 stakeholders supported a prohibition on the use of engineered stone containing 40% or more crystalline silica (</w:t>
      </w:r>
      <w:r w:rsidR="009C30F3" w:rsidRPr="000A53C0">
        <w:rPr>
          <w:rFonts w:cs="Arial"/>
        </w:rPr>
        <w:t>O</w:t>
      </w:r>
      <w:r w:rsidRPr="000A53C0">
        <w:rPr>
          <w:rFonts w:cs="Arial"/>
        </w:rPr>
        <w:t xml:space="preserve">ptions 2 and 3). This included the majority of those PCBUs working with engineered stone who made a submission to this consultation, some industry groups, professional organisations, and government agencies. </w:t>
      </w:r>
    </w:p>
    <w:p w14:paraId="2948C67E" w14:textId="77777777" w:rsidR="00C75D93" w:rsidRPr="000A53C0" w:rsidRDefault="00C75D93" w:rsidP="006545BF">
      <w:pPr>
        <w:pStyle w:val="BodyText"/>
        <w:rPr>
          <w:rFonts w:cs="Arial"/>
        </w:rPr>
      </w:pPr>
      <w:r w:rsidRPr="000A53C0">
        <w:rPr>
          <w:rFonts w:cs="Arial"/>
        </w:rPr>
        <w:lastRenderedPageBreak/>
        <w:t>Many submissions predicated their support for either Option 2 or 3 on the belief that lower silica engineered stone can be worked with safely. This was based on:</w:t>
      </w:r>
    </w:p>
    <w:p w14:paraId="67F38E43" w14:textId="211F3C10" w:rsidR="00C75D93" w:rsidRPr="000A53C0" w:rsidRDefault="7A0A7B9B" w:rsidP="001B44C4">
      <w:pPr>
        <w:pStyle w:val="IAListbullet2"/>
        <w:rPr>
          <w:rFonts w:cs="Arial"/>
        </w:rPr>
      </w:pPr>
      <w:r w:rsidRPr="000A53C0">
        <w:rPr>
          <w:rFonts w:cs="Arial"/>
        </w:rPr>
        <w:t>the availability of engineered stone products with less than 40% crystalline silica</w:t>
      </w:r>
    </w:p>
    <w:p w14:paraId="05A58CEA" w14:textId="024457C0" w:rsidR="00C75D93" w:rsidRPr="000A53C0" w:rsidRDefault="7A0A7B9B" w:rsidP="001B44C4">
      <w:pPr>
        <w:pStyle w:val="IAListbullet2"/>
        <w:rPr>
          <w:rFonts w:cs="Arial"/>
        </w:rPr>
      </w:pPr>
      <w:r w:rsidRPr="000A53C0">
        <w:rPr>
          <w:rFonts w:cs="Arial"/>
        </w:rPr>
        <w:t>a perceived lower risk of RCS exposure from processing engineered stone with lower silica</w:t>
      </w:r>
    </w:p>
    <w:p w14:paraId="3B1BA80D" w14:textId="4308E8E3" w:rsidR="00C75D93" w:rsidRPr="000A53C0" w:rsidRDefault="7A0A7B9B" w:rsidP="001B44C4">
      <w:pPr>
        <w:pStyle w:val="IAListbullet2"/>
        <w:rPr>
          <w:rFonts w:cs="Arial"/>
        </w:rPr>
      </w:pPr>
      <w:r w:rsidRPr="000A53C0">
        <w:rPr>
          <w:rFonts w:cs="Arial"/>
        </w:rPr>
        <w:t>an assumption that RCS levels generated from processing lower silica engineered stone would be comparable to that generated from natural products (e.g. granite and sandstone) with a similar silica content, and can therefore be worked with safely</w:t>
      </w:r>
    </w:p>
    <w:p w14:paraId="2F0AD9A8" w14:textId="1320CFD7" w:rsidR="00C75D93" w:rsidRPr="000A53C0" w:rsidRDefault="7A0A7B9B" w:rsidP="001B44C4">
      <w:pPr>
        <w:pStyle w:val="IAListbullet2"/>
        <w:rPr>
          <w:rFonts w:cs="Arial"/>
        </w:rPr>
      </w:pPr>
      <w:r w:rsidRPr="000A53C0">
        <w:rPr>
          <w:rFonts w:cs="Arial"/>
        </w:rPr>
        <w:t>a lack of evidence that dust generated from processing engineered stone, while qualitatively different from natural stone dust, causes more harm,</w:t>
      </w:r>
      <w:r w:rsidR="2921BD10" w:rsidRPr="000A53C0">
        <w:rPr>
          <w:rFonts w:cs="Arial"/>
        </w:rPr>
        <w:t xml:space="preserve"> </w:t>
      </w:r>
      <w:r w:rsidRPr="000A53C0">
        <w:rPr>
          <w:rFonts w:cs="Arial"/>
        </w:rPr>
        <w:t xml:space="preserve">and </w:t>
      </w:r>
    </w:p>
    <w:p w14:paraId="4E4CE131" w14:textId="77777777" w:rsidR="00C75D93" w:rsidRPr="000A53C0" w:rsidRDefault="7A0A7B9B" w:rsidP="001B44C4">
      <w:pPr>
        <w:pStyle w:val="IAListbullet2"/>
        <w:rPr>
          <w:rFonts w:cs="Arial"/>
        </w:rPr>
      </w:pPr>
      <w:r w:rsidRPr="000A53C0">
        <w:rPr>
          <w:rFonts w:cs="Arial"/>
        </w:rPr>
        <w:t>these options presenting less overall disruption to the market and industry.</w:t>
      </w:r>
    </w:p>
    <w:p w14:paraId="7667E280" w14:textId="77777777" w:rsidR="00C75D93" w:rsidRPr="000A53C0" w:rsidRDefault="00C75D93" w:rsidP="003B5178">
      <w:pPr>
        <w:pStyle w:val="Heading4numbered"/>
        <w:rPr>
          <w:rStyle w:val="normaltextrun"/>
          <w:rFonts w:cs="Arial"/>
        </w:rPr>
      </w:pPr>
      <w:r w:rsidRPr="000A53C0">
        <w:rPr>
          <w:rStyle w:val="normaltextrun"/>
          <w:rFonts w:cs="Arial"/>
        </w:rPr>
        <w:t>Setting a crystalline silica content threshold</w:t>
      </w:r>
    </w:p>
    <w:p w14:paraId="0A693034" w14:textId="4BA7DDA4" w:rsidR="00C75D93" w:rsidRPr="000A53C0" w:rsidRDefault="00C75D93" w:rsidP="006545BF">
      <w:pPr>
        <w:pStyle w:val="BodyText"/>
        <w:rPr>
          <w:rFonts w:cs="Arial"/>
        </w:rPr>
      </w:pPr>
      <w:r w:rsidRPr="000A53C0">
        <w:rPr>
          <w:rFonts w:cs="Arial"/>
        </w:rPr>
        <w:t>Many submissions commented on whether 40% silica content was the appropriate demarcation point between lower and higher risk engineered stone products. The majority of submissions agreed there is insufficient evidence to support this percentage.</w:t>
      </w:r>
    </w:p>
    <w:p w14:paraId="006AFD5B" w14:textId="77777777" w:rsidR="00C75D93" w:rsidRPr="000A53C0" w:rsidRDefault="00C75D93" w:rsidP="006545BF">
      <w:pPr>
        <w:pStyle w:val="BodyText"/>
        <w:rPr>
          <w:rFonts w:cs="Arial"/>
        </w:rPr>
      </w:pPr>
      <w:r w:rsidRPr="000A53C0">
        <w:rPr>
          <w:rFonts w:cs="Arial"/>
        </w:rPr>
        <w:t>WorkSafe Victoria submitted that the 40% threshold used to define engineered stone in the Victorian Occupational Health and Safety (OHS) Regulations is not health based and may not be the most appropriate percentage to define a prohibition. The definition of engineered stone used for their licensing scheme, (where a PCBU must be licensed to work with engineered stone with 40% or more crystalline silica content), was designed to capture the majority of engineered stone available in the market at that time.</w:t>
      </w:r>
    </w:p>
    <w:p w14:paraId="238643F5" w14:textId="59BE9399" w:rsidR="00C75D93" w:rsidRPr="000A53C0" w:rsidRDefault="00C75D93" w:rsidP="006545BF">
      <w:pPr>
        <w:pStyle w:val="BodyText"/>
        <w:rPr>
          <w:rFonts w:cs="Arial"/>
        </w:rPr>
      </w:pPr>
      <w:r w:rsidRPr="000A53C0">
        <w:rPr>
          <w:rFonts w:cs="Arial"/>
        </w:rPr>
        <w:t xml:space="preserve">While the </w:t>
      </w:r>
      <w:r w:rsidR="00DD6B8D" w:rsidRPr="000A53C0">
        <w:rPr>
          <w:rFonts w:cs="Arial"/>
        </w:rPr>
        <w:t>AIOH</w:t>
      </w:r>
      <w:r w:rsidRPr="000A53C0">
        <w:rPr>
          <w:rFonts w:cs="Arial"/>
        </w:rPr>
        <w:t xml:space="preserve"> supports a complete prohibition on work with all engineered stone; their submission outlined that, if </w:t>
      </w:r>
      <w:r w:rsidR="00EE70D2" w:rsidRPr="000A53C0">
        <w:rPr>
          <w:rFonts w:cs="Arial"/>
        </w:rPr>
        <w:t xml:space="preserve">this was not agreed and </w:t>
      </w:r>
      <w:r w:rsidRPr="000A53C0">
        <w:rPr>
          <w:rFonts w:cs="Arial"/>
        </w:rPr>
        <w:t xml:space="preserve">a threshold was to be set, work with engineered stone should only be permitted where the product has a silica content below 10%. This was based on an analysis of reported RCS exposure data from Australian workplaces processing engineered stone and evidence in international studies. </w:t>
      </w:r>
      <w:r w:rsidR="0044688F" w:rsidRPr="000A53C0">
        <w:rPr>
          <w:rFonts w:cs="Arial"/>
        </w:rPr>
        <w:t>T</w:t>
      </w:r>
      <w:r w:rsidRPr="000A53C0">
        <w:rPr>
          <w:rFonts w:cs="Arial"/>
        </w:rPr>
        <w:t>he Lung Foundation Australia, the Public Health Association of Australia, the Royal Australian College of Physicians, and Cancer Council Australia</w:t>
      </w:r>
      <w:r w:rsidR="0044688F" w:rsidRPr="000A53C0">
        <w:rPr>
          <w:rFonts w:cs="Arial"/>
        </w:rPr>
        <w:t xml:space="preserve"> </w:t>
      </w:r>
      <w:r w:rsidR="00EE70D2" w:rsidRPr="000A53C0">
        <w:rPr>
          <w:rFonts w:cs="Arial"/>
        </w:rPr>
        <w:t>submissions were consistent with that of the AIOH – supporti</w:t>
      </w:r>
      <w:r w:rsidR="00A41DC3" w:rsidRPr="000A53C0">
        <w:rPr>
          <w:rFonts w:cs="Arial"/>
        </w:rPr>
        <w:t>ng</w:t>
      </w:r>
      <w:r w:rsidR="0044688F" w:rsidRPr="000A53C0">
        <w:rPr>
          <w:rFonts w:cs="Arial"/>
        </w:rPr>
        <w:t xml:space="preserve"> a</w:t>
      </w:r>
      <w:r w:rsidR="00565B02" w:rsidRPr="000A53C0">
        <w:rPr>
          <w:rFonts w:cs="Arial"/>
        </w:rPr>
        <w:t xml:space="preserve"> complete prohibition but if a threshold was to be set, </w:t>
      </w:r>
      <w:r w:rsidR="00DF13D6" w:rsidRPr="000A53C0">
        <w:rPr>
          <w:rFonts w:cs="Arial"/>
        </w:rPr>
        <w:t>it should be</w:t>
      </w:r>
      <w:r w:rsidR="00565B02" w:rsidRPr="000A53C0">
        <w:rPr>
          <w:rFonts w:cs="Arial"/>
        </w:rPr>
        <w:t xml:space="preserve"> silica content below 10%</w:t>
      </w:r>
      <w:r w:rsidRPr="000A53C0">
        <w:rPr>
          <w:rFonts w:cs="Arial"/>
        </w:rPr>
        <w:t>.</w:t>
      </w:r>
      <w:r w:rsidR="00E2393D" w:rsidRPr="000A53C0">
        <w:rPr>
          <w:rFonts w:cs="Arial"/>
        </w:rPr>
        <w:t xml:space="preserve"> </w:t>
      </w:r>
    </w:p>
    <w:p w14:paraId="70E9D4CF" w14:textId="2074C8D2" w:rsidR="00C75D93" w:rsidRPr="000A53C0" w:rsidRDefault="00C75D93" w:rsidP="00514CCB">
      <w:pPr>
        <w:pStyle w:val="Heading3numbered"/>
        <w:rPr>
          <w:rStyle w:val="normaltextrun"/>
        </w:rPr>
      </w:pPr>
      <w:r w:rsidRPr="000A53C0">
        <w:rPr>
          <w:rStyle w:val="normaltextrun"/>
        </w:rPr>
        <w:t xml:space="preserve">A licensing </w:t>
      </w:r>
      <w:r w:rsidR="003B48AE" w:rsidRPr="000A53C0">
        <w:rPr>
          <w:rStyle w:val="normaltextrun"/>
        </w:rPr>
        <w:t>framework</w:t>
      </w:r>
      <w:r w:rsidRPr="000A53C0">
        <w:rPr>
          <w:rStyle w:val="normaltextrun"/>
        </w:rPr>
        <w:t xml:space="preserve"> for working with low</w:t>
      </w:r>
      <w:r w:rsidR="003B48AE" w:rsidRPr="000A53C0">
        <w:rPr>
          <w:rStyle w:val="normaltextrun"/>
        </w:rPr>
        <w:t>er</w:t>
      </w:r>
      <w:r w:rsidRPr="000A53C0">
        <w:rPr>
          <w:rStyle w:val="normaltextrun"/>
        </w:rPr>
        <w:t xml:space="preserve"> silica engineered stone (Option 3)</w:t>
      </w:r>
    </w:p>
    <w:p w14:paraId="5596077D" w14:textId="745D4064" w:rsidR="00C75D93" w:rsidRPr="000A53C0" w:rsidRDefault="00342E88" w:rsidP="00466128">
      <w:pPr>
        <w:pStyle w:val="BodyText"/>
        <w:rPr>
          <w:rFonts w:cs="Arial"/>
        </w:rPr>
      </w:pPr>
      <w:r w:rsidRPr="000A53C0">
        <w:rPr>
          <w:rFonts w:cs="Arial"/>
        </w:rPr>
        <w:t>Of the 57 submissions who supported</w:t>
      </w:r>
      <w:r w:rsidR="0087223D" w:rsidRPr="000A53C0">
        <w:rPr>
          <w:rFonts w:cs="Arial"/>
        </w:rPr>
        <w:t xml:space="preserve"> continued</w:t>
      </w:r>
      <w:r w:rsidRPr="000A53C0">
        <w:rPr>
          <w:rFonts w:cs="Arial"/>
        </w:rPr>
        <w:t xml:space="preserve"> work with </w:t>
      </w:r>
      <w:r w:rsidR="0087223D" w:rsidRPr="000A53C0">
        <w:rPr>
          <w:rFonts w:cs="Arial"/>
        </w:rPr>
        <w:t>lower silica engineered stone,</w:t>
      </w:r>
      <w:r w:rsidR="00C75D93" w:rsidRPr="000A53C0">
        <w:rPr>
          <w:rFonts w:cs="Arial"/>
        </w:rPr>
        <w:t xml:space="preserve"> 38 submissions supported a licensing framework for work with lower silica engineered stone, as outlined in Option 3. Approximately 80% of those submissions were from PCBUs working with engineered stone or individual stonemasons, and the remainder were from industry groups, professional organisations and government agencies. Support for licensing was based on:</w:t>
      </w:r>
    </w:p>
    <w:p w14:paraId="77AA396C" w14:textId="3C549098" w:rsidR="00C75D93" w:rsidRPr="000A53C0" w:rsidRDefault="7A0A7B9B" w:rsidP="001B44C4">
      <w:pPr>
        <w:pStyle w:val="IAListbullet2"/>
        <w:rPr>
          <w:rFonts w:cs="Arial"/>
        </w:rPr>
      </w:pPr>
      <w:r w:rsidRPr="000A53C0">
        <w:rPr>
          <w:rFonts w:cs="Arial"/>
        </w:rPr>
        <w:t xml:space="preserve">improved regulator visibility of PCBUs working with engineered stone </w:t>
      </w:r>
    </w:p>
    <w:p w14:paraId="5869DD78" w14:textId="7AF25CC5" w:rsidR="00C75D93" w:rsidRPr="000A53C0" w:rsidRDefault="7A0A7B9B" w:rsidP="001B44C4">
      <w:pPr>
        <w:pStyle w:val="IAListbullet2"/>
        <w:rPr>
          <w:rFonts w:cs="Arial"/>
        </w:rPr>
      </w:pPr>
      <w:r w:rsidRPr="000A53C0">
        <w:rPr>
          <w:rFonts w:cs="Arial"/>
        </w:rPr>
        <w:t>the ability to link licensing with training and reporting requirements recently agreed by WHS ministers for all high risk silica work (Option 5a)</w:t>
      </w:r>
    </w:p>
    <w:p w14:paraId="70621A89" w14:textId="17615DB3" w:rsidR="00C75D93" w:rsidRPr="000A53C0" w:rsidRDefault="7A0A7B9B" w:rsidP="001B44C4">
      <w:pPr>
        <w:pStyle w:val="IAListbullet2"/>
        <w:rPr>
          <w:rFonts w:cs="Arial"/>
        </w:rPr>
      </w:pPr>
      <w:r w:rsidRPr="000A53C0">
        <w:rPr>
          <w:rFonts w:cs="Arial"/>
        </w:rPr>
        <w:t xml:space="preserve">strengthening regulatory controls through the ability to cancel or suspend licences for PCBUs </w:t>
      </w:r>
      <w:r w:rsidR="1D70329A" w:rsidRPr="000A53C0">
        <w:rPr>
          <w:rFonts w:cs="Arial"/>
        </w:rPr>
        <w:t xml:space="preserve">who do not </w:t>
      </w:r>
      <w:r w:rsidRPr="000A53C0">
        <w:rPr>
          <w:rFonts w:cs="Arial"/>
        </w:rPr>
        <w:t>meet safe work standards, and</w:t>
      </w:r>
    </w:p>
    <w:p w14:paraId="7EA0E0B8" w14:textId="65007BC5" w:rsidR="00C75D93" w:rsidRPr="000A53C0" w:rsidRDefault="7A0A7B9B" w:rsidP="001B44C4">
      <w:pPr>
        <w:pStyle w:val="IAListbullet2"/>
        <w:rPr>
          <w:rFonts w:cs="Arial"/>
          <w:sz w:val="24"/>
          <w:szCs w:val="24"/>
        </w:rPr>
      </w:pPr>
      <w:r w:rsidRPr="000A53C0">
        <w:rPr>
          <w:rFonts w:cs="Arial"/>
        </w:rPr>
        <w:lastRenderedPageBreak/>
        <w:t xml:space="preserve">ensuring that there is continued focus on managing ongoing risks of working with lower silica engineered stone to avoid complacency amongst PCBUs. </w:t>
      </w:r>
    </w:p>
    <w:p w14:paraId="7CD9E2DC" w14:textId="13C26042" w:rsidR="00C75D93" w:rsidRPr="000A53C0" w:rsidRDefault="00C75D93" w:rsidP="00466128">
      <w:pPr>
        <w:pStyle w:val="BodyText"/>
        <w:rPr>
          <w:rFonts w:cs="Arial"/>
        </w:rPr>
      </w:pPr>
      <w:r w:rsidRPr="000A53C0">
        <w:rPr>
          <w:rFonts w:cs="Arial"/>
        </w:rPr>
        <w:t xml:space="preserve">Some submissions also provided feedback on the structure of the proposed licensing </w:t>
      </w:r>
      <w:r w:rsidR="00D53654" w:rsidRPr="000A53C0">
        <w:rPr>
          <w:rFonts w:cs="Arial"/>
        </w:rPr>
        <w:t>framework</w:t>
      </w:r>
      <w:r w:rsidRPr="000A53C0">
        <w:rPr>
          <w:rFonts w:cs="Arial"/>
        </w:rPr>
        <w:t xml:space="preserve"> for low</w:t>
      </w:r>
      <w:r w:rsidR="00D53654" w:rsidRPr="000A53C0">
        <w:rPr>
          <w:rFonts w:cs="Arial"/>
        </w:rPr>
        <w:t>er</w:t>
      </w:r>
      <w:r w:rsidRPr="000A53C0">
        <w:rPr>
          <w:rFonts w:cs="Arial"/>
        </w:rPr>
        <w:t xml:space="preserve"> silica stone, including that there should be:</w:t>
      </w:r>
    </w:p>
    <w:p w14:paraId="4DE1010A" w14:textId="77777777" w:rsidR="00C75D93" w:rsidRPr="000A53C0" w:rsidRDefault="7A0A7B9B" w:rsidP="001B44C4">
      <w:pPr>
        <w:pStyle w:val="IAListbullet2"/>
        <w:rPr>
          <w:rFonts w:cs="Arial"/>
        </w:rPr>
      </w:pPr>
      <w:r w:rsidRPr="000A53C0">
        <w:rPr>
          <w:rFonts w:cs="Arial"/>
        </w:rPr>
        <w:t>a publicly available database of licence holders, and</w:t>
      </w:r>
    </w:p>
    <w:p w14:paraId="4BF1C4DC" w14:textId="3A7ACAC9" w:rsidR="00C75D93" w:rsidRPr="000A53C0" w:rsidRDefault="7A0A7B9B" w:rsidP="001B44C4">
      <w:pPr>
        <w:pStyle w:val="IAListbullet2"/>
        <w:rPr>
          <w:rFonts w:cs="Arial"/>
        </w:rPr>
      </w:pPr>
      <w:r w:rsidRPr="000A53C0">
        <w:rPr>
          <w:rFonts w:cs="Arial"/>
        </w:rPr>
        <w:t>a prohibition on consumers purchasing products from unlicensed PCBUs (i.e. unlicensed suppliers</w:t>
      </w:r>
      <w:r w:rsidR="195A2EBF" w:rsidRPr="000A53C0">
        <w:rPr>
          <w:rFonts w:cs="Arial"/>
        </w:rPr>
        <w:t xml:space="preserve">, </w:t>
      </w:r>
      <w:r w:rsidRPr="000A53C0">
        <w:rPr>
          <w:rFonts w:cs="Arial"/>
        </w:rPr>
        <w:t>fabricators</w:t>
      </w:r>
      <w:r w:rsidR="195A2EBF" w:rsidRPr="000A53C0">
        <w:rPr>
          <w:rFonts w:cs="Arial"/>
        </w:rPr>
        <w:t xml:space="preserve"> and installers</w:t>
      </w:r>
      <w:r w:rsidRPr="000A53C0">
        <w:rPr>
          <w:rFonts w:cs="Arial"/>
        </w:rPr>
        <w:t>).</w:t>
      </w:r>
    </w:p>
    <w:p w14:paraId="1519F8CD" w14:textId="77777777" w:rsidR="00C75D93" w:rsidRPr="000A53C0" w:rsidRDefault="00C75D93" w:rsidP="00466128">
      <w:pPr>
        <w:pStyle w:val="BodyText"/>
        <w:rPr>
          <w:rFonts w:cs="Arial"/>
        </w:rPr>
      </w:pPr>
      <w:r w:rsidRPr="000A53C0">
        <w:rPr>
          <w:rFonts w:cs="Arial"/>
        </w:rPr>
        <w:t>Some groups indicated that, should WHS ministers not agree to a complete prohibition of engineered stone, any work with lower silica stone must involve a licensing scheme. For example, the ACTU are strongly in favour of a prohibition of all engineered stone. In the case that this does not occur, the ACTU have proposed any use of lower silica engineered stone should be accompanied by a tripartite licensing regime for importers, suppliers and fabricators of engineered stone with significant penalties for non-compliance. They also suggested a ‘fit and proper’ person test that considers general WHS compliance history of the PCBU.</w:t>
      </w:r>
    </w:p>
    <w:p w14:paraId="206A91E3" w14:textId="654AD1F3" w:rsidR="00C75D93" w:rsidRPr="000A53C0" w:rsidRDefault="00C75D93" w:rsidP="00466128">
      <w:pPr>
        <w:pStyle w:val="BodyText"/>
        <w:rPr>
          <w:rFonts w:cs="Arial"/>
        </w:rPr>
      </w:pPr>
      <w:r w:rsidRPr="000A53C0">
        <w:rPr>
          <w:rFonts w:cs="Arial"/>
        </w:rPr>
        <w:t>Some submissions argued that a licensing scheme was not required:</w:t>
      </w:r>
    </w:p>
    <w:p w14:paraId="336B7AE5" w14:textId="77777777" w:rsidR="00C75D93" w:rsidRPr="000A53C0" w:rsidRDefault="7A0A7B9B" w:rsidP="001B44C4">
      <w:pPr>
        <w:pStyle w:val="IAListbullet2"/>
        <w:rPr>
          <w:rFonts w:cs="Arial"/>
        </w:rPr>
      </w:pPr>
      <w:r w:rsidRPr="000A53C0">
        <w:rPr>
          <w:rFonts w:cs="Arial"/>
        </w:rPr>
        <w:t>licensing offers no additional benefit to workers than the further regulation (Option 5a) already agreed by WHS ministers, and</w:t>
      </w:r>
    </w:p>
    <w:p w14:paraId="3D567D55" w14:textId="16D7A357" w:rsidR="00C75D93" w:rsidRPr="000A53C0" w:rsidRDefault="7A0A7B9B" w:rsidP="001B44C4">
      <w:pPr>
        <w:pStyle w:val="IAListbullet2"/>
        <w:rPr>
          <w:rFonts w:cs="Arial"/>
        </w:rPr>
      </w:pPr>
      <w:r w:rsidRPr="000A53C0">
        <w:rPr>
          <w:rFonts w:cs="Arial"/>
        </w:rPr>
        <w:t>the additional cost of a licence scheme will be a further burden to PCBUs.</w:t>
      </w:r>
    </w:p>
    <w:p w14:paraId="3A12ED10" w14:textId="1BC90357" w:rsidR="00C75D93" w:rsidRPr="000A53C0" w:rsidRDefault="00C75D93" w:rsidP="00514CCB">
      <w:pPr>
        <w:pStyle w:val="Heading3numbered"/>
        <w:rPr>
          <w:rStyle w:val="normaltextrun"/>
        </w:rPr>
      </w:pPr>
      <w:r w:rsidRPr="000A53C0">
        <w:rPr>
          <w:rStyle w:val="normaltextrun"/>
        </w:rPr>
        <w:t xml:space="preserve">A licensing </w:t>
      </w:r>
      <w:r w:rsidR="003B48AE" w:rsidRPr="000A53C0">
        <w:rPr>
          <w:rStyle w:val="normaltextrun"/>
        </w:rPr>
        <w:t>framework</w:t>
      </w:r>
      <w:r w:rsidRPr="000A53C0">
        <w:rPr>
          <w:rStyle w:val="normaltextrun"/>
        </w:rPr>
        <w:t xml:space="preserve"> for work with legacy engineered stone</w:t>
      </w:r>
    </w:p>
    <w:p w14:paraId="031D47B9" w14:textId="40085939" w:rsidR="00C75D93" w:rsidRPr="000A53C0" w:rsidRDefault="00C75D93" w:rsidP="00466128">
      <w:pPr>
        <w:pStyle w:val="BodyText"/>
        <w:rPr>
          <w:rFonts w:cs="Arial"/>
        </w:rPr>
      </w:pPr>
      <w:r w:rsidRPr="000A53C0">
        <w:rPr>
          <w:rFonts w:cs="Arial"/>
        </w:rPr>
        <w:t xml:space="preserve">The consultation paper outlined a licensing </w:t>
      </w:r>
      <w:r w:rsidR="00486201" w:rsidRPr="000A53C0">
        <w:rPr>
          <w:rFonts w:cs="Arial"/>
        </w:rPr>
        <w:t>scheme</w:t>
      </w:r>
      <w:r w:rsidRPr="000A53C0">
        <w:rPr>
          <w:rFonts w:cs="Arial"/>
        </w:rPr>
        <w:t xml:space="preserve"> for exempt uses of engineered stone already installed (l</w:t>
      </w:r>
      <w:r w:rsidR="00486201" w:rsidRPr="000A53C0">
        <w:rPr>
          <w:rFonts w:cs="Arial"/>
        </w:rPr>
        <w:t>icensing f</w:t>
      </w:r>
      <w:r w:rsidR="009962EB" w:rsidRPr="000A53C0">
        <w:rPr>
          <w:rFonts w:cs="Arial"/>
        </w:rPr>
        <w:t>ramework for work with l</w:t>
      </w:r>
      <w:r w:rsidRPr="000A53C0">
        <w:rPr>
          <w:rFonts w:cs="Arial"/>
        </w:rPr>
        <w:t xml:space="preserve">egacy products), that applies to each of the prohibition options. Several peak health bodies </w:t>
      </w:r>
      <w:r w:rsidR="004D5F12" w:rsidRPr="000A53C0">
        <w:rPr>
          <w:rFonts w:cs="Arial"/>
        </w:rPr>
        <w:t xml:space="preserve">supported </w:t>
      </w:r>
      <w:r w:rsidR="00E357E5" w:rsidRPr="000A53C0">
        <w:rPr>
          <w:rFonts w:cs="Arial"/>
        </w:rPr>
        <w:t>basing</w:t>
      </w:r>
      <w:r w:rsidR="00ED1228" w:rsidRPr="000A53C0">
        <w:rPr>
          <w:rFonts w:cs="Arial"/>
        </w:rPr>
        <w:t xml:space="preserve"> the</w:t>
      </w:r>
      <w:r w:rsidRPr="000A53C0">
        <w:rPr>
          <w:rFonts w:cs="Arial"/>
        </w:rPr>
        <w:t xml:space="preserve"> licensing framework</w:t>
      </w:r>
      <w:r w:rsidR="009962EB" w:rsidRPr="000A53C0">
        <w:rPr>
          <w:rFonts w:cs="Arial"/>
        </w:rPr>
        <w:t xml:space="preserve"> for work with</w:t>
      </w:r>
      <w:r w:rsidRPr="000A53C0">
        <w:rPr>
          <w:rFonts w:cs="Arial"/>
        </w:rPr>
        <w:t xml:space="preserve"> </w:t>
      </w:r>
      <w:r w:rsidR="009962EB" w:rsidRPr="000A53C0">
        <w:rPr>
          <w:rFonts w:cs="Arial"/>
        </w:rPr>
        <w:t>legacy products</w:t>
      </w:r>
      <w:r w:rsidR="006354D6" w:rsidRPr="000A53C0">
        <w:rPr>
          <w:rFonts w:cs="Arial"/>
        </w:rPr>
        <w:t xml:space="preserve"> </w:t>
      </w:r>
      <w:r w:rsidRPr="000A53C0">
        <w:rPr>
          <w:rFonts w:cs="Arial"/>
        </w:rPr>
        <w:t>on</w:t>
      </w:r>
      <w:r w:rsidR="004F0C2E" w:rsidRPr="000A53C0">
        <w:rPr>
          <w:rFonts w:cs="Arial"/>
        </w:rPr>
        <w:t xml:space="preserve"> asbestos licensing in</w:t>
      </w:r>
      <w:r w:rsidRPr="000A53C0">
        <w:rPr>
          <w:rFonts w:cs="Arial"/>
        </w:rPr>
        <w:t xml:space="preserve"> the model WHS Regulations, whereas industry groups raised concerns about doing so as engineered stone presents a fundamentally different risk profile to that of asbestos. Other submissions highlighted that some processes currently proposed to be covered by </w:t>
      </w:r>
      <w:r w:rsidR="009962EB" w:rsidRPr="000A53C0">
        <w:rPr>
          <w:rFonts w:cs="Arial"/>
        </w:rPr>
        <w:t>such a framework</w:t>
      </w:r>
      <w:r w:rsidRPr="000A53C0">
        <w:rPr>
          <w:rFonts w:cs="Arial"/>
        </w:rPr>
        <w:t xml:space="preserve"> are low risk (e.g., minor repair and modification) and commented that regulation should be commensurate with risk. Licensing lower-risk activities may result in over regulation and present an unnecessary burden on both PCBUs and regulators.</w:t>
      </w:r>
    </w:p>
    <w:p w14:paraId="15552D92" w14:textId="614E53B6" w:rsidR="00C75D93" w:rsidRPr="000A53C0" w:rsidRDefault="00C75D93" w:rsidP="00993477">
      <w:pPr>
        <w:pStyle w:val="BodyText"/>
        <w:keepNext/>
        <w:rPr>
          <w:rFonts w:cs="Arial"/>
        </w:rPr>
      </w:pPr>
      <w:r w:rsidRPr="000A53C0">
        <w:rPr>
          <w:rFonts w:cs="Arial"/>
        </w:rPr>
        <w:t xml:space="preserve">Submissions suggest that a licensing </w:t>
      </w:r>
      <w:r w:rsidR="009962EB" w:rsidRPr="000A53C0">
        <w:rPr>
          <w:rFonts w:cs="Arial"/>
        </w:rPr>
        <w:t>framework for work with legacy products</w:t>
      </w:r>
      <w:r w:rsidRPr="000A53C0">
        <w:rPr>
          <w:rFonts w:cs="Arial"/>
        </w:rPr>
        <w:t xml:space="preserve"> should:</w:t>
      </w:r>
    </w:p>
    <w:p w14:paraId="7FC1F7B4" w14:textId="3EDDDC90" w:rsidR="00C75D93" w:rsidRPr="000A53C0" w:rsidRDefault="7A0A7B9B" w:rsidP="001B44C4">
      <w:pPr>
        <w:pStyle w:val="IAListbullet2"/>
        <w:rPr>
          <w:rFonts w:cs="Arial"/>
        </w:rPr>
      </w:pPr>
      <w:r w:rsidRPr="000A53C0">
        <w:rPr>
          <w:rFonts w:cs="Arial"/>
        </w:rPr>
        <w:t>not unintentionally capture businesses that undertake minor and infrequent work</w:t>
      </w:r>
    </w:p>
    <w:p w14:paraId="4F48B80A" w14:textId="755494B5" w:rsidR="00C75D93" w:rsidRPr="000A53C0" w:rsidRDefault="7A0A7B9B" w:rsidP="001B44C4">
      <w:pPr>
        <w:pStyle w:val="IAListbullet2"/>
        <w:rPr>
          <w:rFonts w:cs="Arial"/>
        </w:rPr>
      </w:pPr>
      <w:r w:rsidRPr="000A53C0">
        <w:rPr>
          <w:rFonts w:cs="Arial"/>
        </w:rPr>
        <w:t>be risk based</w:t>
      </w:r>
      <w:r w:rsidR="5A3FAD38" w:rsidRPr="000A53C0">
        <w:rPr>
          <w:rFonts w:cs="Arial"/>
        </w:rPr>
        <w:t xml:space="preserve"> – i.e. </w:t>
      </w:r>
      <w:r w:rsidRPr="000A53C0">
        <w:rPr>
          <w:rFonts w:cs="Arial"/>
        </w:rPr>
        <w:t>focus on higher-risk activities, and have exceptions for very minor tasks or occasional work that is unlikely to lead to significant RCS exposure, and</w:t>
      </w:r>
    </w:p>
    <w:p w14:paraId="33C93705" w14:textId="77777777" w:rsidR="00C75D93" w:rsidRPr="000A53C0" w:rsidRDefault="7A0A7B9B" w:rsidP="001B44C4">
      <w:pPr>
        <w:pStyle w:val="IAListbullet2"/>
        <w:rPr>
          <w:rFonts w:cs="Arial"/>
        </w:rPr>
      </w:pPr>
      <w:r w:rsidRPr="000A53C0">
        <w:rPr>
          <w:rFonts w:cs="Arial"/>
        </w:rPr>
        <w:t>not impose stricter requirements than work with non-friable asbestos.</w:t>
      </w:r>
    </w:p>
    <w:p w14:paraId="4950770F" w14:textId="59725C79" w:rsidR="00C75D93" w:rsidRPr="000A53C0" w:rsidRDefault="00C75D93" w:rsidP="00466128">
      <w:pPr>
        <w:pStyle w:val="BodyText"/>
        <w:rPr>
          <w:rFonts w:cs="Arial"/>
        </w:rPr>
      </w:pPr>
      <w:r w:rsidRPr="000A53C0">
        <w:rPr>
          <w:rFonts w:cs="Arial"/>
          <w:lang w:eastAsia="en-AU"/>
        </w:rPr>
        <w:t xml:space="preserve">The Australian Chamber of Commerce and Industry, </w:t>
      </w:r>
      <w:r w:rsidR="00D250D6" w:rsidRPr="000A53C0">
        <w:rPr>
          <w:rFonts w:cs="Arial"/>
          <w:lang w:eastAsia="en-AU"/>
        </w:rPr>
        <w:t>the</w:t>
      </w:r>
      <w:r w:rsidRPr="000A53C0">
        <w:rPr>
          <w:rFonts w:cs="Arial"/>
          <w:lang w:eastAsia="en-AU"/>
        </w:rPr>
        <w:t xml:space="preserve"> Housing Industry Association</w:t>
      </w:r>
      <w:r w:rsidR="00D250D6" w:rsidRPr="000A53C0">
        <w:rPr>
          <w:rFonts w:cs="Arial"/>
          <w:lang w:eastAsia="en-AU"/>
        </w:rPr>
        <w:t xml:space="preserve"> and others</w:t>
      </w:r>
      <w:r w:rsidRPr="000A53C0">
        <w:rPr>
          <w:rFonts w:cs="Arial"/>
          <w:lang w:eastAsia="en-AU"/>
        </w:rPr>
        <w:t xml:space="preserve"> suggested exemptions from licensing should be included for trades performing </w:t>
      </w:r>
      <w:r w:rsidRPr="000A53C0">
        <w:rPr>
          <w:rFonts w:cs="Arial"/>
        </w:rPr>
        <w:t>low duration and low exposure activities</w:t>
      </w:r>
      <w:r w:rsidRPr="000A53C0">
        <w:rPr>
          <w:rFonts w:cs="Arial"/>
          <w:lang w:eastAsia="en-AU"/>
        </w:rPr>
        <w:t>. Specifically, they proposed that a</w:t>
      </w:r>
      <w:r w:rsidRPr="000A53C0">
        <w:rPr>
          <w:rFonts w:cs="Arial"/>
        </w:rPr>
        <w:t xml:space="preserve"> PCBU would require a licence to undertake (otherwise prohibited) work with engineered stone already installed, unless: </w:t>
      </w:r>
    </w:p>
    <w:p w14:paraId="2EF455CA" w14:textId="60B9C27E" w:rsidR="00C75D93" w:rsidRPr="000A53C0" w:rsidRDefault="7A0A7B9B" w:rsidP="001B44C4">
      <w:pPr>
        <w:pStyle w:val="IAListbullet2"/>
        <w:rPr>
          <w:rFonts w:cs="Arial"/>
        </w:rPr>
      </w:pPr>
      <w:r w:rsidRPr="000A53C0">
        <w:rPr>
          <w:rFonts w:cs="Arial"/>
        </w:rPr>
        <w:t>the work does not exceed 10 minutes in total per day</w:t>
      </w:r>
      <w:r w:rsidR="00BB600E">
        <w:rPr>
          <w:rFonts w:cs="Arial"/>
        </w:rPr>
        <w:t>,</w:t>
      </w:r>
      <w:r w:rsidRPr="000A53C0">
        <w:rPr>
          <w:rFonts w:cs="Arial"/>
        </w:rPr>
        <w:t xml:space="preserve"> and </w:t>
      </w:r>
    </w:p>
    <w:p w14:paraId="6E8BE9F7" w14:textId="598645F5" w:rsidR="00C75D93" w:rsidRPr="000A53C0" w:rsidRDefault="7A0A7B9B" w:rsidP="001B44C4">
      <w:pPr>
        <w:pStyle w:val="IAListbullet2"/>
        <w:rPr>
          <w:rFonts w:cs="Arial"/>
        </w:rPr>
      </w:pPr>
      <w:r w:rsidRPr="000A53C0">
        <w:rPr>
          <w:rFonts w:cs="Arial"/>
        </w:rPr>
        <w:t xml:space="preserve">the total time the exempt work is performed by an individual worker in any period of </w:t>
      </w:r>
      <w:r w:rsidR="001A6906">
        <w:rPr>
          <w:rFonts w:cs="Arial"/>
        </w:rPr>
        <w:t>7</w:t>
      </w:r>
      <w:r w:rsidRPr="000A53C0">
        <w:rPr>
          <w:rFonts w:cs="Arial"/>
        </w:rPr>
        <w:t xml:space="preserve"> days does not exceed one hour.</w:t>
      </w:r>
    </w:p>
    <w:p w14:paraId="3BE4F373" w14:textId="003C0BF6" w:rsidR="00492C59" w:rsidRPr="000A53C0" w:rsidRDefault="00FC3A73" w:rsidP="001B44C4">
      <w:pPr>
        <w:pStyle w:val="IAListbullet2"/>
        <w:numPr>
          <w:ilvl w:val="0"/>
          <w:numId w:val="0"/>
        </w:numPr>
        <w:rPr>
          <w:rFonts w:cs="Arial"/>
        </w:rPr>
      </w:pPr>
      <w:r w:rsidRPr="000A53C0">
        <w:rPr>
          <w:rFonts w:cs="Arial"/>
        </w:rPr>
        <w:lastRenderedPageBreak/>
        <w:t xml:space="preserve">The Agency </w:t>
      </w:r>
      <w:r w:rsidR="00931602" w:rsidRPr="000A53C0">
        <w:rPr>
          <w:rFonts w:cs="Arial"/>
        </w:rPr>
        <w:t>will continue to liaise with Members, who represent governments, workers and industry, to determine the exact parameters of the licensing framework, including whether exemptions to the licence requirement should apply for very minor and/or occasional work.</w:t>
      </w:r>
    </w:p>
    <w:p w14:paraId="089BA2CB" w14:textId="77777777" w:rsidR="00C75D93" w:rsidRPr="000A53C0" w:rsidRDefault="00C75D93" w:rsidP="00514CCB">
      <w:pPr>
        <w:pStyle w:val="Heading3numbered"/>
      </w:pPr>
      <w:r w:rsidRPr="000A53C0">
        <w:t>Stakeholder feedback on operating dual licensing schemes</w:t>
      </w:r>
    </w:p>
    <w:p w14:paraId="55C0F52D" w14:textId="2F40BC81" w:rsidR="00C75D93" w:rsidRPr="000A53C0" w:rsidRDefault="00C75D93" w:rsidP="00466128">
      <w:pPr>
        <w:pStyle w:val="BodyText"/>
        <w:rPr>
          <w:rFonts w:eastAsia="Times New Roman" w:cs="Arial"/>
          <w:lang w:eastAsia="en-AU"/>
        </w:rPr>
      </w:pPr>
      <w:r w:rsidRPr="000A53C0">
        <w:rPr>
          <w:rFonts w:cs="Arial"/>
        </w:rPr>
        <w:t>The consultation paper specifically sought information about operating dual licensing schemes (one for work with legacy products and one for work with low</w:t>
      </w:r>
      <w:r w:rsidR="009962EB" w:rsidRPr="000A53C0">
        <w:rPr>
          <w:rFonts w:cs="Arial"/>
        </w:rPr>
        <w:t>er</w:t>
      </w:r>
      <w:r w:rsidRPr="000A53C0">
        <w:rPr>
          <w:rFonts w:cs="Arial"/>
        </w:rPr>
        <w:t xml:space="preserve"> silica engineered stone). Very few submissions addressed this question. Those that did emphasised the need for careful communication with industry to avoid confusion, and </w:t>
      </w:r>
      <w:r w:rsidR="006A5663" w:rsidRPr="000A53C0">
        <w:rPr>
          <w:rFonts w:cs="Arial"/>
        </w:rPr>
        <w:t xml:space="preserve">noted </w:t>
      </w:r>
      <w:r w:rsidRPr="000A53C0">
        <w:rPr>
          <w:rFonts w:cs="Arial"/>
        </w:rPr>
        <w:t xml:space="preserve">that two licences are currently in place for the removal of asbestos without issue. </w:t>
      </w:r>
    </w:p>
    <w:p w14:paraId="7F5F5504" w14:textId="1B7C0149" w:rsidR="00C711D5" w:rsidRPr="000A53C0" w:rsidRDefault="00C711D5">
      <w:pPr>
        <w:rPr>
          <w:rFonts w:cs="Arial"/>
          <w:b/>
          <w:color w:val="014463" w:themeColor="text2"/>
          <w:sz w:val="60"/>
          <w:szCs w:val="60"/>
        </w:rPr>
      </w:pPr>
      <w:r w:rsidRPr="000A53C0">
        <w:rPr>
          <w:rFonts w:cs="Arial"/>
        </w:rPr>
        <w:br w:type="page"/>
      </w:r>
    </w:p>
    <w:p w14:paraId="6D7B0600" w14:textId="070DA14D" w:rsidR="008A1D1F" w:rsidRPr="000A53C0" w:rsidRDefault="007B0FAF" w:rsidP="00A95303">
      <w:pPr>
        <w:pStyle w:val="Heading1numbered"/>
      </w:pPr>
      <w:bookmarkStart w:id="163" w:name="_Ref139550670"/>
      <w:bookmarkStart w:id="164" w:name="_Ref139550676"/>
      <w:bookmarkStart w:id="165" w:name="_Toc142991349"/>
      <w:r w:rsidRPr="000A53C0">
        <w:lastRenderedPageBreak/>
        <w:t>What is the best</w:t>
      </w:r>
      <w:r w:rsidR="000E0FD1" w:rsidRPr="000A53C0">
        <w:t xml:space="preserve"> option</w:t>
      </w:r>
      <w:r w:rsidRPr="000A53C0">
        <w:t>?</w:t>
      </w:r>
      <w:bookmarkEnd w:id="163"/>
      <w:bookmarkEnd w:id="164"/>
      <w:bookmarkEnd w:id="165"/>
    </w:p>
    <w:p w14:paraId="20590738" w14:textId="1AA38B6D" w:rsidR="00427F7A" w:rsidRPr="000A53C0" w:rsidRDefault="006F12DF" w:rsidP="00514CCB">
      <w:pPr>
        <w:pStyle w:val="Heading2numbered"/>
      </w:pPr>
      <w:bookmarkStart w:id="166" w:name="_Toc142991350"/>
      <w:r w:rsidRPr="000A53C0">
        <w:t>Recommendation</w:t>
      </w:r>
      <w:bookmarkEnd w:id="166"/>
    </w:p>
    <w:p w14:paraId="0BFA17DB" w14:textId="7008B4B1" w:rsidR="009B0091" w:rsidRPr="00A95303" w:rsidRDefault="009B0091" w:rsidP="00045E33">
      <w:pPr>
        <w:pStyle w:val="EmphasisPanelHeading"/>
        <w:shd w:val="clear" w:color="auto" w:fill="F2F2F2" w:themeFill="background1" w:themeFillShade="F2"/>
        <w:rPr>
          <w:rFonts w:ascii="Arial" w:hAnsi="Arial" w:cs="Arial"/>
          <w:color w:val="auto"/>
          <w:lang w:eastAsia="en-AU"/>
        </w:rPr>
      </w:pPr>
      <w:r w:rsidRPr="00A95303">
        <w:rPr>
          <w:rFonts w:ascii="Arial" w:hAnsi="Arial" w:cs="Arial"/>
          <w:color w:val="auto"/>
          <w:lang w:eastAsia="en-AU"/>
        </w:rPr>
        <w:t>Recommended options</w:t>
      </w:r>
    </w:p>
    <w:p w14:paraId="3A07A29C" w14:textId="13545F1C" w:rsidR="00535B59" w:rsidRPr="000A53C0" w:rsidRDefault="00427F7A" w:rsidP="00045E33">
      <w:pPr>
        <w:pStyle w:val="EmphasisPanelBody"/>
        <w:shd w:val="clear" w:color="auto" w:fill="F2F2F2" w:themeFill="background1" w:themeFillShade="F2"/>
        <w:spacing w:after="120"/>
        <w:rPr>
          <w:rFonts w:cs="Arial"/>
          <w:lang w:eastAsia="en-AU"/>
        </w:rPr>
      </w:pPr>
      <w:r w:rsidRPr="000A53C0">
        <w:rPr>
          <w:rFonts w:cs="Arial"/>
          <w:lang w:eastAsia="en-AU"/>
        </w:rPr>
        <w:t xml:space="preserve">On the basis of </w:t>
      </w:r>
      <w:r w:rsidR="00483709" w:rsidRPr="000A53C0">
        <w:rPr>
          <w:rFonts w:cs="Arial"/>
          <w:lang w:eastAsia="en-AU"/>
        </w:rPr>
        <w:t xml:space="preserve">evidence review, </w:t>
      </w:r>
      <w:r w:rsidR="008E7498" w:rsidRPr="000A53C0">
        <w:rPr>
          <w:rFonts w:cs="Arial"/>
          <w:lang w:eastAsia="en-AU"/>
        </w:rPr>
        <w:t>impact analysis</w:t>
      </w:r>
      <w:r w:rsidR="00511125" w:rsidRPr="000A53C0">
        <w:rPr>
          <w:rFonts w:cs="Arial"/>
          <w:lang w:eastAsia="en-AU"/>
        </w:rPr>
        <w:t xml:space="preserve"> and stakeholder feedback</w:t>
      </w:r>
      <w:r w:rsidRPr="000A53C0">
        <w:rPr>
          <w:rFonts w:cs="Arial"/>
          <w:lang w:eastAsia="en-AU"/>
        </w:rPr>
        <w:t xml:space="preserve">, it is recommended that </w:t>
      </w:r>
      <w:r w:rsidR="00511125" w:rsidRPr="000A53C0">
        <w:rPr>
          <w:rFonts w:cs="Arial"/>
          <w:lang w:eastAsia="en-AU"/>
        </w:rPr>
        <w:t xml:space="preserve">WHS </w:t>
      </w:r>
      <w:r w:rsidRPr="000A53C0">
        <w:rPr>
          <w:rFonts w:cs="Arial"/>
          <w:lang w:eastAsia="en-AU"/>
        </w:rPr>
        <w:t>ministers</w:t>
      </w:r>
      <w:r w:rsidR="00FF24BD" w:rsidRPr="000A53C0">
        <w:rPr>
          <w:rFonts w:cs="Arial"/>
          <w:lang w:eastAsia="en-AU"/>
        </w:rPr>
        <w:t xml:space="preserve"> </w:t>
      </w:r>
      <w:r w:rsidR="008013D9" w:rsidRPr="000A53C0">
        <w:rPr>
          <w:rFonts w:cs="Arial"/>
          <w:lang w:eastAsia="en-AU"/>
        </w:rPr>
        <w:t xml:space="preserve">prohibit </w:t>
      </w:r>
      <w:r w:rsidR="62B5EB2B" w:rsidRPr="000A53C0">
        <w:rPr>
          <w:rFonts w:cs="Arial"/>
          <w:lang w:eastAsia="en-AU"/>
        </w:rPr>
        <w:t>the use of all engineered stone</w:t>
      </w:r>
      <w:r w:rsidR="46DF6A80" w:rsidRPr="000A53C0">
        <w:rPr>
          <w:rFonts w:cs="Arial"/>
          <w:lang w:eastAsia="en-AU"/>
        </w:rPr>
        <w:t xml:space="preserve">, </w:t>
      </w:r>
      <w:r w:rsidR="00A17D1D" w:rsidRPr="000A53C0">
        <w:rPr>
          <w:rFonts w:cs="Arial"/>
          <w:lang w:eastAsia="en-AU"/>
        </w:rPr>
        <w:t xml:space="preserve">and </w:t>
      </w:r>
      <w:r w:rsidR="007B60A7" w:rsidRPr="000A53C0">
        <w:rPr>
          <w:rFonts w:cs="Arial"/>
          <w:lang w:eastAsia="en-AU"/>
        </w:rPr>
        <w:t>implement</w:t>
      </w:r>
      <w:r w:rsidR="00A17D1D" w:rsidRPr="000A53C0">
        <w:rPr>
          <w:rFonts w:cs="Arial"/>
          <w:lang w:eastAsia="en-AU"/>
        </w:rPr>
        <w:t xml:space="preserve"> a </w:t>
      </w:r>
      <w:r w:rsidR="46DF6A80" w:rsidRPr="000A53C0">
        <w:rPr>
          <w:rFonts w:cs="Arial"/>
          <w:lang w:eastAsia="en-AU"/>
        </w:rPr>
        <w:t xml:space="preserve">licensing scheme for certain work with engineered stone </w:t>
      </w:r>
      <w:r w:rsidR="00A17D1D" w:rsidRPr="000A53C0">
        <w:rPr>
          <w:rFonts w:cs="Arial"/>
          <w:lang w:eastAsia="en-AU"/>
        </w:rPr>
        <w:t>previously installed</w:t>
      </w:r>
      <w:r w:rsidR="00535B59" w:rsidRPr="000A53C0">
        <w:rPr>
          <w:rFonts w:cs="Arial"/>
          <w:lang w:eastAsia="en-AU"/>
        </w:rPr>
        <w:t xml:space="preserve"> (</w:t>
      </w:r>
      <w:r w:rsidR="001456C2" w:rsidRPr="000A53C0">
        <w:rPr>
          <w:rFonts w:cs="Arial"/>
          <w:lang w:eastAsia="en-AU"/>
        </w:rPr>
        <w:t>O</w:t>
      </w:r>
      <w:r w:rsidR="00535B59" w:rsidRPr="000A53C0">
        <w:rPr>
          <w:rFonts w:cs="Arial"/>
          <w:lang w:eastAsia="en-AU"/>
        </w:rPr>
        <w:t xml:space="preserve">ption </w:t>
      </w:r>
      <w:r w:rsidR="108595A6" w:rsidRPr="000A53C0">
        <w:rPr>
          <w:rFonts w:cs="Arial"/>
          <w:lang w:eastAsia="en-AU"/>
        </w:rPr>
        <w:t>1</w:t>
      </w:r>
      <w:r w:rsidR="00535B59" w:rsidRPr="000A53C0">
        <w:rPr>
          <w:rFonts w:cs="Arial"/>
          <w:lang w:eastAsia="en-AU"/>
        </w:rPr>
        <w:t>)</w:t>
      </w:r>
      <w:r w:rsidR="008013D9" w:rsidRPr="000A53C0">
        <w:rPr>
          <w:rFonts w:cs="Arial"/>
          <w:lang w:eastAsia="en-AU"/>
        </w:rPr>
        <w:t>.</w:t>
      </w:r>
    </w:p>
    <w:p w14:paraId="67E0B2F2" w14:textId="28C4F0E0" w:rsidR="006215D1" w:rsidRPr="000A53C0" w:rsidRDefault="00001A49" w:rsidP="00B35A51">
      <w:pPr>
        <w:pStyle w:val="BodyText"/>
        <w:rPr>
          <w:rFonts w:cs="Arial"/>
        </w:rPr>
      </w:pPr>
      <w:r w:rsidRPr="000A53C0">
        <w:rPr>
          <w:rFonts w:cs="Arial"/>
        </w:rPr>
        <w:t>Each</w:t>
      </w:r>
      <w:r w:rsidR="006215D1" w:rsidRPr="000A53C0">
        <w:rPr>
          <w:rFonts w:cs="Arial"/>
        </w:rPr>
        <w:t xml:space="preserve"> option</w:t>
      </w:r>
      <w:r w:rsidR="00821DBA" w:rsidRPr="000A53C0">
        <w:rPr>
          <w:rFonts w:cs="Arial"/>
        </w:rPr>
        <w:t xml:space="preserve"> </w:t>
      </w:r>
      <w:r w:rsidR="006215D1" w:rsidRPr="000A53C0">
        <w:rPr>
          <w:rFonts w:cs="Arial"/>
        </w:rPr>
        <w:t>w</w:t>
      </w:r>
      <w:r w:rsidR="00E44D08" w:rsidRPr="000A53C0">
        <w:rPr>
          <w:rFonts w:cs="Arial"/>
        </w:rPr>
        <w:t>as</w:t>
      </w:r>
      <w:r w:rsidR="006215D1" w:rsidRPr="000A53C0">
        <w:rPr>
          <w:rFonts w:cs="Arial"/>
        </w:rPr>
        <w:t xml:space="preserve"> considered in the context of available evidence, consultation feedback, </w:t>
      </w:r>
      <w:r w:rsidR="001D10BC" w:rsidRPr="000A53C0">
        <w:rPr>
          <w:rFonts w:cs="Arial"/>
        </w:rPr>
        <w:t>workshop outcomes, an</w:t>
      </w:r>
      <w:r w:rsidR="00344CFD" w:rsidRPr="000A53C0">
        <w:rPr>
          <w:rFonts w:cs="Arial"/>
        </w:rPr>
        <w:t xml:space="preserve">d </w:t>
      </w:r>
      <w:r w:rsidR="00F43EF7" w:rsidRPr="000A53C0">
        <w:rPr>
          <w:rFonts w:cs="Arial"/>
        </w:rPr>
        <w:t xml:space="preserve">an economic </w:t>
      </w:r>
      <w:r w:rsidR="006215D1" w:rsidRPr="000A53C0">
        <w:rPr>
          <w:rFonts w:cs="Arial"/>
        </w:rPr>
        <w:t>analysis.</w:t>
      </w:r>
      <w:r w:rsidR="00D909B1" w:rsidRPr="000A53C0">
        <w:rPr>
          <w:rFonts w:cs="Arial"/>
        </w:rPr>
        <w:t xml:space="preserve"> </w:t>
      </w:r>
    </w:p>
    <w:p w14:paraId="7CC173B1" w14:textId="5D79A08F" w:rsidR="00C0436B" w:rsidRPr="000A53C0" w:rsidRDefault="008337A0" w:rsidP="00B35A51">
      <w:pPr>
        <w:pStyle w:val="BodyText"/>
        <w:rPr>
          <w:rFonts w:cs="Arial"/>
        </w:rPr>
      </w:pPr>
      <w:r w:rsidRPr="000A53C0">
        <w:rPr>
          <w:rFonts w:cs="Arial"/>
        </w:rPr>
        <w:t xml:space="preserve">Engineered stone workers are </w:t>
      </w:r>
      <w:r w:rsidR="004B7408" w:rsidRPr="000A53C0">
        <w:rPr>
          <w:rFonts w:cs="Arial"/>
        </w:rPr>
        <w:t xml:space="preserve">dramatically </w:t>
      </w:r>
      <w:r w:rsidRPr="000A53C0">
        <w:rPr>
          <w:rFonts w:cs="Arial"/>
        </w:rPr>
        <w:t>over</w:t>
      </w:r>
      <w:r w:rsidR="0032650B" w:rsidRPr="000A53C0">
        <w:rPr>
          <w:rFonts w:cs="Arial"/>
        </w:rPr>
        <w:t>-</w:t>
      </w:r>
      <w:r w:rsidRPr="000A53C0">
        <w:rPr>
          <w:rFonts w:cs="Arial"/>
        </w:rPr>
        <w:t xml:space="preserve">represented amongst </w:t>
      </w:r>
      <w:r w:rsidR="004B7408" w:rsidRPr="000A53C0">
        <w:rPr>
          <w:rFonts w:cs="Arial"/>
        </w:rPr>
        <w:t>workers</w:t>
      </w:r>
      <w:r w:rsidRPr="000A53C0">
        <w:rPr>
          <w:rFonts w:cs="Arial"/>
        </w:rPr>
        <w:t xml:space="preserve"> diagnosed with silicosis – </w:t>
      </w:r>
      <w:r w:rsidR="00DF4247" w:rsidRPr="000A53C0">
        <w:rPr>
          <w:rFonts w:cs="Arial"/>
        </w:rPr>
        <w:t>the</w:t>
      </w:r>
      <w:r w:rsidRPr="000A53C0">
        <w:rPr>
          <w:rFonts w:cs="Arial"/>
        </w:rPr>
        <w:t xml:space="preserve"> </w:t>
      </w:r>
      <w:r w:rsidR="00010E9E" w:rsidRPr="000A53C0">
        <w:rPr>
          <w:rFonts w:cs="Arial"/>
        </w:rPr>
        <w:t>vast</w:t>
      </w:r>
      <w:r w:rsidRPr="000A53C0">
        <w:rPr>
          <w:rFonts w:cs="Arial"/>
        </w:rPr>
        <w:t xml:space="preserve"> majority</w:t>
      </w:r>
      <w:r w:rsidR="00FF24BD" w:rsidRPr="000A53C0">
        <w:rPr>
          <w:rFonts w:cs="Arial"/>
        </w:rPr>
        <w:t xml:space="preserve"> of silicosis </w:t>
      </w:r>
      <w:r w:rsidR="004B7408" w:rsidRPr="000A53C0">
        <w:rPr>
          <w:rFonts w:cs="Arial"/>
        </w:rPr>
        <w:t xml:space="preserve">cases </w:t>
      </w:r>
      <w:r w:rsidR="0049383F" w:rsidRPr="000A53C0">
        <w:rPr>
          <w:rFonts w:cs="Arial"/>
        </w:rPr>
        <w:t xml:space="preserve">identified in recent years </w:t>
      </w:r>
      <w:r w:rsidR="004B7408" w:rsidRPr="000A53C0">
        <w:rPr>
          <w:rFonts w:cs="Arial"/>
        </w:rPr>
        <w:t>are in</w:t>
      </w:r>
      <w:r w:rsidR="00010E9E" w:rsidRPr="000A53C0">
        <w:rPr>
          <w:rFonts w:cs="Arial"/>
        </w:rPr>
        <w:t xml:space="preserve"> engineered stone workers</w:t>
      </w:r>
      <w:r w:rsidR="0049383F" w:rsidRPr="000A53C0">
        <w:rPr>
          <w:rFonts w:cs="Arial"/>
        </w:rPr>
        <w:t>,</w:t>
      </w:r>
      <w:r w:rsidR="00010E9E" w:rsidRPr="000A53C0">
        <w:rPr>
          <w:rFonts w:cs="Arial"/>
        </w:rPr>
        <w:t xml:space="preserve"> yet they make up </w:t>
      </w:r>
      <w:r w:rsidR="009D79A4" w:rsidRPr="000A53C0">
        <w:rPr>
          <w:rFonts w:cs="Arial"/>
        </w:rPr>
        <w:t xml:space="preserve">only </w:t>
      </w:r>
      <w:r w:rsidR="00237A3B" w:rsidRPr="000A53C0">
        <w:rPr>
          <w:rFonts w:cs="Arial"/>
        </w:rPr>
        <w:t>2</w:t>
      </w:r>
      <w:r w:rsidR="00B73020" w:rsidRPr="000A53C0">
        <w:rPr>
          <w:rFonts w:cs="Arial"/>
        </w:rPr>
        <w:t xml:space="preserve">% of </w:t>
      </w:r>
      <w:r w:rsidR="009D79A4" w:rsidRPr="000A53C0">
        <w:rPr>
          <w:rFonts w:cs="Arial"/>
        </w:rPr>
        <w:t>those</w:t>
      </w:r>
      <w:r w:rsidR="00B73020" w:rsidRPr="000A53C0">
        <w:rPr>
          <w:rFonts w:cs="Arial"/>
        </w:rPr>
        <w:t xml:space="preserve"> exposed to RCS at wor</w:t>
      </w:r>
      <w:r w:rsidR="00A25D21" w:rsidRPr="000A53C0">
        <w:rPr>
          <w:rFonts w:cs="Arial"/>
        </w:rPr>
        <w:t xml:space="preserve">k. </w:t>
      </w:r>
      <w:r w:rsidR="00770F3D" w:rsidRPr="000A53C0">
        <w:rPr>
          <w:rFonts w:cs="Arial"/>
        </w:rPr>
        <w:t xml:space="preserve">Exposure to RCS from engineered stone causes silicosis typified by a faster onset and more rapid progression than that caused by RCS from other sources, including natural stone. </w:t>
      </w:r>
      <w:r w:rsidR="00921C00" w:rsidRPr="000A53C0">
        <w:rPr>
          <w:rFonts w:cs="Arial"/>
        </w:rPr>
        <w:t xml:space="preserve">This has resulted in </w:t>
      </w:r>
      <w:r w:rsidR="003052AE" w:rsidRPr="000A53C0">
        <w:rPr>
          <w:rFonts w:cs="Arial"/>
        </w:rPr>
        <w:t xml:space="preserve">debilitating disease in </w:t>
      </w:r>
      <w:r w:rsidR="00FA44D2" w:rsidRPr="000A53C0">
        <w:rPr>
          <w:rFonts w:cs="Arial"/>
        </w:rPr>
        <w:t xml:space="preserve">young </w:t>
      </w:r>
      <w:r w:rsidR="00204FBD" w:rsidRPr="000A53C0">
        <w:rPr>
          <w:rFonts w:cs="Arial"/>
        </w:rPr>
        <w:t xml:space="preserve">engineered stone </w:t>
      </w:r>
      <w:r w:rsidR="003052AE" w:rsidRPr="000A53C0">
        <w:rPr>
          <w:rFonts w:cs="Arial"/>
        </w:rPr>
        <w:t>workers</w:t>
      </w:r>
      <w:r w:rsidR="00FA44D2" w:rsidRPr="000A53C0">
        <w:rPr>
          <w:rFonts w:cs="Arial"/>
        </w:rPr>
        <w:t xml:space="preserve">, the majority </w:t>
      </w:r>
      <w:r w:rsidR="00EB2133" w:rsidRPr="000A53C0">
        <w:rPr>
          <w:rFonts w:cs="Arial"/>
        </w:rPr>
        <w:t xml:space="preserve">of which are under </w:t>
      </w:r>
      <w:r w:rsidR="004C2785" w:rsidRPr="000A53C0">
        <w:rPr>
          <w:rFonts w:cs="Arial"/>
        </w:rPr>
        <w:t>35</w:t>
      </w:r>
      <w:r w:rsidR="00EB2133" w:rsidRPr="000A53C0">
        <w:rPr>
          <w:rFonts w:cs="Arial"/>
        </w:rPr>
        <w:t>.</w:t>
      </w:r>
    </w:p>
    <w:p w14:paraId="3C3A4F2A" w14:textId="45BF9C6C" w:rsidR="00770F3D" w:rsidRPr="000A53C0" w:rsidRDefault="00770F3D" w:rsidP="003B6B92">
      <w:pPr>
        <w:pStyle w:val="BodyText"/>
        <w:rPr>
          <w:rFonts w:cs="Arial"/>
        </w:rPr>
      </w:pPr>
      <w:r w:rsidRPr="000A53C0">
        <w:rPr>
          <w:rFonts w:cs="Arial"/>
        </w:rPr>
        <w:t>When engineered stone is processed, the dust generated contains higher levels of RCS</w:t>
      </w:r>
      <w:r w:rsidR="00C0436B" w:rsidRPr="000A53C0">
        <w:rPr>
          <w:rFonts w:cs="Arial"/>
        </w:rPr>
        <w:t>, and that</w:t>
      </w:r>
      <w:r w:rsidRPr="000A53C0">
        <w:rPr>
          <w:rFonts w:cs="Arial"/>
        </w:rPr>
        <w:t xml:space="preserve"> RCS has different physical and chemical properties</w:t>
      </w:r>
      <w:r w:rsidR="008560E9" w:rsidRPr="000A53C0">
        <w:rPr>
          <w:rFonts w:cs="Arial"/>
        </w:rPr>
        <w:t xml:space="preserve"> </w:t>
      </w:r>
      <w:r w:rsidRPr="000A53C0">
        <w:rPr>
          <w:rFonts w:cs="Arial"/>
        </w:rPr>
        <w:t>that likely contribute to the more rapid and severe disease. There is also evidence to suggest that other components of engineered stone may contribute to the toxic effects of engineered stone dust, either alone or by exacerbating the effects of RCS.</w:t>
      </w:r>
      <w:r w:rsidR="00C0436B" w:rsidRPr="000A53C0">
        <w:rPr>
          <w:rFonts w:cs="Arial"/>
        </w:rPr>
        <w:t xml:space="preserve"> </w:t>
      </w:r>
    </w:p>
    <w:p w14:paraId="3AB3E6F3" w14:textId="62E0B885" w:rsidR="00CF287F" w:rsidRPr="000A53C0" w:rsidRDefault="00770F3D" w:rsidP="003B6B92">
      <w:pPr>
        <w:pStyle w:val="BodyText"/>
        <w:rPr>
          <w:rFonts w:cs="Arial"/>
        </w:rPr>
      </w:pPr>
      <w:r w:rsidRPr="000A53C0">
        <w:rPr>
          <w:rFonts w:cs="Arial"/>
        </w:rPr>
        <w:t xml:space="preserve">There is no </w:t>
      </w:r>
      <w:r w:rsidR="008560E9" w:rsidRPr="000A53C0">
        <w:rPr>
          <w:rFonts w:cs="Arial"/>
        </w:rPr>
        <w:t>scientific</w:t>
      </w:r>
      <w:r w:rsidRPr="000A53C0">
        <w:rPr>
          <w:rFonts w:cs="Arial"/>
        </w:rPr>
        <w:t xml:space="preserve"> evidence for a ‘safe’ threshold of crystalline silica content in engineered stone. </w:t>
      </w:r>
      <w:r w:rsidR="00CF287F" w:rsidRPr="000A53C0">
        <w:rPr>
          <w:rFonts w:cs="Arial"/>
        </w:rPr>
        <w:t xml:space="preserve">Further, the </w:t>
      </w:r>
      <w:r w:rsidR="007C7539" w:rsidRPr="000A53C0">
        <w:rPr>
          <w:rFonts w:cs="Arial"/>
        </w:rPr>
        <w:t>risks</w:t>
      </w:r>
      <w:r w:rsidR="00CF287F" w:rsidRPr="000A53C0">
        <w:rPr>
          <w:rFonts w:cs="Arial"/>
        </w:rPr>
        <w:t xml:space="preserve"> of the materials used in place of crystalline silica in lower</w:t>
      </w:r>
      <w:r w:rsidR="00B70746" w:rsidRPr="000A53C0">
        <w:rPr>
          <w:rFonts w:cs="Arial"/>
        </w:rPr>
        <w:t xml:space="preserve"> </w:t>
      </w:r>
      <w:r w:rsidR="003C7338" w:rsidRPr="000A53C0">
        <w:rPr>
          <w:rFonts w:cs="Arial"/>
        </w:rPr>
        <w:t xml:space="preserve">silica engineered stone is largely unknown. </w:t>
      </w:r>
      <w:r w:rsidR="001C5A75" w:rsidRPr="000A53C0">
        <w:rPr>
          <w:rFonts w:cs="Arial"/>
        </w:rPr>
        <w:t>Given this, a precautionary approach i</w:t>
      </w:r>
      <w:r w:rsidR="006B3766" w:rsidRPr="000A53C0">
        <w:rPr>
          <w:rFonts w:cs="Arial"/>
        </w:rPr>
        <w:t>s the most appropriate policy response</w:t>
      </w:r>
      <w:r w:rsidR="00DA30C8" w:rsidRPr="000A53C0">
        <w:rPr>
          <w:rFonts w:cs="Arial"/>
        </w:rPr>
        <w:t>.</w:t>
      </w:r>
    </w:p>
    <w:p w14:paraId="1DB89185" w14:textId="6213A5A0" w:rsidR="00C2716E" w:rsidRPr="000A53C0" w:rsidRDefault="006C133E" w:rsidP="003B6B92">
      <w:pPr>
        <w:pStyle w:val="BodyText"/>
        <w:rPr>
          <w:rFonts w:cs="Arial"/>
        </w:rPr>
      </w:pPr>
      <w:r w:rsidRPr="000A53C0">
        <w:rPr>
          <w:rFonts w:cs="Arial"/>
        </w:rPr>
        <w:t xml:space="preserve">In addition to the inherent properties of </w:t>
      </w:r>
      <w:r w:rsidR="00E504D2" w:rsidRPr="000A53C0">
        <w:rPr>
          <w:rFonts w:cs="Arial"/>
        </w:rPr>
        <w:t>engineered st</w:t>
      </w:r>
      <w:r w:rsidR="003E1725" w:rsidRPr="000A53C0">
        <w:rPr>
          <w:rFonts w:cs="Arial"/>
        </w:rPr>
        <w:t>on</w:t>
      </w:r>
      <w:r w:rsidR="00E504D2" w:rsidRPr="000A53C0">
        <w:rPr>
          <w:rFonts w:cs="Arial"/>
        </w:rPr>
        <w:t>e and RCS, t</w:t>
      </w:r>
      <w:r w:rsidR="008560E9" w:rsidRPr="000A53C0">
        <w:rPr>
          <w:rFonts w:cs="Arial"/>
        </w:rPr>
        <w:t>he re-emergence of silicosis in engineered stone workers is also due to a failure of compliance with existing WHS laws</w:t>
      </w:r>
      <w:r w:rsidR="00E504D2" w:rsidRPr="000A53C0">
        <w:rPr>
          <w:rFonts w:cs="Arial"/>
        </w:rPr>
        <w:t>. I</w:t>
      </w:r>
      <w:r w:rsidR="00D14DC0" w:rsidRPr="000A53C0">
        <w:rPr>
          <w:rFonts w:cs="Arial"/>
        </w:rPr>
        <w:t xml:space="preserve">mporters, manufacturers and suppliers </w:t>
      </w:r>
      <w:r w:rsidR="001113EE" w:rsidRPr="000A53C0">
        <w:rPr>
          <w:rFonts w:cs="Arial"/>
        </w:rPr>
        <w:t xml:space="preserve">in the engineered stone industry </w:t>
      </w:r>
      <w:r w:rsidR="008560E9" w:rsidRPr="000A53C0">
        <w:rPr>
          <w:rFonts w:cs="Arial"/>
        </w:rPr>
        <w:t>have not</w:t>
      </w:r>
      <w:r w:rsidR="00D14DC0" w:rsidRPr="000A53C0">
        <w:rPr>
          <w:rFonts w:cs="Arial"/>
        </w:rPr>
        <w:t xml:space="preserve"> provide</w:t>
      </w:r>
      <w:r w:rsidR="008560E9" w:rsidRPr="000A53C0">
        <w:rPr>
          <w:rFonts w:cs="Arial"/>
        </w:rPr>
        <w:t>d</w:t>
      </w:r>
      <w:r w:rsidR="00D14DC0" w:rsidRPr="000A53C0">
        <w:rPr>
          <w:rFonts w:cs="Arial"/>
        </w:rPr>
        <w:t xml:space="preserve"> adequate information on the risks posed by engineered stone</w:t>
      </w:r>
      <w:r w:rsidR="00E504D2" w:rsidRPr="000A53C0">
        <w:rPr>
          <w:rFonts w:cs="Arial"/>
        </w:rPr>
        <w:t xml:space="preserve">. </w:t>
      </w:r>
      <w:r w:rsidR="00FA2286" w:rsidRPr="000A53C0">
        <w:rPr>
          <w:rFonts w:cs="Arial"/>
        </w:rPr>
        <w:t xml:space="preserve">There is </w:t>
      </w:r>
      <w:r w:rsidR="00C039B7" w:rsidRPr="000A53C0">
        <w:rPr>
          <w:rFonts w:cs="Arial"/>
        </w:rPr>
        <w:t>little consistency in the information provided by importers, manufacturers and supplie</w:t>
      </w:r>
      <w:r w:rsidR="00E535CF" w:rsidRPr="000A53C0">
        <w:rPr>
          <w:rFonts w:cs="Arial"/>
        </w:rPr>
        <w:t>r</w:t>
      </w:r>
      <w:r w:rsidR="00C039B7" w:rsidRPr="000A53C0">
        <w:rPr>
          <w:rFonts w:cs="Arial"/>
        </w:rPr>
        <w:t>s about the hazard</w:t>
      </w:r>
      <w:r w:rsidR="00224569" w:rsidRPr="000A53C0">
        <w:rPr>
          <w:rFonts w:cs="Arial"/>
        </w:rPr>
        <w:t>ous</w:t>
      </w:r>
      <w:r w:rsidR="00C039B7" w:rsidRPr="000A53C0">
        <w:rPr>
          <w:rFonts w:cs="Arial"/>
        </w:rPr>
        <w:t xml:space="preserve"> properties of their products. </w:t>
      </w:r>
      <w:r w:rsidR="00F659BC" w:rsidRPr="000A53C0">
        <w:rPr>
          <w:rFonts w:cs="Arial"/>
        </w:rPr>
        <w:t xml:space="preserve">This is likely to cause confusion and uncertainty on the part of </w:t>
      </w:r>
      <w:r w:rsidR="00E535CF" w:rsidRPr="000A53C0">
        <w:rPr>
          <w:rFonts w:cs="Arial"/>
        </w:rPr>
        <w:t>PCBUs</w:t>
      </w:r>
      <w:r w:rsidR="001B2B06" w:rsidRPr="000A53C0">
        <w:rPr>
          <w:rFonts w:cs="Arial"/>
        </w:rPr>
        <w:t xml:space="preserve"> about the nature and extent of the </w:t>
      </w:r>
      <w:r w:rsidR="0025273A" w:rsidRPr="000A53C0">
        <w:rPr>
          <w:rFonts w:cs="Arial"/>
        </w:rPr>
        <w:t xml:space="preserve">health and safety </w:t>
      </w:r>
      <w:r w:rsidR="001B2B06" w:rsidRPr="000A53C0">
        <w:rPr>
          <w:rFonts w:cs="Arial"/>
        </w:rPr>
        <w:t>risks to their workers</w:t>
      </w:r>
      <w:r w:rsidR="00E535CF" w:rsidRPr="000A53C0">
        <w:rPr>
          <w:rFonts w:cs="Arial"/>
        </w:rPr>
        <w:t>.</w:t>
      </w:r>
      <w:r w:rsidR="002B4E49" w:rsidRPr="000A53C0">
        <w:rPr>
          <w:rFonts w:cs="Arial"/>
        </w:rPr>
        <w:t xml:space="preserve"> </w:t>
      </w:r>
    </w:p>
    <w:p w14:paraId="3FF9049A" w14:textId="0449CAA1" w:rsidR="005F127D" w:rsidRPr="000A53C0" w:rsidRDefault="00D14DC0" w:rsidP="003B6B92">
      <w:pPr>
        <w:pStyle w:val="BodyText"/>
        <w:rPr>
          <w:rFonts w:cs="Arial"/>
        </w:rPr>
      </w:pPr>
      <w:r w:rsidRPr="000A53C0">
        <w:rPr>
          <w:rFonts w:cs="Arial"/>
        </w:rPr>
        <w:t xml:space="preserve">PCBUs </w:t>
      </w:r>
      <w:r w:rsidR="008560E9" w:rsidRPr="000A53C0">
        <w:rPr>
          <w:rFonts w:cs="Arial"/>
        </w:rPr>
        <w:t>have not done</w:t>
      </w:r>
      <w:r w:rsidRPr="000A53C0">
        <w:rPr>
          <w:rFonts w:cs="Arial"/>
        </w:rPr>
        <w:t xml:space="preserve"> all that is reasonably practicable to eliminate or minimise </w:t>
      </w:r>
      <w:r w:rsidR="001113EE" w:rsidRPr="000A53C0">
        <w:rPr>
          <w:rFonts w:cs="Arial"/>
        </w:rPr>
        <w:t>those</w:t>
      </w:r>
      <w:r w:rsidRPr="000A53C0">
        <w:rPr>
          <w:rFonts w:cs="Arial"/>
        </w:rPr>
        <w:t xml:space="preserve"> risks</w:t>
      </w:r>
      <w:r w:rsidR="00E504D2" w:rsidRPr="000A53C0">
        <w:rPr>
          <w:rFonts w:cs="Arial"/>
        </w:rPr>
        <w:t xml:space="preserve">, and </w:t>
      </w:r>
      <w:r w:rsidR="001B44C4" w:rsidRPr="000A53C0">
        <w:rPr>
          <w:rFonts w:cs="Arial"/>
        </w:rPr>
        <w:t xml:space="preserve">workers </w:t>
      </w:r>
      <w:r w:rsidR="008560E9" w:rsidRPr="000A53C0">
        <w:rPr>
          <w:rFonts w:cs="Arial"/>
        </w:rPr>
        <w:t>have not</w:t>
      </w:r>
      <w:r w:rsidRPr="000A53C0">
        <w:rPr>
          <w:rFonts w:cs="Arial"/>
        </w:rPr>
        <w:t xml:space="preserve"> take</w:t>
      </w:r>
      <w:r w:rsidR="008560E9" w:rsidRPr="000A53C0">
        <w:rPr>
          <w:rFonts w:cs="Arial"/>
        </w:rPr>
        <w:t>n</w:t>
      </w:r>
      <w:r w:rsidRPr="000A53C0">
        <w:rPr>
          <w:rFonts w:cs="Arial"/>
        </w:rPr>
        <w:t xml:space="preserve"> reasonable care for their own health and safety</w:t>
      </w:r>
      <w:r w:rsidR="008560E9" w:rsidRPr="000A53C0">
        <w:rPr>
          <w:rFonts w:cs="Arial"/>
        </w:rPr>
        <w:t xml:space="preserve"> and that of others</w:t>
      </w:r>
      <w:r w:rsidR="005F127D" w:rsidRPr="000A53C0">
        <w:rPr>
          <w:rFonts w:cs="Arial"/>
        </w:rPr>
        <w:t xml:space="preserve">. Finally, </w:t>
      </w:r>
      <w:r w:rsidR="001B44C4" w:rsidRPr="000A53C0">
        <w:rPr>
          <w:rFonts w:cs="Arial"/>
        </w:rPr>
        <w:t xml:space="preserve">there </w:t>
      </w:r>
      <w:r w:rsidR="008560E9" w:rsidRPr="000A53C0">
        <w:rPr>
          <w:rFonts w:cs="Arial"/>
        </w:rPr>
        <w:t xml:space="preserve">has been insufficient compliance and enforcement </w:t>
      </w:r>
      <w:r w:rsidR="00377EF1" w:rsidRPr="000A53C0">
        <w:rPr>
          <w:rFonts w:cs="Arial"/>
        </w:rPr>
        <w:t xml:space="preserve">actions </w:t>
      </w:r>
      <w:r w:rsidR="008560E9" w:rsidRPr="000A53C0">
        <w:rPr>
          <w:rFonts w:cs="Arial"/>
        </w:rPr>
        <w:t xml:space="preserve">by WHS </w:t>
      </w:r>
      <w:r w:rsidR="008013D9" w:rsidRPr="000A53C0">
        <w:rPr>
          <w:rFonts w:cs="Arial"/>
        </w:rPr>
        <w:t>regulators</w:t>
      </w:r>
      <w:r w:rsidR="005F127D" w:rsidRPr="000A53C0">
        <w:rPr>
          <w:rFonts w:cs="Arial"/>
        </w:rPr>
        <w:t xml:space="preserve"> to </w:t>
      </w:r>
      <w:r w:rsidR="00671398">
        <w:rPr>
          <w:rFonts w:cs="Arial"/>
        </w:rPr>
        <w:t>drive</w:t>
      </w:r>
      <w:r w:rsidR="005F127D" w:rsidRPr="000A53C0">
        <w:rPr>
          <w:rFonts w:cs="Arial"/>
        </w:rPr>
        <w:t xml:space="preserve"> </w:t>
      </w:r>
      <w:r w:rsidR="00BA41D0" w:rsidRPr="000A53C0">
        <w:rPr>
          <w:rFonts w:cs="Arial"/>
        </w:rPr>
        <w:t xml:space="preserve">behaviour </w:t>
      </w:r>
      <w:r w:rsidR="005F127D" w:rsidRPr="000A53C0">
        <w:rPr>
          <w:rFonts w:cs="Arial"/>
        </w:rPr>
        <w:t>change</w:t>
      </w:r>
      <w:r w:rsidR="00BA41D0" w:rsidRPr="000A53C0">
        <w:rPr>
          <w:rFonts w:cs="Arial"/>
        </w:rPr>
        <w:t xml:space="preserve"> in the </w:t>
      </w:r>
      <w:r w:rsidR="00FA2286" w:rsidRPr="000A53C0">
        <w:rPr>
          <w:rFonts w:cs="Arial"/>
        </w:rPr>
        <w:t>sector</w:t>
      </w:r>
      <w:r w:rsidRPr="000A53C0">
        <w:rPr>
          <w:rFonts w:cs="Arial"/>
        </w:rPr>
        <w:t xml:space="preserve">. </w:t>
      </w:r>
    </w:p>
    <w:p w14:paraId="78D6BD64" w14:textId="0BA775ED" w:rsidR="00BD45CE" w:rsidRPr="000A53C0" w:rsidRDefault="005F127D" w:rsidP="003B6B92">
      <w:pPr>
        <w:pStyle w:val="BodyText"/>
        <w:rPr>
          <w:rFonts w:cs="Arial"/>
        </w:rPr>
      </w:pPr>
      <w:r w:rsidRPr="000A53C0">
        <w:rPr>
          <w:rFonts w:cs="Arial"/>
        </w:rPr>
        <w:t>The</w:t>
      </w:r>
      <w:r w:rsidR="002F4473" w:rsidRPr="000A53C0">
        <w:rPr>
          <w:rFonts w:cs="Arial"/>
        </w:rPr>
        <w:t xml:space="preserve"> </w:t>
      </w:r>
      <w:r w:rsidR="00C36DDB" w:rsidRPr="000A53C0">
        <w:rPr>
          <w:rFonts w:cs="Arial"/>
        </w:rPr>
        <w:t>increased risk</w:t>
      </w:r>
      <w:r w:rsidR="00312169">
        <w:rPr>
          <w:rFonts w:cs="Arial"/>
        </w:rPr>
        <w:t>s</w:t>
      </w:r>
      <w:r w:rsidR="00C36DDB" w:rsidRPr="000A53C0">
        <w:rPr>
          <w:rFonts w:cs="Arial"/>
        </w:rPr>
        <w:t xml:space="preserve"> </w:t>
      </w:r>
      <w:r w:rsidR="00251E8A">
        <w:rPr>
          <w:rFonts w:cs="Arial"/>
        </w:rPr>
        <w:t>posed by</w:t>
      </w:r>
      <w:r w:rsidR="009B5900" w:rsidRPr="000A53C0">
        <w:rPr>
          <w:rFonts w:cs="Arial"/>
        </w:rPr>
        <w:t xml:space="preserve"> RCS from engineered stone, </w:t>
      </w:r>
      <w:r w:rsidR="003E1725" w:rsidRPr="000A53C0">
        <w:rPr>
          <w:rFonts w:cs="Arial"/>
        </w:rPr>
        <w:t>i</w:t>
      </w:r>
      <w:r w:rsidR="009B5900" w:rsidRPr="000A53C0">
        <w:rPr>
          <w:rFonts w:cs="Arial"/>
        </w:rPr>
        <w:t xml:space="preserve">ncreased </w:t>
      </w:r>
      <w:r w:rsidR="002F4473" w:rsidRPr="000A53C0">
        <w:rPr>
          <w:rFonts w:cs="Arial"/>
        </w:rPr>
        <w:t xml:space="preserve">rate of </w:t>
      </w:r>
      <w:r w:rsidR="009B5900" w:rsidRPr="000A53C0">
        <w:rPr>
          <w:rFonts w:cs="Arial"/>
        </w:rPr>
        <w:t>silicosis diagnosis amongst engineered stone workers</w:t>
      </w:r>
      <w:r w:rsidRPr="000A53C0">
        <w:rPr>
          <w:rFonts w:cs="Arial"/>
        </w:rPr>
        <w:t xml:space="preserve">, and the faster </w:t>
      </w:r>
      <w:r w:rsidR="000F510B" w:rsidRPr="000A53C0">
        <w:rPr>
          <w:rFonts w:cs="Arial"/>
        </w:rPr>
        <w:t>and more severe disease progression amongst this group</w:t>
      </w:r>
      <w:r w:rsidRPr="000A53C0">
        <w:rPr>
          <w:rFonts w:cs="Arial"/>
        </w:rPr>
        <w:t xml:space="preserve">, combined with </w:t>
      </w:r>
      <w:r w:rsidR="00E771A4" w:rsidRPr="000A53C0">
        <w:rPr>
          <w:rFonts w:cs="Arial"/>
        </w:rPr>
        <w:t>a</w:t>
      </w:r>
      <w:r w:rsidR="000F510B" w:rsidRPr="000A53C0">
        <w:rPr>
          <w:rFonts w:cs="Arial"/>
        </w:rPr>
        <w:t xml:space="preserve"> multi-faceted failure of this industry to comply </w:t>
      </w:r>
      <w:r w:rsidR="00E771A4" w:rsidRPr="000A53C0">
        <w:rPr>
          <w:rFonts w:cs="Arial"/>
        </w:rPr>
        <w:t xml:space="preserve">with the </w:t>
      </w:r>
      <w:r w:rsidR="00E35D93" w:rsidRPr="000A53C0">
        <w:rPr>
          <w:rFonts w:cs="Arial"/>
        </w:rPr>
        <w:t xml:space="preserve">model </w:t>
      </w:r>
      <w:r w:rsidR="00E771A4" w:rsidRPr="000A53C0">
        <w:rPr>
          <w:rFonts w:cs="Arial"/>
        </w:rPr>
        <w:t xml:space="preserve">WHS </w:t>
      </w:r>
      <w:r w:rsidR="00E35D93" w:rsidRPr="000A53C0">
        <w:rPr>
          <w:rFonts w:cs="Arial"/>
        </w:rPr>
        <w:t>laws</w:t>
      </w:r>
      <w:r w:rsidRPr="000A53C0">
        <w:rPr>
          <w:rFonts w:cs="Arial"/>
        </w:rPr>
        <w:t xml:space="preserve"> means that </w:t>
      </w:r>
      <w:r w:rsidR="008B22D6" w:rsidRPr="000A53C0">
        <w:rPr>
          <w:rFonts w:cs="Arial"/>
        </w:rPr>
        <w:t>continued</w:t>
      </w:r>
      <w:r w:rsidR="007B1648" w:rsidRPr="000A53C0">
        <w:rPr>
          <w:rFonts w:cs="Arial"/>
        </w:rPr>
        <w:t xml:space="preserve"> work with engineered stone poses an unacceptable risk to workers</w:t>
      </w:r>
      <w:r w:rsidR="00DA7112" w:rsidRPr="000A53C0">
        <w:rPr>
          <w:rFonts w:cs="Arial"/>
        </w:rPr>
        <w:t>.</w:t>
      </w:r>
      <w:r w:rsidR="00E771A4" w:rsidRPr="000A53C0">
        <w:rPr>
          <w:rFonts w:cs="Arial"/>
        </w:rPr>
        <w:t xml:space="preserve"> The use of all engineered stone should be prohibited. </w:t>
      </w:r>
    </w:p>
    <w:p w14:paraId="3DC80EAE" w14:textId="2E753B2E" w:rsidR="00427F7A" w:rsidRPr="000A53C0" w:rsidRDefault="00543BFE" w:rsidP="00514CCB">
      <w:pPr>
        <w:pStyle w:val="Heading2numbered"/>
      </w:pPr>
      <w:bookmarkStart w:id="167" w:name="_Toc142991351"/>
      <w:r w:rsidRPr="000A53C0">
        <w:t>Why are other options not preferred?</w:t>
      </w:r>
      <w:bookmarkEnd w:id="167"/>
    </w:p>
    <w:p w14:paraId="2EB00437" w14:textId="4E0823BA" w:rsidR="00E20CD8" w:rsidRPr="000A53C0" w:rsidRDefault="00E20CD8" w:rsidP="001B44C4">
      <w:pPr>
        <w:pStyle w:val="IAListbullet2"/>
        <w:numPr>
          <w:ilvl w:val="0"/>
          <w:numId w:val="0"/>
        </w:numPr>
        <w:rPr>
          <w:rFonts w:cs="Arial"/>
        </w:rPr>
      </w:pPr>
      <w:r w:rsidRPr="000A53C0">
        <w:rPr>
          <w:rFonts w:cs="Arial"/>
        </w:rPr>
        <w:t>A lower silica content engineered stone is not expected to result in improvements in compliance. The features of the sector that have contributed to the current levels of non-compliance remain</w:t>
      </w:r>
      <w:r w:rsidR="0047549D" w:rsidRPr="000A53C0">
        <w:rPr>
          <w:rFonts w:cs="Arial"/>
        </w:rPr>
        <w:t xml:space="preserve"> – </w:t>
      </w:r>
      <w:r w:rsidR="00DC40DC" w:rsidRPr="000A53C0">
        <w:rPr>
          <w:rFonts w:cs="Arial"/>
        </w:rPr>
        <w:t xml:space="preserve">the sector is </w:t>
      </w:r>
      <w:r w:rsidR="00DC40DC" w:rsidRPr="000A53C0">
        <w:rPr>
          <w:rFonts w:cs="Arial"/>
        </w:rPr>
        <w:lastRenderedPageBreak/>
        <w:t>comprised of mostly small businesses with few barriers to entry</w:t>
      </w:r>
      <w:r w:rsidR="00251E8A">
        <w:rPr>
          <w:rFonts w:cs="Arial"/>
        </w:rPr>
        <w:t xml:space="preserve"> and</w:t>
      </w:r>
      <w:r w:rsidR="00025557" w:rsidRPr="000A53C0">
        <w:rPr>
          <w:rFonts w:cs="Arial"/>
        </w:rPr>
        <w:t xml:space="preserve"> </w:t>
      </w:r>
      <w:r w:rsidR="005D0A34" w:rsidRPr="000A53C0">
        <w:rPr>
          <w:rFonts w:cs="Arial"/>
        </w:rPr>
        <w:t xml:space="preserve">a </w:t>
      </w:r>
      <w:r w:rsidR="00251E8A">
        <w:rPr>
          <w:rFonts w:cs="Arial"/>
        </w:rPr>
        <w:t>lower understanding of WHS obligations</w:t>
      </w:r>
      <w:r w:rsidR="008450E0" w:rsidRPr="000A53C0">
        <w:rPr>
          <w:rFonts w:cs="Arial"/>
        </w:rPr>
        <w:t>.</w:t>
      </w:r>
      <w:r w:rsidRPr="000A53C0">
        <w:rPr>
          <w:rFonts w:cs="Arial"/>
        </w:rPr>
        <w:t xml:space="preserve"> In fact, permitting work with lower silica engineered stone may encourage even greater non-compliance with WHS laws as there may be an incorrect perception that these products are ‘safer’. </w:t>
      </w:r>
    </w:p>
    <w:p w14:paraId="4310C8E4" w14:textId="77777777" w:rsidR="00C744CF" w:rsidRPr="000A53C0" w:rsidRDefault="002D7DA2" w:rsidP="00D909B1">
      <w:pPr>
        <w:pStyle w:val="BodyText"/>
        <w:rPr>
          <w:rFonts w:cs="Arial"/>
        </w:rPr>
      </w:pPr>
      <w:r w:rsidRPr="000A53C0">
        <w:rPr>
          <w:rFonts w:cs="Arial"/>
        </w:rPr>
        <w:t>There is no evidence that lower silica engineered stone poses less risk to worker health and safety</w:t>
      </w:r>
      <w:r w:rsidR="00FE2824" w:rsidRPr="000A53C0">
        <w:rPr>
          <w:rFonts w:cs="Arial"/>
        </w:rPr>
        <w:t xml:space="preserve"> than high</w:t>
      </w:r>
      <w:r w:rsidR="0072191A" w:rsidRPr="000A53C0">
        <w:rPr>
          <w:rFonts w:cs="Arial"/>
        </w:rPr>
        <w:t>er</w:t>
      </w:r>
      <w:r w:rsidR="00FE2824" w:rsidRPr="000A53C0">
        <w:rPr>
          <w:rFonts w:cs="Arial"/>
        </w:rPr>
        <w:t xml:space="preserve"> silica engineered stone</w:t>
      </w:r>
      <w:r w:rsidRPr="000A53C0">
        <w:rPr>
          <w:rFonts w:cs="Arial"/>
        </w:rPr>
        <w:t xml:space="preserve">. </w:t>
      </w:r>
      <w:r w:rsidR="00FE2824" w:rsidRPr="000A53C0">
        <w:rPr>
          <w:rFonts w:cs="Arial"/>
        </w:rPr>
        <w:t xml:space="preserve">There is no toxicological evidence for a ‘safe’ threshold of crystalline silica content, or that the other components of lower silica engineered stone products (e.g. amorphous silica </w:t>
      </w:r>
      <w:r w:rsidR="00F7597F" w:rsidRPr="000A53C0">
        <w:rPr>
          <w:rFonts w:cs="Arial"/>
        </w:rPr>
        <w:t>from</w:t>
      </w:r>
      <w:r w:rsidR="00FE2824" w:rsidRPr="000A53C0">
        <w:rPr>
          <w:rFonts w:cs="Arial"/>
        </w:rPr>
        <w:t xml:space="preserve"> recycled glass</w:t>
      </w:r>
      <w:r w:rsidR="00F7597F" w:rsidRPr="000A53C0">
        <w:rPr>
          <w:rFonts w:cs="Arial"/>
        </w:rPr>
        <w:t xml:space="preserve"> and</w:t>
      </w:r>
      <w:r w:rsidR="00FE2824" w:rsidRPr="000A53C0">
        <w:rPr>
          <w:rFonts w:cs="Arial"/>
        </w:rPr>
        <w:t xml:space="preserve"> feldspar) do not pose additional risks to worker health. </w:t>
      </w:r>
      <w:r w:rsidRPr="000A53C0">
        <w:rPr>
          <w:rFonts w:cs="Arial"/>
        </w:rPr>
        <w:t xml:space="preserve">Manufacturers have not yet established (through independent scientific evidence) that these products are without risks to the health and safety of persons, as required by the model WHS laws. </w:t>
      </w:r>
    </w:p>
    <w:p w14:paraId="3FA16698" w14:textId="5B4665D2" w:rsidR="00DB1C7D" w:rsidRPr="000A53C0" w:rsidRDefault="002D7DA2" w:rsidP="00D909B1">
      <w:pPr>
        <w:pStyle w:val="BodyText"/>
        <w:rPr>
          <w:rFonts w:cs="Arial"/>
        </w:rPr>
      </w:pPr>
      <w:r w:rsidRPr="000A53C0">
        <w:rPr>
          <w:rFonts w:cs="Arial"/>
        </w:rPr>
        <w:t xml:space="preserve">Given the increased rates of silicosis diagnosis in engineered stone workers, </w:t>
      </w:r>
      <w:r w:rsidR="007D72BD" w:rsidRPr="000A53C0">
        <w:rPr>
          <w:rFonts w:cs="Arial"/>
        </w:rPr>
        <w:t xml:space="preserve">and </w:t>
      </w:r>
      <w:r w:rsidR="00F30A02" w:rsidRPr="000A53C0">
        <w:rPr>
          <w:rFonts w:cs="Arial"/>
        </w:rPr>
        <w:t>a</w:t>
      </w:r>
      <w:r w:rsidR="00141098" w:rsidRPr="000A53C0">
        <w:rPr>
          <w:rFonts w:cs="Arial"/>
        </w:rPr>
        <w:t xml:space="preserve"> lack of</w:t>
      </w:r>
      <w:r w:rsidR="00F30A02" w:rsidRPr="000A53C0">
        <w:rPr>
          <w:rFonts w:cs="Arial"/>
        </w:rPr>
        <w:t xml:space="preserve"> any evidence</w:t>
      </w:r>
      <w:r w:rsidR="00C744CF" w:rsidRPr="000A53C0">
        <w:rPr>
          <w:rFonts w:cs="Arial"/>
        </w:rPr>
        <w:t xml:space="preserve"> that a lower silica content engineered stone is safe</w:t>
      </w:r>
      <w:r w:rsidR="0074703C" w:rsidRPr="000A53C0">
        <w:rPr>
          <w:rFonts w:cs="Arial"/>
        </w:rPr>
        <w:t xml:space="preserve"> to work with, it is not possible to support the continued use of any engineered stone products. Further, </w:t>
      </w:r>
      <w:r w:rsidR="00AB57F5" w:rsidRPr="000A53C0">
        <w:rPr>
          <w:rFonts w:cs="Arial"/>
        </w:rPr>
        <w:t xml:space="preserve">it is imperative that government and industry continue to </w:t>
      </w:r>
      <w:r w:rsidR="00745F78" w:rsidRPr="000A53C0">
        <w:rPr>
          <w:rFonts w:cs="Arial"/>
        </w:rPr>
        <w:t>consider and assess safety risks of new</w:t>
      </w:r>
      <w:r w:rsidR="0031336B" w:rsidRPr="000A53C0">
        <w:rPr>
          <w:rFonts w:cs="Arial"/>
        </w:rPr>
        <w:t xml:space="preserve"> engineered</w:t>
      </w:r>
      <w:r w:rsidR="00420EAA" w:rsidRPr="000A53C0">
        <w:rPr>
          <w:rFonts w:cs="Arial"/>
        </w:rPr>
        <w:t xml:space="preserve"> stone-like products as they come to market.</w:t>
      </w:r>
      <w:r w:rsidR="00FE2824" w:rsidRPr="000A53C0">
        <w:rPr>
          <w:rFonts w:cs="Arial"/>
        </w:rPr>
        <w:t xml:space="preserve"> </w:t>
      </w:r>
      <w:r w:rsidR="00DB1C7D" w:rsidRPr="000A53C0">
        <w:rPr>
          <w:rFonts w:cs="Arial"/>
        </w:rPr>
        <w:br w:type="page"/>
      </w:r>
    </w:p>
    <w:p w14:paraId="32781D32" w14:textId="02C1213E" w:rsidR="00F050F9" w:rsidRPr="000A53C0" w:rsidRDefault="00F050F9" w:rsidP="00A95303">
      <w:pPr>
        <w:pStyle w:val="Heading1numbered"/>
      </w:pPr>
      <w:bookmarkStart w:id="168" w:name="_Ref139550761"/>
      <w:bookmarkStart w:id="169" w:name="_Ref139550771"/>
      <w:bookmarkStart w:id="170" w:name="_Toc142991352"/>
      <w:r w:rsidRPr="000A53C0">
        <w:lastRenderedPageBreak/>
        <w:t xml:space="preserve">Implementation and </w:t>
      </w:r>
      <w:r w:rsidR="007053D9">
        <w:t>e</w:t>
      </w:r>
      <w:r w:rsidRPr="000A53C0">
        <w:t>valuation</w:t>
      </w:r>
      <w:bookmarkEnd w:id="168"/>
      <w:bookmarkEnd w:id="169"/>
      <w:bookmarkEnd w:id="170"/>
    </w:p>
    <w:p w14:paraId="72210AC0" w14:textId="032D80F4" w:rsidR="00C17866" w:rsidRPr="000A53C0" w:rsidRDefault="007A7205" w:rsidP="00514CCB">
      <w:pPr>
        <w:pStyle w:val="Heading2numbered"/>
      </w:pPr>
      <w:bookmarkStart w:id="171" w:name="_Toc142991353"/>
      <w:r w:rsidRPr="000A53C0">
        <w:t>Implementation</w:t>
      </w:r>
      <w:bookmarkEnd w:id="171"/>
    </w:p>
    <w:p w14:paraId="54624353" w14:textId="44C42C15" w:rsidR="00920E46" w:rsidRPr="000A53C0" w:rsidRDefault="00920E46" w:rsidP="00E75FA2">
      <w:pPr>
        <w:pStyle w:val="BodyText"/>
        <w:rPr>
          <w:rFonts w:cs="Arial"/>
        </w:rPr>
      </w:pPr>
      <w:r w:rsidRPr="000A53C0">
        <w:rPr>
          <w:rFonts w:cs="Arial"/>
        </w:rPr>
        <w:t xml:space="preserve">Should WHS ministers agree to the preferred option in this </w:t>
      </w:r>
      <w:r w:rsidR="0054756F" w:rsidRPr="000A53C0">
        <w:rPr>
          <w:rFonts w:cs="Arial"/>
        </w:rPr>
        <w:t>D</w:t>
      </w:r>
      <w:r w:rsidR="00BF4423" w:rsidRPr="000A53C0">
        <w:rPr>
          <w:rFonts w:cs="Arial"/>
        </w:rPr>
        <w:t xml:space="preserve">ecision </w:t>
      </w:r>
      <w:r w:rsidR="0054756F" w:rsidRPr="000A53C0">
        <w:rPr>
          <w:rFonts w:cs="Arial"/>
        </w:rPr>
        <w:t>RIS</w:t>
      </w:r>
      <w:r w:rsidRPr="000A53C0">
        <w:rPr>
          <w:rFonts w:cs="Arial"/>
        </w:rPr>
        <w:t xml:space="preserve"> (Option</w:t>
      </w:r>
      <w:r w:rsidR="00BF4423" w:rsidRPr="000A53C0">
        <w:rPr>
          <w:rFonts w:cs="Arial"/>
        </w:rPr>
        <w:t xml:space="preserve"> 1</w:t>
      </w:r>
      <w:r w:rsidRPr="000A53C0">
        <w:rPr>
          <w:rFonts w:cs="Arial"/>
        </w:rPr>
        <w:t xml:space="preserve">), the model WHS Regulations will be amended to </w:t>
      </w:r>
      <w:r w:rsidR="00736C0C" w:rsidRPr="000A53C0">
        <w:rPr>
          <w:rFonts w:cs="Arial"/>
        </w:rPr>
        <w:t>introduce a prohibition on the use of all engineered stone</w:t>
      </w:r>
      <w:r w:rsidR="00F74754" w:rsidRPr="000A53C0">
        <w:rPr>
          <w:rFonts w:cs="Arial"/>
        </w:rPr>
        <w:t xml:space="preserve">, with </w:t>
      </w:r>
      <w:r w:rsidR="00E902A7" w:rsidRPr="000A53C0">
        <w:rPr>
          <w:rFonts w:cs="Arial"/>
        </w:rPr>
        <w:t>exemptions</w:t>
      </w:r>
      <w:r w:rsidR="00F74754" w:rsidRPr="000A53C0">
        <w:rPr>
          <w:rFonts w:cs="Arial"/>
        </w:rPr>
        <w:t xml:space="preserve"> for certain work on previous</w:t>
      </w:r>
      <w:r w:rsidR="00DE02D3" w:rsidRPr="000A53C0">
        <w:rPr>
          <w:rFonts w:cs="Arial"/>
        </w:rPr>
        <w:t>ly</w:t>
      </w:r>
      <w:r w:rsidR="00F74754" w:rsidRPr="000A53C0">
        <w:rPr>
          <w:rFonts w:cs="Arial"/>
        </w:rPr>
        <w:t xml:space="preserve"> installed</w:t>
      </w:r>
      <w:r w:rsidR="00E902A7" w:rsidRPr="000A53C0">
        <w:rPr>
          <w:rFonts w:cs="Arial"/>
        </w:rPr>
        <w:t xml:space="preserve"> stone</w:t>
      </w:r>
      <w:r w:rsidR="00961961" w:rsidRPr="000A53C0">
        <w:rPr>
          <w:rFonts w:cs="Arial"/>
        </w:rPr>
        <w:t>.</w:t>
      </w:r>
    </w:p>
    <w:p w14:paraId="63D31B08" w14:textId="2801B467" w:rsidR="00844E88" w:rsidRPr="000A53C0" w:rsidRDefault="00920E46" w:rsidP="00E75FA2">
      <w:pPr>
        <w:pStyle w:val="BodyText"/>
        <w:rPr>
          <w:rFonts w:cs="Arial"/>
        </w:rPr>
      </w:pPr>
      <w:r w:rsidRPr="000A53C0">
        <w:rPr>
          <w:rFonts w:cs="Arial"/>
        </w:rPr>
        <w:t xml:space="preserve">Amendments to the model WHS Regulations will be drafted by the Australasian Parliamentary Counsel’s Committee </w:t>
      </w:r>
      <w:r w:rsidR="00F66667" w:rsidRPr="000A53C0">
        <w:rPr>
          <w:rFonts w:cs="Arial"/>
        </w:rPr>
        <w:t xml:space="preserve">(PCC) </w:t>
      </w:r>
      <w:r w:rsidRPr="000A53C0">
        <w:rPr>
          <w:rFonts w:cs="Arial"/>
        </w:rPr>
        <w:t xml:space="preserve">and once made, published on the Safe Work Australia website. For the amendments to the model WHS Regulations to apply, each jurisdiction will need to </w:t>
      </w:r>
      <w:r w:rsidR="00695D2C" w:rsidRPr="000A53C0">
        <w:rPr>
          <w:rFonts w:cs="Arial"/>
        </w:rPr>
        <w:t xml:space="preserve">implement </w:t>
      </w:r>
      <w:r w:rsidR="00246351" w:rsidRPr="000A53C0">
        <w:rPr>
          <w:rFonts w:cs="Arial"/>
        </w:rPr>
        <w:t xml:space="preserve">them </w:t>
      </w:r>
      <w:r w:rsidR="00695D2C" w:rsidRPr="000A53C0">
        <w:rPr>
          <w:rFonts w:cs="Arial"/>
        </w:rPr>
        <w:t xml:space="preserve">separately through </w:t>
      </w:r>
      <w:r w:rsidRPr="000A53C0">
        <w:rPr>
          <w:rFonts w:cs="Arial"/>
        </w:rPr>
        <w:t>amend</w:t>
      </w:r>
      <w:r w:rsidR="00695D2C" w:rsidRPr="000A53C0">
        <w:rPr>
          <w:rFonts w:cs="Arial"/>
        </w:rPr>
        <w:t>ments to</w:t>
      </w:r>
      <w:r w:rsidRPr="000A53C0">
        <w:rPr>
          <w:rFonts w:cs="Arial"/>
        </w:rPr>
        <w:t xml:space="preserve"> their </w:t>
      </w:r>
      <w:r w:rsidR="00246351" w:rsidRPr="000A53C0">
        <w:rPr>
          <w:rFonts w:cs="Arial"/>
        </w:rPr>
        <w:t>jurisdictional</w:t>
      </w:r>
      <w:r w:rsidRPr="000A53C0">
        <w:rPr>
          <w:rFonts w:cs="Arial"/>
        </w:rPr>
        <w:t xml:space="preserve"> WHS </w:t>
      </w:r>
      <w:r w:rsidR="00246351" w:rsidRPr="000A53C0">
        <w:rPr>
          <w:rFonts w:cs="Arial"/>
        </w:rPr>
        <w:t>R</w:t>
      </w:r>
      <w:r w:rsidRPr="000A53C0">
        <w:rPr>
          <w:rFonts w:cs="Arial"/>
        </w:rPr>
        <w:t xml:space="preserve">egulations. </w:t>
      </w:r>
    </w:p>
    <w:p w14:paraId="47CCB9FB" w14:textId="198F60E3" w:rsidR="00DA6429" w:rsidRPr="000A53C0" w:rsidRDefault="00376365" w:rsidP="00E75FA2">
      <w:pPr>
        <w:pStyle w:val="BodyText"/>
        <w:rPr>
          <w:rFonts w:cs="Arial"/>
        </w:rPr>
      </w:pPr>
      <w:r w:rsidRPr="000A53C0">
        <w:rPr>
          <w:rFonts w:cs="Arial"/>
        </w:rPr>
        <w:t>To avoid</w:t>
      </w:r>
      <w:r w:rsidR="002044A4" w:rsidRPr="000A53C0">
        <w:rPr>
          <w:rFonts w:cs="Arial"/>
        </w:rPr>
        <w:t xml:space="preserve"> </w:t>
      </w:r>
      <w:r w:rsidR="00FD53FC" w:rsidRPr="000A53C0">
        <w:rPr>
          <w:rFonts w:cs="Arial"/>
        </w:rPr>
        <w:t>asynchronous implementation</w:t>
      </w:r>
      <w:r w:rsidR="00415D22" w:rsidRPr="000A53C0">
        <w:rPr>
          <w:rFonts w:cs="Arial"/>
        </w:rPr>
        <w:t xml:space="preserve"> of the changes</w:t>
      </w:r>
      <w:r w:rsidR="006C7A2C" w:rsidRPr="000A53C0">
        <w:rPr>
          <w:rFonts w:cs="Arial"/>
        </w:rPr>
        <w:t xml:space="preserve"> </w:t>
      </w:r>
      <w:r w:rsidR="005C4DCE" w:rsidRPr="000A53C0">
        <w:rPr>
          <w:rFonts w:cs="Arial"/>
        </w:rPr>
        <w:t>across</w:t>
      </w:r>
      <w:r w:rsidR="006C7A2C" w:rsidRPr="000A53C0">
        <w:rPr>
          <w:rFonts w:cs="Arial"/>
        </w:rPr>
        <w:t xml:space="preserve"> jurisdictions</w:t>
      </w:r>
      <w:r w:rsidR="00E27C4C" w:rsidRPr="000A53C0">
        <w:rPr>
          <w:rFonts w:cs="Arial"/>
        </w:rPr>
        <w:t xml:space="preserve">, WHS ministers may wish to consider setting </w:t>
      </w:r>
      <w:r w:rsidR="007D7E76" w:rsidRPr="000A53C0">
        <w:rPr>
          <w:rFonts w:cs="Arial"/>
        </w:rPr>
        <w:t>an implementation date</w:t>
      </w:r>
      <w:r w:rsidR="00D301EB" w:rsidRPr="000A53C0">
        <w:rPr>
          <w:rFonts w:cs="Arial"/>
        </w:rPr>
        <w:t>, noting that this date will need to allow sufficient time for PCC to draft the amendments to the model WHS Regulations</w:t>
      </w:r>
      <w:r w:rsidR="00C24071" w:rsidRPr="000A53C0">
        <w:rPr>
          <w:rFonts w:cs="Arial"/>
        </w:rPr>
        <w:t>,</w:t>
      </w:r>
      <w:r w:rsidR="00D301EB" w:rsidRPr="000A53C0">
        <w:rPr>
          <w:rFonts w:cs="Arial"/>
        </w:rPr>
        <w:t xml:space="preserve"> and for jurisdictions to amend their </w:t>
      </w:r>
      <w:r w:rsidR="00C24071" w:rsidRPr="000A53C0">
        <w:rPr>
          <w:rFonts w:cs="Arial"/>
        </w:rPr>
        <w:t xml:space="preserve">legislation. </w:t>
      </w:r>
    </w:p>
    <w:p w14:paraId="671EF148" w14:textId="5F418177" w:rsidR="002E1715" w:rsidRPr="000A53C0" w:rsidRDefault="00002B9D" w:rsidP="00E75FA2">
      <w:pPr>
        <w:pStyle w:val="BodyText"/>
        <w:rPr>
          <w:rFonts w:cs="Arial"/>
        </w:rPr>
      </w:pPr>
      <w:r w:rsidRPr="000A53C0">
        <w:rPr>
          <w:rFonts w:cs="Arial"/>
        </w:rPr>
        <w:t>A</w:t>
      </w:r>
      <w:r w:rsidR="0075792F" w:rsidRPr="000A53C0">
        <w:rPr>
          <w:rFonts w:cs="Arial"/>
        </w:rPr>
        <w:t xml:space="preserve"> transitional period for i</w:t>
      </w:r>
      <w:r w:rsidR="00F40EE7" w:rsidRPr="000A53C0">
        <w:rPr>
          <w:rFonts w:cs="Arial"/>
        </w:rPr>
        <w:t xml:space="preserve">ndustry </w:t>
      </w:r>
      <w:r w:rsidR="0075792F" w:rsidRPr="000A53C0">
        <w:rPr>
          <w:rFonts w:cs="Arial"/>
        </w:rPr>
        <w:t xml:space="preserve">beyond that required to draft </w:t>
      </w:r>
      <w:r w:rsidRPr="000A53C0">
        <w:rPr>
          <w:rFonts w:cs="Arial"/>
        </w:rPr>
        <w:t>changes to</w:t>
      </w:r>
      <w:r w:rsidR="0075792F" w:rsidRPr="000A53C0">
        <w:rPr>
          <w:rFonts w:cs="Arial"/>
        </w:rPr>
        <w:t xml:space="preserve"> </w:t>
      </w:r>
      <w:r w:rsidRPr="000A53C0">
        <w:rPr>
          <w:rFonts w:cs="Arial"/>
        </w:rPr>
        <w:t xml:space="preserve">the model WHS </w:t>
      </w:r>
      <w:r w:rsidR="00725811">
        <w:rPr>
          <w:rFonts w:cs="Arial"/>
        </w:rPr>
        <w:t>Regulations</w:t>
      </w:r>
      <w:r w:rsidRPr="000A53C0">
        <w:rPr>
          <w:rFonts w:cs="Arial"/>
        </w:rPr>
        <w:t xml:space="preserve"> </w:t>
      </w:r>
      <w:r w:rsidR="0075792F" w:rsidRPr="000A53C0">
        <w:rPr>
          <w:rFonts w:cs="Arial"/>
        </w:rPr>
        <w:t xml:space="preserve">and </w:t>
      </w:r>
      <w:r w:rsidRPr="000A53C0">
        <w:rPr>
          <w:rFonts w:cs="Arial"/>
        </w:rPr>
        <w:t>implement</w:t>
      </w:r>
      <w:r w:rsidR="00376F1F" w:rsidRPr="000A53C0">
        <w:rPr>
          <w:rFonts w:cs="Arial"/>
        </w:rPr>
        <w:t>ation</w:t>
      </w:r>
      <w:r w:rsidR="0075792F" w:rsidRPr="000A53C0">
        <w:rPr>
          <w:rFonts w:cs="Arial"/>
        </w:rPr>
        <w:t xml:space="preserve"> </w:t>
      </w:r>
      <w:r w:rsidRPr="000A53C0">
        <w:rPr>
          <w:rFonts w:cs="Arial"/>
        </w:rPr>
        <w:t>in jurisdictions</w:t>
      </w:r>
      <w:r w:rsidR="0075792F" w:rsidRPr="000A53C0">
        <w:rPr>
          <w:rFonts w:cs="Arial"/>
        </w:rPr>
        <w:t xml:space="preserve"> is not recommended. </w:t>
      </w:r>
      <w:r w:rsidR="002E1715" w:rsidRPr="000A53C0">
        <w:rPr>
          <w:rFonts w:cs="Arial"/>
        </w:rPr>
        <w:t>A prohibition on engineered stone ha</w:t>
      </w:r>
      <w:r w:rsidR="0075792F" w:rsidRPr="000A53C0">
        <w:rPr>
          <w:rFonts w:cs="Arial"/>
        </w:rPr>
        <w:t xml:space="preserve">s been recommended due to the devastating impact </w:t>
      </w:r>
      <w:r w:rsidR="00684DBB" w:rsidRPr="000A53C0">
        <w:rPr>
          <w:rFonts w:cs="Arial"/>
        </w:rPr>
        <w:t xml:space="preserve">that </w:t>
      </w:r>
      <w:r w:rsidR="00B177D7" w:rsidRPr="000A53C0">
        <w:rPr>
          <w:rFonts w:cs="Arial"/>
        </w:rPr>
        <w:t>exposure to RCS from engineered stone can have on workers; and it is not appropriate to delay action</w:t>
      </w:r>
      <w:r w:rsidR="00F40EE7" w:rsidRPr="000A53C0">
        <w:rPr>
          <w:rFonts w:cs="Arial"/>
        </w:rPr>
        <w:t>.</w:t>
      </w:r>
      <w:r w:rsidR="00322DB7" w:rsidRPr="000A53C0">
        <w:rPr>
          <w:rFonts w:cs="Arial"/>
        </w:rPr>
        <w:t xml:space="preserve"> The </w:t>
      </w:r>
      <w:r w:rsidR="00F91B88" w:rsidRPr="000A53C0">
        <w:rPr>
          <w:rFonts w:cs="Arial"/>
        </w:rPr>
        <w:t xml:space="preserve">time </w:t>
      </w:r>
      <w:r w:rsidR="00322DB7" w:rsidRPr="000A53C0">
        <w:rPr>
          <w:rFonts w:cs="Arial"/>
        </w:rPr>
        <w:t xml:space="preserve">period </w:t>
      </w:r>
      <w:r w:rsidR="00B212AD" w:rsidRPr="000A53C0">
        <w:rPr>
          <w:rFonts w:cs="Arial"/>
        </w:rPr>
        <w:t>between WHS ministers’ decision and implementation of changes</w:t>
      </w:r>
      <w:r w:rsidR="00322DB7" w:rsidRPr="000A53C0">
        <w:rPr>
          <w:rFonts w:cs="Arial"/>
        </w:rPr>
        <w:t xml:space="preserve"> </w:t>
      </w:r>
      <w:r w:rsidR="00B212AD" w:rsidRPr="000A53C0">
        <w:rPr>
          <w:rFonts w:cs="Arial"/>
        </w:rPr>
        <w:t>in jurisdictional WHS laws</w:t>
      </w:r>
      <w:r w:rsidR="00322DB7" w:rsidRPr="000A53C0">
        <w:rPr>
          <w:rFonts w:cs="Arial"/>
        </w:rPr>
        <w:t xml:space="preserve"> </w:t>
      </w:r>
      <w:r w:rsidR="00B212AD" w:rsidRPr="000A53C0">
        <w:rPr>
          <w:rFonts w:cs="Arial"/>
        </w:rPr>
        <w:t>will</w:t>
      </w:r>
      <w:r w:rsidR="00322DB7" w:rsidRPr="000A53C0">
        <w:rPr>
          <w:rFonts w:cs="Arial"/>
        </w:rPr>
        <w:t xml:space="preserve"> act as a notification period for PCBUs, workers and consumers.</w:t>
      </w:r>
    </w:p>
    <w:p w14:paraId="642946AC" w14:textId="3DCC0E4D" w:rsidR="003601B8" w:rsidRPr="000A53C0" w:rsidRDefault="00DA6429" w:rsidP="00E75FA2">
      <w:pPr>
        <w:pStyle w:val="BodyText"/>
        <w:rPr>
          <w:rFonts w:cs="Arial"/>
        </w:rPr>
      </w:pPr>
      <w:r w:rsidRPr="000A53C0">
        <w:rPr>
          <w:rFonts w:cs="Arial"/>
        </w:rPr>
        <w:t xml:space="preserve">As </w:t>
      </w:r>
      <w:r w:rsidR="00920E46" w:rsidRPr="000A53C0">
        <w:rPr>
          <w:rFonts w:cs="Arial"/>
        </w:rPr>
        <w:t>is usual practice for Safe Work Australia, communications and guidance materials will be developed to assist stakeholders to understand how the amendments to the model WHS Regulations affect them.</w:t>
      </w:r>
      <w:r w:rsidR="006A4F27" w:rsidRPr="000A53C0">
        <w:rPr>
          <w:rFonts w:cs="Arial"/>
        </w:rPr>
        <w:t xml:space="preserve"> Th</w:t>
      </w:r>
      <w:r w:rsidR="00450185" w:rsidRPr="000A53C0">
        <w:rPr>
          <w:rFonts w:cs="Arial"/>
        </w:rPr>
        <w:t xml:space="preserve">ese materials </w:t>
      </w:r>
      <w:r w:rsidR="00376309" w:rsidRPr="000A53C0">
        <w:rPr>
          <w:rFonts w:cs="Arial"/>
        </w:rPr>
        <w:t>could</w:t>
      </w:r>
      <w:r w:rsidR="006A4F27" w:rsidRPr="000A53C0">
        <w:rPr>
          <w:rFonts w:cs="Arial"/>
        </w:rPr>
        <w:t xml:space="preserve"> </w:t>
      </w:r>
      <w:r w:rsidR="00450185" w:rsidRPr="000A53C0">
        <w:rPr>
          <w:rFonts w:cs="Arial"/>
        </w:rPr>
        <w:t xml:space="preserve">be developed </w:t>
      </w:r>
      <w:r w:rsidR="006A4F27" w:rsidRPr="000A53C0">
        <w:rPr>
          <w:rFonts w:cs="Arial"/>
        </w:rPr>
        <w:t xml:space="preserve">prior to </w:t>
      </w:r>
      <w:r w:rsidR="004461BE" w:rsidRPr="000A53C0">
        <w:rPr>
          <w:rFonts w:cs="Arial"/>
        </w:rPr>
        <w:t>the amendments being finalised</w:t>
      </w:r>
      <w:r w:rsidR="00A9311E" w:rsidRPr="000A53C0">
        <w:rPr>
          <w:rFonts w:cs="Arial"/>
        </w:rPr>
        <w:t xml:space="preserve">, to assist stakeholders </w:t>
      </w:r>
      <w:r w:rsidRPr="000A53C0">
        <w:rPr>
          <w:rFonts w:cs="Arial"/>
        </w:rPr>
        <w:t>in their preparations</w:t>
      </w:r>
      <w:r w:rsidR="00A9311E" w:rsidRPr="000A53C0">
        <w:rPr>
          <w:rFonts w:cs="Arial"/>
        </w:rPr>
        <w:t>.</w:t>
      </w:r>
    </w:p>
    <w:p w14:paraId="608830B3" w14:textId="03B8B85B" w:rsidR="00F050F9" w:rsidRPr="000A53C0" w:rsidRDefault="00F050F9" w:rsidP="00514CCB">
      <w:pPr>
        <w:pStyle w:val="Heading2numbered"/>
      </w:pPr>
      <w:bookmarkStart w:id="172" w:name="_Toc142991354"/>
      <w:r w:rsidRPr="000A53C0">
        <w:t>Evaluation</w:t>
      </w:r>
      <w:bookmarkEnd w:id="172"/>
    </w:p>
    <w:p w14:paraId="65F68D55" w14:textId="31776740" w:rsidR="00CE06A5" w:rsidRPr="000A53C0" w:rsidRDefault="00CE06A5" w:rsidP="00E75FA2">
      <w:pPr>
        <w:pStyle w:val="BodyText"/>
        <w:rPr>
          <w:rStyle w:val="normaltextrun"/>
          <w:rFonts w:cs="Arial"/>
          <w:color w:val="262626"/>
          <w:shd w:val="clear" w:color="auto" w:fill="FFFFFF"/>
        </w:rPr>
      </w:pPr>
      <w:r w:rsidRPr="000A53C0">
        <w:rPr>
          <w:rFonts w:cs="Arial"/>
          <w:lang w:eastAsia="en-AU"/>
        </w:rPr>
        <w:t xml:space="preserve">Evaluation will be undertaken by Safe Work Australia to assess the impact of the preferred option on reducing exposure to RCS </w:t>
      </w:r>
      <w:r w:rsidR="002E1715" w:rsidRPr="000A53C0">
        <w:rPr>
          <w:rFonts w:cs="Arial"/>
          <w:lang w:eastAsia="en-AU"/>
        </w:rPr>
        <w:t>from engineered stone</w:t>
      </w:r>
      <w:r w:rsidR="00A8754A" w:rsidRPr="000A53C0">
        <w:rPr>
          <w:rFonts w:cs="Arial"/>
        </w:rPr>
        <w:t xml:space="preserve"> and </w:t>
      </w:r>
      <w:r w:rsidR="00A8754A" w:rsidRPr="000A53C0">
        <w:rPr>
          <w:rFonts w:cs="Arial"/>
          <w:lang w:eastAsia="en-AU"/>
        </w:rPr>
        <w:t>eliminating silicosis and other silica-related diseases in engineered stone workers</w:t>
      </w:r>
      <w:r w:rsidRPr="000A53C0">
        <w:rPr>
          <w:rFonts w:cs="Arial"/>
          <w:lang w:eastAsia="en-AU"/>
        </w:rPr>
        <w:t>.</w:t>
      </w:r>
    </w:p>
    <w:p w14:paraId="46A3AE29" w14:textId="1F766453" w:rsidR="00AD1858" w:rsidRPr="000A53C0" w:rsidRDefault="00AD1858" w:rsidP="00514CCB">
      <w:pPr>
        <w:pStyle w:val="Heading3numbered"/>
      </w:pPr>
      <w:r w:rsidRPr="000A53C0">
        <w:t xml:space="preserve">Reducing exposure to RCS </w:t>
      </w:r>
      <w:r w:rsidR="00A8754A" w:rsidRPr="000A53C0">
        <w:t>in</w:t>
      </w:r>
      <w:r w:rsidRPr="000A53C0">
        <w:t xml:space="preserve"> engineered stone</w:t>
      </w:r>
      <w:r w:rsidR="00A8754A" w:rsidRPr="000A53C0">
        <w:t xml:space="preserve"> workers</w:t>
      </w:r>
      <w:r w:rsidRPr="000A53C0">
        <w:t xml:space="preserve"> </w:t>
      </w:r>
    </w:p>
    <w:p w14:paraId="2152D069" w14:textId="2F1BEDD8" w:rsidR="0030296C" w:rsidRPr="000A53C0" w:rsidRDefault="00252259">
      <w:pPr>
        <w:spacing w:after="120" w:line="264" w:lineRule="auto"/>
        <w:rPr>
          <w:rFonts w:cs="Arial"/>
        </w:rPr>
      </w:pPr>
      <w:r w:rsidRPr="000A53C0">
        <w:rPr>
          <w:rFonts w:cs="Arial"/>
        </w:rPr>
        <w:t>Under the preferred option</w:t>
      </w:r>
      <w:r w:rsidR="00EA0343" w:rsidRPr="000A53C0">
        <w:rPr>
          <w:rFonts w:cs="Arial"/>
        </w:rPr>
        <w:t xml:space="preserve">, </w:t>
      </w:r>
      <w:r w:rsidR="0030296C" w:rsidRPr="000A53C0">
        <w:rPr>
          <w:rFonts w:cs="Arial"/>
        </w:rPr>
        <w:t>former fabricators and installers of engineered stone will no longer be exposed to RCS. T</w:t>
      </w:r>
      <w:r w:rsidR="00EA0343" w:rsidRPr="000A53C0">
        <w:rPr>
          <w:rFonts w:cs="Arial"/>
        </w:rPr>
        <w:t xml:space="preserve">he only work permitted to be undertaken with engineered stone will be for the repair, modification or removal of </w:t>
      </w:r>
      <w:r w:rsidR="007C0DC1" w:rsidRPr="000A53C0">
        <w:rPr>
          <w:rFonts w:cs="Arial"/>
        </w:rPr>
        <w:t xml:space="preserve">engineered stone already installed. </w:t>
      </w:r>
    </w:p>
    <w:p w14:paraId="7A529E82" w14:textId="5FF704FB" w:rsidR="00A8754A" w:rsidRPr="000A53C0" w:rsidRDefault="00CB1B42">
      <w:pPr>
        <w:spacing w:after="120" w:line="264" w:lineRule="auto"/>
        <w:rPr>
          <w:rFonts w:cs="Arial"/>
        </w:rPr>
      </w:pPr>
      <w:r w:rsidRPr="000A53C0">
        <w:rPr>
          <w:rFonts w:cs="Arial"/>
        </w:rPr>
        <w:t xml:space="preserve">Following the decision </w:t>
      </w:r>
      <w:r w:rsidR="00CF0255" w:rsidRPr="000A53C0">
        <w:rPr>
          <w:rFonts w:cs="Arial"/>
        </w:rPr>
        <w:t>by</w:t>
      </w:r>
      <w:r w:rsidRPr="000A53C0">
        <w:rPr>
          <w:rFonts w:cs="Arial"/>
        </w:rPr>
        <w:t xml:space="preserve"> WHS ministers </w:t>
      </w:r>
      <w:r w:rsidR="00CF0255" w:rsidRPr="000A53C0">
        <w:rPr>
          <w:rFonts w:cs="Arial"/>
        </w:rPr>
        <w:t xml:space="preserve">in February 2023 </w:t>
      </w:r>
      <w:r w:rsidRPr="000A53C0">
        <w:rPr>
          <w:rFonts w:cs="Arial"/>
        </w:rPr>
        <w:t xml:space="preserve">to </w:t>
      </w:r>
      <w:r w:rsidR="00094E75" w:rsidRPr="000A53C0">
        <w:rPr>
          <w:rFonts w:cs="Arial"/>
        </w:rPr>
        <w:t xml:space="preserve">introduce </w:t>
      </w:r>
      <w:r w:rsidR="00AD1858" w:rsidRPr="000A53C0">
        <w:rPr>
          <w:rFonts w:cs="Arial"/>
        </w:rPr>
        <w:t>additional regulations of high risk crystalline silica processes</w:t>
      </w:r>
      <w:r w:rsidR="00694312" w:rsidRPr="000A53C0">
        <w:rPr>
          <w:rFonts w:cs="Arial"/>
        </w:rPr>
        <w:t xml:space="preserve">, </w:t>
      </w:r>
      <w:r w:rsidR="008C191C" w:rsidRPr="000A53C0">
        <w:rPr>
          <w:rFonts w:cs="Arial"/>
        </w:rPr>
        <w:t xml:space="preserve">including </w:t>
      </w:r>
      <w:r w:rsidR="00C91E1F" w:rsidRPr="000A53C0">
        <w:rPr>
          <w:rFonts w:cs="Arial"/>
        </w:rPr>
        <w:t>requirements for</w:t>
      </w:r>
      <w:r w:rsidR="008C191C" w:rsidRPr="000A53C0">
        <w:rPr>
          <w:rFonts w:cs="Arial"/>
        </w:rPr>
        <w:t xml:space="preserve"> air and health monitoring</w:t>
      </w:r>
      <w:r w:rsidR="00C91E1F" w:rsidRPr="000A53C0">
        <w:rPr>
          <w:rFonts w:cs="Arial"/>
        </w:rPr>
        <w:t xml:space="preserve">, </w:t>
      </w:r>
      <w:r w:rsidR="00AD1858" w:rsidRPr="000A53C0">
        <w:rPr>
          <w:rFonts w:cs="Arial"/>
        </w:rPr>
        <w:t xml:space="preserve">RCS </w:t>
      </w:r>
      <w:r w:rsidR="00694312" w:rsidRPr="000A53C0">
        <w:rPr>
          <w:rFonts w:cs="Arial"/>
        </w:rPr>
        <w:t xml:space="preserve">exposures </w:t>
      </w:r>
      <w:r w:rsidR="00027E57" w:rsidRPr="000A53C0">
        <w:rPr>
          <w:rFonts w:cs="Arial"/>
        </w:rPr>
        <w:t xml:space="preserve">in these workers </w:t>
      </w:r>
      <w:r w:rsidR="00252259" w:rsidRPr="000A53C0">
        <w:rPr>
          <w:rFonts w:cs="Arial"/>
        </w:rPr>
        <w:t>will be measured by reviewing the air and health monitoring data provided to WHS regulators</w:t>
      </w:r>
      <w:r w:rsidR="00EA612B" w:rsidRPr="000A53C0">
        <w:rPr>
          <w:rFonts w:cs="Arial"/>
        </w:rPr>
        <w:t xml:space="preserve">. RCS exposures in these workers will also be measured by reviewing </w:t>
      </w:r>
      <w:r w:rsidR="00AD1858" w:rsidRPr="000A53C0">
        <w:rPr>
          <w:rFonts w:cs="Arial"/>
        </w:rPr>
        <w:t xml:space="preserve">relevant jurisdictional compliance </w:t>
      </w:r>
      <w:r w:rsidR="00EA612B" w:rsidRPr="000A53C0">
        <w:rPr>
          <w:rFonts w:cs="Arial"/>
        </w:rPr>
        <w:t xml:space="preserve">and enforcement </w:t>
      </w:r>
      <w:r w:rsidR="00AD1858" w:rsidRPr="000A53C0">
        <w:rPr>
          <w:rFonts w:cs="Arial"/>
        </w:rPr>
        <w:t>data</w:t>
      </w:r>
      <w:r w:rsidR="008C191C" w:rsidRPr="000A53C0">
        <w:rPr>
          <w:rFonts w:cs="Arial"/>
        </w:rPr>
        <w:t>.</w:t>
      </w:r>
      <w:r w:rsidR="00AD1858" w:rsidRPr="000A53C0">
        <w:rPr>
          <w:rFonts w:cs="Arial"/>
        </w:rPr>
        <w:t xml:space="preserve"> </w:t>
      </w:r>
    </w:p>
    <w:p w14:paraId="30F261B6" w14:textId="5212D21E" w:rsidR="00A8754A" w:rsidRPr="000A53C0" w:rsidRDefault="00AD1858" w:rsidP="00514CCB">
      <w:pPr>
        <w:pStyle w:val="Heading3numbered"/>
      </w:pPr>
      <w:r w:rsidRPr="000A53C0">
        <w:t xml:space="preserve">Silicosis cases </w:t>
      </w:r>
    </w:p>
    <w:p w14:paraId="4D84BB0F" w14:textId="77777777" w:rsidR="00144000" w:rsidRPr="000A53C0" w:rsidRDefault="00AD1858">
      <w:pPr>
        <w:spacing w:after="120" w:line="264" w:lineRule="auto"/>
        <w:rPr>
          <w:rFonts w:cs="Arial"/>
        </w:rPr>
      </w:pPr>
      <w:bookmarkStart w:id="173" w:name="_Toc106120501"/>
      <w:bookmarkStart w:id="174" w:name="_Toc101019414"/>
      <w:r w:rsidRPr="000A53C0">
        <w:rPr>
          <w:rFonts w:cs="Arial"/>
        </w:rPr>
        <w:t xml:space="preserve">Currently, there are several data sources for silicosis cases – accepted workers’ compensation claims, jurisdictional health screening programs, and state-based dust disease registers. These will continue to be monitored to evaluate the impact of the preferred option on reducing silicosis cases. Once </w:t>
      </w:r>
      <w:r w:rsidRPr="000A53C0">
        <w:rPr>
          <w:rFonts w:cs="Arial"/>
        </w:rPr>
        <w:lastRenderedPageBreak/>
        <w:t xml:space="preserve">operational, the National Occupational Respiratory Disease Register, which will mandate the reporting of all diagnosed silicosis cases in Australia, will be relied upon in place of the state dust disease registries. However, due to the latency from exposure to disease for silicosis (10-30 years), the impacts of the preferred option may take considerable time to be reflected in the number of reported silicosis cases. There are currently no available data sets to monitor for the impacts of the preferred option on other silica-related diseases. However, should these data become available, they will also be included in the evaluation. </w:t>
      </w:r>
    </w:p>
    <w:p w14:paraId="1E571F50" w14:textId="00960AF7" w:rsidR="00144000" w:rsidRPr="000A53C0" w:rsidRDefault="00144000" w:rsidP="00514CCB">
      <w:pPr>
        <w:pStyle w:val="Heading3numbered"/>
      </w:pPr>
      <w:r w:rsidRPr="000A53C0">
        <w:t>Continued review of emerging products</w:t>
      </w:r>
    </w:p>
    <w:p w14:paraId="1B99669B" w14:textId="56CDB6C6" w:rsidR="00144000" w:rsidRPr="000A53C0" w:rsidRDefault="4C50DFC8">
      <w:pPr>
        <w:spacing w:after="120" w:line="264" w:lineRule="auto"/>
        <w:rPr>
          <w:rFonts w:cs="Arial"/>
        </w:rPr>
      </w:pPr>
      <w:r w:rsidRPr="000A53C0">
        <w:rPr>
          <w:rFonts w:cs="Arial"/>
        </w:rPr>
        <w:t xml:space="preserve">Safe Work Australia will continue to review and assess the </w:t>
      </w:r>
      <w:r w:rsidR="43125D4E" w:rsidRPr="000A53C0">
        <w:rPr>
          <w:rFonts w:cs="Arial"/>
        </w:rPr>
        <w:t xml:space="preserve">risk </w:t>
      </w:r>
      <w:r w:rsidRPr="000A53C0">
        <w:rPr>
          <w:rFonts w:cs="Arial"/>
        </w:rPr>
        <w:t>profile of emerging products</w:t>
      </w:r>
      <w:r w:rsidR="00B53B51" w:rsidRPr="000A53C0">
        <w:rPr>
          <w:rFonts w:cs="Arial"/>
        </w:rPr>
        <w:t>. This includes</w:t>
      </w:r>
      <w:r w:rsidRPr="000A53C0">
        <w:rPr>
          <w:rFonts w:cs="Arial"/>
        </w:rPr>
        <w:t xml:space="preserve"> </w:t>
      </w:r>
      <w:r w:rsidR="00FE40BC" w:rsidRPr="000A53C0">
        <w:rPr>
          <w:rFonts w:cs="Arial"/>
        </w:rPr>
        <w:t>products not currently covered by the definition of engineered stone, s</w:t>
      </w:r>
      <w:r w:rsidR="00817BC9" w:rsidRPr="000A53C0">
        <w:rPr>
          <w:rFonts w:cs="Arial"/>
        </w:rPr>
        <w:t>uch</w:t>
      </w:r>
      <w:r w:rsidR="005A5AB6" w:rsidRPr="000A53C0">
        <w:rPr>
          <w:rFonts w:cs="Arial"/>
        </w:rPr>
        <w:t xml:space="preserve"> as</w:t>
      </w:r>
      <w:r w:rsidR="00817BC9" w:rsidRPr="000A53C0">
        <w:rPr>
          <w:rFonts w:cs="Arial"/>
        </w:rPr>
        <w:t xml:space="preserve"> </w:t>
      </w:r>
      <w:r w:rsidRPr="000A53C0">
        <w:rPr>
          <w:rFonts w:cs="Arial"/>
        </w:rPr>
        <w:t xml:space="preserve">porcelain, ceramic, </w:t>
      </w:r>
      <w:r w:rsidR="43125D4E" w:rsidRPr="000A53C0">
        <w:rPr>
          <w:rFonts w:cs="Arial"/>
        </w:rPr>
        <w:t xml:space="preserve">and engineered stone-like products that </w:t>
      </w:r>
      <w:r w:rsidR="00406BB4" w:rsidRPr="000A53C0">
        <w:rPr>
          <w:rFonts w:cs="Arial"/>
        </w:rPr>
        <w:t xml:space="preserve">contain </w:t>
      </w:r>
      <w:r w:rsidR="43125D4E" w:rsidRPr="000A53C0">
        <w:rPr>
          <w:rFonts w:cs="Arial"/>
        </w:rPr>
        <w:t>amorphous silica (recycled glass), feldspar or other products in place of crystalline silica</w:t>
      </w:r>
      <w:r w:rsidRPr="000A53C0">
        <w:rPr>
          <w:rFonts w:cs="Arial"/>
        </w:rPr>
        <w:t xml:space="preserve">. </w:t>
      </w:r>
      <w:r w:rsidR="002601B5" w:rsidRPr="000A53C0">
        <w:rPr>
          <w:rFonts w:cs="Arial"/>
        </w:rPr>
        <w:t xml:space="preserve">As appropriate, </w:t>
      </w:r>
      <w:r w:rsidR="33B30FED" w:rsidRPr="000A53C0">
        <w:rPr>
          <w:rFonts w:cs="Arial"/>
        </w:rPr>
        <w:t xml:space="preserve">Safe Work Australia will make recommendations to WHS ministers on effective ways to manage risks posed by these </w:t>
      </w:r>
      <w:r w:rsidR="3B528F64" w:rsidRPr="000A53C0">
        <w:rPr>
          <w:rFonts w:cs="Arial"/>
        </w:rPr>
        <w:t>products</w:t>
      </w:r>
      <w:r w:rsidR="40046499" w:rsidRPr="000A53C0">
        <w:rPr>
          <w:rFonts w:cs="Arial"/>
        </w:rPr>
        <w:t xml:space="preserve">. </w:t>
      </w:r>
      <w:r w:rsidR="78C20017" w:rsidRPr="000A53C0">
        <w:rPr>
          <w:rFonts w:cs="Arial"/>
        </w:rPr>
        <w:t xml:space="preserve"> </w:t>
      </w:r>
    </w:p>
    <w:p w14:paraId="69BCA635" w14:textId="77777777" w:rsidR="00144000" w:rsidRPr="000A53C0" w:rsidRDefault="00144000">
      <w:pPr>
        <w:spacing w:after="120" w:line="264" w:lineRule="auto"/>
        <w:rPr>
          <w:rFonts w:cs="Arial"/>
        </w:rPr>
      </w:pPr>
    </w:p>
    <w:p w14:paraId="01BE8045" w14:textId="774D40D2" w:rsidR="00CE06A5" w:rsidRPr="000A53C0" w:rsidRDefault="00CE06A5">
      <w:pPr>
        <w:spacing w:after="120" w:line="264" w:lineRule="auto"/>
        <w:rPr>
          <w:rFonts w:cs="Arial"/>
        </w:rPr>
      </w:pPr>
      <w:r w:rsidRPr="000A53C0">
        <w:rPr>
          <w:rFonts w:cs="Arial"/>
        </w:rPr>
        <w:br w:type="page"/>
      </w:r>
    </w:p>
    <w:p w14:paraId="15EC7BA9" w14:textId="759A1A54" w:rsidR="00B90315" w:rsidRPr="00A95303" w:rsidRDefault="00B90315" w:rsidP="00A95303">
      <w:pPr>
        <w:pStyle w:val="Heading1"/>
      </w:pPr>
      <w:bookmarkStart w:id="175" w:name="_Toc142991355"/>
      <w:r w:rsidRPr="00A95303">
        <w:lastRenderedPageBreak/>
        <w:t>Bibliography</w:t>
      </w:r>
      <w:bookmarkEnd w:id="175"/>
    </w:p>
    <w:p w14:paraId="025107CC" w14:textId="04C1B294" w:rsidR="00A158D6" w:rsidRPr="000A53C0" w:rsidRDefault="00A158D6" w:rsidP="00A158D6">
      <w:pPr>
        <w:pStyle w:val="FootnoteText"/>
        <w:spacing w:after="240"/>
        <w:rPr>
          <w:rFonts w:cs="Arial"/>
        </w:rPr>
      </w:pPr>
      <w:r w:rsidRPr="008E5171">
        <w:rPr>
          <w:rFonts w:cs="Arial"/>
        </w:rPr>
        <w:t>ABC News</w:t>
      </w:r>
      <w:r w:rsidR="00171301" w:rsidRPr="000A53C0">
        <w:rPr>
          <w:rFonts w:cs="Arial"/>
        </w:rPr>
        <w:t xml:space="preserve"> (2023, July </w:t>
      </w:r>
      <w:r w:rsidRPr="000A53C0">
        <w:rPr>
          <w:rFonts w:cs="Arial"/>
        </w:rPr>
        <w:t>31</w:t>
      </w:r>
      <w:r w:rsidR="00171301" w:rsidRPr="000A53C0">
        <w:rPr>
          <w:rFonts w:cs="Arial"/>
        </w:rPr>
        <w:t>),</w:t>
      </w:r>
      <w:r w:rsidRPr="000A53C0">
        <w:rPr>
          <w:rFonts w:cs="Arial"/>
        </w:rPr>
        <w:t xml:space="preserve"> https://www.abc.net.au/news/2023-07-31/silicosis-tradies-ban-on-engineered-stone/102665316.</w:t>
      </w:r>
    </w:p>
    <w:p w14:paraId="3FCC5FBB" w14:textId="77777777" w:rsidR="00A158D6" w:rsidRPr="000A53C0" w:rsidRDefault="00A158D6" w:rsidP="00D25042">
      <w:pPr>
        <w:pStyle w:val="FootnoteText"/>
        <w:spacing w:after="240"/>
        <w:rPr>
          <w:rFonts w:cs="Arial"/>
        </w:rPr>
      </w:pPr>
      <w:r w:rsidRPr="008E5171">
        <w:rPr>
          <w:rFonts w:cs="Arial"/>
        </w:rPr>
        <w:t>ABC News</w:t>
      </w:r>
      <w:r w:rsidRPr="000A53C0">
        <w:rPr>
          <w:rFonts w:cs="Arial"/>
        </w:rPr>
        <w:t xml:space="preserve"> (2023, Jan 16), Building challenges are starting to ease, but that doesn't mean you'll be able to find a tradie, viewed 22 June 2023, &lt;https://www.abc.net.au/news/2023-01-16/australia-construction-industry-labour-shortages-bricklaying/101828350&gt;</w:t>
      </w:r>
    </w:p>
    <w:p w14:paraId="1E8167B8" w14:textId="77777777" w:rsidR="00A158D6" w:rsidRPr="000A53C0" w:rsidRDefault="00A158D6" w:rsidP="00D25042">
      <w:pPr>
        <w:pStyle w:val="FootnoteText"/>
        <w:spacing w:after="240"/>
        <w:rPr>
          <w:rFonts w:cs="Arial"/>
        </w:rPr>
      </w:pPr>
      <w:r w:rsidRPr="000A53C0">
        <w:rPr>
          <w:rFonts w:cs="Arial"/>
        </w:rPr>
        <w:t>ABS 2022, 3311 Bricklayers and Stonemasons - ANZSCO - Australian and New Zealand Standard Classification of Occupations, viewed 22 June 2023, &lt;https://www.abs.gov.au/statistics/classifications/anzsco-australian-and-new-zealand-standard-classification-occupations/2022/browse-classification/3/33/331/3311&gt;</w:t>
      </w:r>
    </w:p>
    <w:p w14:paraId="6574CF10" w14:textId="77777777" w:rsidR="00A158D6" w:rsidRPr="000A53C0" w:rsidRDefault="00A158D6" w:rsidP="00D25042">
      <w:pPr>
        <w:pStyle w:val="FootnoteText"/>
        <w:spacing w:after="240"/>
        <w:rPr>
          <w:rFonts w:cs="Arial"/>
        </w:rPr>
      </w:pPr>
      <w:r w:rsidRPr="000A53C0">
        <w:rPr>
          <w:rFonts w:cs="Arial"/>
        </w:rPr>
        <w:t>ABS 2022, Income and work: Census, viewed 22 June 2023, &lt;https://www.abs.gov.au/statistics/labour/earnings-and-working-conditions/income-and-work-census/2021#data-downloads&gt;</w:t>
      </w:r>
    </w:p>
    <w:p w14:paraId="4D38951E" w14:textId="77777777" w:rsidR="00A158D6" w:rsidRPr="000A53C0" w:rsidRDefault="00A158D6" w:rsidP="00D25042">
      <w:pPr>
        <w:pStyle w:val="FootnoteText"/>
        <w:spacing w:after="240"/>
        <w:rPr>
          <w:rFonts w:cs="Arial"/>
        </w:rPr>
      </w:pPr>
      <w:r w:rsidRPr="000A53C0">
        <w:rPr>
          <w:rFonts w:cs="Arial"/>
        </w:rPr>
        <w:t>ABS 2022, Job mobility – Duration of employment, viewed 22 June 2023, &lt;https://www.abs.gov.au/statistics/labour/jobs/job-mobility/latest-release&gt;</w:t>
      </w:r>
    </w:p>
    <w:p w14:paraId="0EBD86DA" w14:textId="77777777" w:rsidR="00A158D6" w:rsidRPr="000A53C0" w:rsidRDefault="00A158D6" w:rsidP="00D25042">
      <w:pPr>
        <w:pStyle w:val="FootnoteText"/>
        <w:spacing w:after="240"/>
        <w:rPr>
          <w:rFonts w:cs="Arial"/>
        </w:rPr>
      </w:pPr>
      <w:r w:rsidRPr="000A53C0">
        <w:rPr>
          <w:rFonts w:cs="Arial"/>
        </w:rPr>
        <w:t>Australian Bureau of Statistics December 2022, Building Activity, Australia “Dwelling units completed; Total Sectors; Total (Type of Building); Total (Type of Work); Trend”, viewed 22 June 2023, &lt;https://www.abs.gov.au/statistics/industry/building-and-construction/building-activity-australia/latest-release#number-of-dwellings-commenced], accessed 04 May 2023&gt;</w:t>
      </w:r>
    </w:p>
    <w:p w14:paraId="17EB22B4" w14:textId="77777777" w:rsidR="00A158D6" w:rsidRPr="000A53C0" w:rsidRDefault="00A158D6" w:rsidP="00D25042">
      <w:pPr>
        <w:pStyle w:val="FootnoteText"/>
        <w:spacing w:after="240"/>
        <w:rPr>
          <w:rFonts w:cs="Arial"/>
        </w:rPr>
      </w:pPr>
      <w:r w:rsidRPr="000A53C0">
        <w:rPr>
          <w:rFonts w:cs="Arial"/>
        </w:rPr>
        <w:t>Australian Debt Solvers 2021, What is the Cost to Liquidate a Company? (Updated 2021), viewed 22 June 2023, &lt;https://australiandebtsolvers.com.au/liquidator/guides/what-is-the-cost-to-liquidate-a-company&gt;</w:t>
      </w:r>
    </w:p>
    <w:p w14:paraId="329F0E23" w14:textId="77777777" w:rsidR="00A158D6" w:rsidRPr="000A53C0" w:rsidRDefault="00A158D6" w:rsidP="00D25042">
      <w:pPr>
        <w:pStyle w:val="FootnoteText"/>
        <w:spacing w:after="240"/>
        <w:rPr>
          <w:rFonts w:cs="Arial"/>
        </w:rPr>
      </w:pPr>
      <w:r w:rsidRPr="000A53C0">
        <w:rPr>
          <w:rFonts w:cs="Arial"/>
        </w:rPr>
        <w:t>Australian Engineered Stone Advisory Group 2019, Application for authorisation to the Australian Competition and Consumer Commission (ACCC), viewed 22 June 2023, &lt;https://www.accc.gov.au/system/files/public-registers/documents/Australian%20Engineered%20Stone%20Advisory%20Group%20%28AESAG%29%20-%20Application%20Received%20-%2029.11.19%20-%20PR%20VERSION.pdf&gt;</w:t>
      </w:r>
    </w:p>
    <w:p w14:paraId="1AEE17C7" w14:textId="77777777" w:rsidR="00A158D6" w:rsidRPr="000A53C0" w:rsidRDefault="00A158D6" w:rsidP="00D25042">
      <w:pPr>
        <w:pStyle w:val="FootnoteText"/>
        <w:spacing w:after="240"/>
        <w:rPr>
          <w:rFonts w:cs="Arial"/>
        </w:rPr>
      </w:pPr>
      <w:r w:rsidRPr="000A53C0">
        <w:rPr>
          <w:rFonts w:cs="Arial"/>
        </w:rPr>
        <w:t>Australian Government, Employer Incentives, viewed 22 June 2023, &lt;https://www.australianapprenticeships.gov.au/aus-employer-incentives&gt;</w:t>
      </w:r>
    </w:p>
    <w:p w14:paraId="3B12F693" w14:textId="77777777" w:rsidR="00A158D6" w:rsidRPr="000A53C0" w:rsidRDefault="00A158D6" w:rsidP="00D25042">
      <w:pPr>
        <w:pStyle w:val="FootnoteText"/>
        <w:spacing w:after="240"/>
        <w:rPr>
          <w:rFonts w:cs="Arial"/>
        </w:rPr>
      </w:pPr>
      <w:r w:rsidRPr="000A53C0">
        <w:rPr>
          <w:rFonts w:cs="Arial"/>
        </w:rPr>
        <w:t>Australian Government, Financial Programs, viewed 22 June 2023, &lt;https://www.australianapprenticeships.gov.au/financial-programs&gt;</w:t>
      </w:r>
    </w:p>
    <w:p w14:paraId="618A319A" w14:textId="77777777" w:rsidR="00A158D6" w:rsidRPr="000A53C0" w:rsidRDefault="00A158D6" w:rsidP="00D25042">
      <w:pPr>
        <w:pStyle w:val="FootnoteText"/>
        <w:spacing w:after="240"/>
        <w:rPr>
          <w:rFonts w:cs="Arial"/>
        </w:rPr>
      </w:pPr>
      <w:r w:rsidRPr="000A53C0">
        <w:rPr>
          <w:rFonts w:cs="Arial"/>
        </w:rPr>
        <w:t>Australian Government, My Skills Australia, viewed 22 June 2023, &lt;https://www.myskills.gov.au&gt;</w:t>
      </w:r>
    </w:p>
    <w:p w14:paraId="0D9DD6BC" w14:textId="77777777" w:rsidR="00A158D6" w:rsidRPr="000A53C0" w:rsidRDefault="00A158D6" w:rsidP="00A158D6">
      <w:pPr>
        <w:pStyle w:val="FootnoteText"/>
        <w:spacing w:after="240"/>
        <w:rPr>
          <w:rFonts w:cs="Arial"/>
        </w:rPr>
      </w:pPr>
      <w:r w:rsidRPr="000A53C0">
        <w:rPr>
          <w:rFonts w:cs="Arial"/>
        </w:rPr>
        <w:t>Australian Government. 2022. “All of governments’ response to the National Dust Disease Taskforce Final Report.” Department of Health and Aged Care. April. https://www.health.gov.au/resources/publications/all-of-governments-response-to-the-national-dust-disease-taskforce-final-report.</w:t>
      </w:r>
    </w:p>
    <w:p w14:paraId="7B43B273" w14:textId="77777777" w:rsidR="00A158D6" w:rsidRPr="000A53C0" w:rsidRDefault="00A158D6" w:rsidP="00A158D6">
      <w:pPr>
        <w:pStyle w:val="FootnoteText"/>
        <w:spacing w:after="240"/>
        <w:rPr>
          <w:rFonts w:cs="Arial"/>
        </w:rPr>
      </w:pPr>
      <w:r w:rsidRPr="000A53C0">
        <w:rPr>
          <w:rFonts w:cs="Arial"/>
        </w:rPr>
        <w:t>Australian Institute of Occupational Hygienists. 2023. Accessed July 25, 2023. https://www.linkedin.com/posts/aioh-inc_aioh-silicosis-engineeredstone-activity-7074912632348041216-WNq_?utm_source=share&amp;utm_medium=member_ios.</w:t>
      </w:r>
    </w:p>
    <w:p w14:paraId="6F21E2E8" w14:textId="77777777" w:rsidR="00A158D6" w:rsidRPr="000A53C0" w:rsidRDefault="00A158D6" w:rsidP="00D25042">
      <w:pPr>
        <w:pStyle w:val="FootnoteText"/>
        <w:spacing w:after="240"/>
        <w:rPr>
          <w:rFonts w:cs="Arial"/>
        </w:rPr>
      </w:pPr>
      <w:r w:rsidRPr="000A53C0">
        <w:rPr>
          <w:rFonts w:cs="Arial"/>
        </w:rPr>
        <w:lastRenderedPageBreak/>
        <w:t>Australian Public Service Commission 2023, APSC enterprise agreement 2018-21, viewed 22 June 2023, &lt;https://www.apsc.gov.au/about-us/working-commission/apsc-enterprise-agreement-2018-21&gt;</w:t>
      </w:r>
    </w:p>
    <w:p w14:paraId="020AC550" w14:textId="77777777" w:rsidR="00A158D6" w:rsidRPr="000A53C0" w:rsidRDefault="00A158D6" w:rsidP="00A158D6">
      <w:pPr>
        <w:pStyle w:val="FootnoteText"/>
        <w:spacing w:after="240"/>
        <w:rPr>
          <w:rFonts w:cs="Arial"/>
        </w:rPr>
      </w:pPr>
      <w:r w:rsidRPr="000A53C0">
        <w:rPr>
          <w:rFonts w:cs="Arial"/>
        </w:rPr>
        <w:t>Carey, R, and L Fritschi. 2022. The future burden of lung cancer and silicosis from occupational silica exposure in Australia: A preliminary analysis. Perth: Curtin University.</w:t>
      </w:r>
    </w:p>
    <w:p w14:paraId="7240383F" w14:textId="77777777" w:rsidR="00A158D6" w:rsidRPr="000A53C0" w:rsidRDefault="00A158D6" w:rsidP="00A158D6">
      <w:pPr>
        <w:pStyle w:val="FootnoteText"/>
        <w:spacing w:after="240"/>
        <w:rPr>
          <w:rFonts w:cs="Arial"/>
        </w:rPr>
      </w:pPr>
      <w:r w:rsidRPr="000A53C0">
        <w:rPr>
          <w:rFonts w:cs="Arial"/>
        </w:rPr>
        <w:t>Carrieri, M, C Guzzardo, D Farcas, and L Cena. 2020. “Characterization of Silica Exposure during Manufacturing of Artificial Stone Countertops.” International Journal of Environmental Research and Public Health 4489.</w:t>
      </w:r>
    </w:p>
    <w:p w14:paraId="24BAACD8" w14:textId="77777777" w:rsidR="00A158D6" w:rsidRPr="000A53C0" w:rsidRDefault="00A158D6" w:rsidP="00A158D6">
      <w:pPr>
        <w:pStyle w:val="FootnoteText"/>
        <w:spacing w:after="240"/>
        <w:rPr>
          <w:rFonts w:cs="Arial"/>
        </w:rPr>
      </w:pPr>
      <w:r w:rsidRPr="000A53C0">
        <w:rPr>
          <w:rFonts w:cs="Arial"/>
        </w:rPr>
        <w:t>Cole, K F, D J Yates, and M Davidson. 2023. “Are we underestimating the prevalence of silicosis in the stone benchtop industry in New South Wales, Australia? Response to Hoy et al.” Occupational and Environmental Medicine Rapid Response published 28 June 2023 doi: 10.1136/oemed-2023-108892.</w:t>
      </w:r>
    </w:p>
    <w:p w14:paraId="2885B0DD" w14:textId="77777777" w:rsidR="00A158D6" w:rsidRPr="000A53C0" w:rsidRDefault="00A158D6" w:rsidP="00D25042">
      <w:pPr>
        <w:pStyle w:val="FootnoteText"/>
        <w:spacing w:after="240"/>
        <w:rPr>
          <w:rFonts w:cs="Arial"/>
        </w:rPr>
      </w:pPr>
      <w:r w:rsidRPr="000A53C0">
        <w:rPr>
          <w:rFonts w:cs="Arial"/>
        </w:rPr>
        <w:t>Cosentino Global, S.L.U. 2023, Cosentino Statement on Silestone, viewed 22 June 2023, &lt;https://www.cosentino.com/en-au/news/cosentino-statement-on-silestone/&gt;</w:t>
      </w:r>
    </w:p>
    <w:p w14:paraId="2BDED252" w14:textId="77777777" w:rsidR="00A158D6" w:rsidRPr="000A53C0" w:rsidRDefault="00A158D6" w:rsidP="00D25042">
      <w:pPr>
        <w:pStyle w:val="FootnoteText"/>
        <w:spacing w:after="240"/>
        <w:rPr>
          <w:rFonts w:cs="Arial"/>
        </w:rPr>
      </w:pPr>
      <w:r w:rsidRPr="000A53C0">
        <w:rPr>
          <w:rFonts w:cs="Arial"/>
        </w:rPr>
        <w:t>Deloitte 2021, Regulatory Impact Statements 2021 - Occupational Health and Safety Amendment (Crystalline Silica) Regulations 2021, viewed 22 June 2023 &lt;https://www.vic.gov.au/regulatory-impact-statements-2021&gt;</w:t>
      </w:r>
    </w:p>
    <w:p w14:paraId="1E376AEF" w14:textId="77777777" w:rsidR="00A158D6" w:rsidRPr="000A53C0" w:rsidRDefault="00A158D6" w:rsidP="00D25042">
      <w:pPr>
        <w:pStyle w:val="FootnoteText"/>
        <w:spacing w:after="240"/>
        <w:rPr>
          <w:rFonts w:cs="Arial"/>
        </w:rPr>
      </w:pPr>
      <w:r w:rsidRPr="000A53C0">
        <w:rPr>
          <w:rFonts w:cs="Arial"/>
        </w:rPr>
        <w:t>Department of Defence, APS pay and benefits, viewed 22 June 2023, &lt;https://www.defence.gov.au/jobs-careers/defence-aps-jobs/what-defence-offers/aps-pay-benefits#:~:text=Standard%20hours%20are%2037.5%20hours%20per%20week.&gt;</w:t>
      </w:r>
    </w:p>
    <w:p w14:paraId="4F0E0FD1" w14:textId="77777777" w:rsidR="00A158D6" w:rsidRPr="000A53C0" w:rsidRDefault="00A158D6" w:rsidP="00D25042">
      <w:pPr>
        <w:pStyle w:val="FootnoteText"/>
        <w:spacing w:after="240"/>
        <w:rPr>
          <w:rFonts w:cs="Arial"/>
        </w:rPr>
      </w:pPr>
      <w:r w:rsidRPr="000A53C0">
        <w:rPr>
          <w:rFonts w:cs="Arial"/>
        </w:rPr>
        <w:t>Department of Prime Minister and Cabinet 2020, Cost-benefit analysis guidance note, viewed 22 June 2023, &lt;https://oia.pmc.gov.au/sites/default/files/2021-09/cost-benefit-analysis.pdf&gt;</w:t>
      </w:r>
    </w:p>
    <w:p w14:paraId="69819938" w14:textId="77777777" w:rsidR="00A158D6" w:rsidRPr="000A53C0" w:rsidRDefault="00A158D6" w:rsidP="00A158D6">
      <w:pPr>
        <w:pStyle w:val="FootnoteText"/>
        <w:spacing w:after="240"/>
        <w:rPr>
          <w:rFonts w:cs="Arial"/>
        </w:rPr>
      </w:pPr>
      <w:r w:rsidRPr="000A53C0">
        <w:rPr>
          <w:rFonts w:cs="Arial"/>
        </w:rPr>
        <w:t>Department of Prime Minister and Cabinet. 2023. Regulatory impact analysis guide for minister's meetings and national standard setting bodies June 2023. Canberra.</w:t>
      </w:r>
    </w:p>
    <w:p w14:paraId="2BDFE072" w14:textId="77777777" w:rsidR="00A158D6" w:rsidRPr="000A53C0" w:rsidRDefault="00A158D6" w:rsidP="00A158D6">
      <w:pPr>
        <w:pStyle w:val="FootnoteText"/>
        <w:spacing w:after="240"/>
        <w:rPr>
          <w:rFonts w:cs="Arial"/>
        </w:rPr>
      </w:pPr>
      <w:r w:rsidRPr="000A53C0">
        <w:rPr>
          <w:rFonts w:cs="Arial"/>
        </w:rPr>
        <w:t>DEWR. 2023. “Work Health and Safety Ministers' Meeting – 28 February 2023 - Communique.” Australian Government Department of Employment and Workplace Relations. 28 February. https://www.dewr.gov.au/work-health-and-safety/resources/work-health-and-safety-ministers-meeting-28-february-2023.</w:t>
      </w:r>
    </w:p>
    <w:p w14:paraId="46B24CDB" w14:textId="77777777" w:rsidR="00A158D6" w:rsidRPr="000A53C0" w:rsidRDefault="00A158D6" w:rsidP="00D25042">
      <w:pPr>
        <w:pStyle w:val="FootnoteText"/>
        <w:spacing w:after="240"/>
        <w:rPr>
          <w:rFonts w:cs="Arial"/>
        </w:rPr>
      </w:pPr>
      <w:r w:rsidRPr="000A53C0">
        <w:rPr>
          <w:rFonts w:cs="Arial"/>
        </w:rPr>
        <w:t>Fair Work Ombudsman, Maximum weekly hours, viewed 22 June 2023, &lt;https://www.fairwork.gov.au/tools-and-resources/fact-sheets/minimum-workplace-entitlements/maximum-weekly-hours&gt;</w:t>
      </w:r>
    </w:p>
    <w:p w14:paraId="413B466C" w14:textId="77777777" w:rsidR="00A158D6" w:rsidRPr="000A53C0" w:rsidRDefault="00A158D6" w:rsidP="00A158D6">
      <w:pPr>
        <w:pStyle w:val="FootnoteText"/>
        <w:spacing w:after="240"/>
        <w:rPr>
          <w:rFonts w:cs="Arial"/>
        </w:rPr>
      </w:pPr>
      <w:r w:rsidRPr="000A53C0">
        <w:rPr>
          <w:rFonts w:cs="Arial"/>
        </w:rPr>
        <w:t>Fazio, J C, S A Gandhi, and J Flattery. 2023. “Silicosis Among Immigrant Engineered Stone (Quartz) Countertop Fabrication Workers in California.” JAMA Internal Medicine Published online July 24, 2023. doi:10.1001/jamainternmed.2023.3295.</w:t>
      </w:r>
    </w:p>
    <w:p w14:paraId="1A098769" w14:textId="77777777" w:rsidR="00A158D6" w:rsidRPr="000A53C0" w:rsidRDefault="00A158D6" w:rsidP="00A158D6">
      <w:pPr>
        <w:pStyle w:val="FootnoteText"/>
        <w:spacing w:after="240"/>
        <w:rPr>
          <w:rFonts w:cs="Arial"/>
        </w:rPr>
      </w:pPr>
      <w:r w:rsidRPr="000A53C0">
        <w:rPr>
          <w:rFonts w:cs="Arial"/>
        </w:rPr>
        <w:t>Frankel, A, L Blake, and D Yates. 2015. “Complicated silicosis in an Australian worker from cutting engineered stone countertops: An embarrassing first for Australia.” European Respiratory Journal 46 (suppl 59) PA1144.</w:t>
      </w:r>
    </w:p>
    <w:p w14:paraId="7A9C8961" w14:textId="360F08E9" w:rsidR="00A158D6" w:rsidRPr="000A53C0" w:rsidRDefault="00A158D6" w:rsidP="00A158D6">
      <w:pPr>
        <w:pStyle w:val="FootnoteText"/>
        <w:spacing w:after="240"/>
        <w:rPr>
          <w:rFonts w:cs="Arial"/>
        </w:rPr>
      </w:pPr>
      <w:r w:rsidRPr="000A53C0">
        <w:rPr>
          <w:rFonts w:cs="Arial"/>
        </w:rPr>
        <w:t xml:space="preserve">Ghiazza, M, M Polimeni, I Fenoglio, </w:t>
      </w:r>
      <w:r w:rsidR="002A2F9A" w:rsidRPr="000A53C0">
        <w:rPr>
          <w:rFonts w:cs="Arial"/>
        </w:rPr>
        <w:t>et al</w:t>
      </w:r>
      <w:r w:rsidRPr="000A53C0">
        <w:rPr>
          <w:rFonts w:cs="Arial"/>
        </w:rPr>
        <w:t>. 2010. “Does vitreous silica contradict the toxicity of the crystalline silica paradigm?” Chem. Res. Toxicol. 23, 620-629, doi:10.1021/tx900369x.</w:t>
      </w:r>
    </w:p>
    <w:p w14:paraId="624F3DF4" w14:textId="6AF5F7BB" w:rsidR="00A158D6" w:rsidRPr="000A53C0" w:rsidRDefault="00A158D6" w:rsidP="00D25042">
      <w:pPr>
        <w:pStyle w:val="FootnoteText"/>
        <w:spacing w:after="240"/>
        <w:rPr>
          <w:rFonts w:cs="Arial"/>
        </w:rPr>
      </w:pPr>
      <w:r w:rsidRPr="000A53C0">
        <w:rPr>
          <w:rFonts w:cs="Arial"/>
        </w:rPr>
        <w:t>Gibson 2023, How Much Do Kitchen Benchtops Cost?, viewed 22 June 2023, &lt;https://hipages.com.au/article/how_much_do_kitchen_benchtops_cost&gt;</w:t>
      </w:r>
    </w:p>
    <w:p w14:paraId="1508B341" w14:textId="27CB2AAA" w:rsidR="00A158D6" w:rsidRPr="000A53C0" w:rsidRDefault="00A158D6" w:rsidP="00A158D6">
      <w:pPr>
        <w:pStyle w:val="FootnoteText"/>
        <w:spacing w:after="240"/>
        <w:rPr>
          <w:rFonts w:cs="Arial"/>
        </w:rPr>
      </w:pPr>
      <w:r w:rsidRPr="000A53C0">
        <w:rPr>
          <w:rFonts w:cs="Arial"/>
        </w:rPr>
        <w:lastRenderedPageBreak/>
        <w:t xml:space="preserve">Grytting, V S, M Refsnes, E Erichsen, </w:t>
      </w:r>
      <w:r w:rsidR="002A2F9A" w:rsidRPr="000A53C0">
        <w:rPr>
          <w:rFonts w:cs="Arial"/>
        </w:rPr>
        <w:t>et al</w:t>
      </w:r>
      <w:r w:rsidRPr="000A53C0">
        <w:rPr>
          <w:rFonts w:cs="Arial"/>
        </w:rPr>
        <w:t>. 2022. “The importance of mineralogical composition for the cytotoxic and pro-inflammatory effects of mineral dust.” Part. Fibre. Toxicol. 19(1), 46, doi: 10.1186/s12989-022-00486-7.</w:t>
      </w:r>
    </w:p>
    <w:p w14:paraId="09D17086" w14:textId="1819102D" w:rsidR="00A158D6" w:rsidRPr="000A53C0" w:rsidRDefault="00A158D6" w:rsidP="00A158D6">
      <w:pPr>
        <w:pStyle w:val="FootnoteText"/>
        <w:spacing w:after="240"/>
        <w:rPr>
          <w:rFonts w:cs="Arial"/>
        </w:rPr>
      </w:pPr>
      <w:r w:rsidRPr="000A53C0">
        <w:rPr>
          <w:rFonts w:cs="Arial"/>
        </w:rPr>
        <w:t xml:space="preserve">Hall, S, P Stacey, I Pengelly, </w:t>
      </w:r>
      <w:r w:rsidR="002A2F9A" w:rsidRPr="000A53C0">
        <w:rPr>
          <w:rFonts w:cs="Arial"/>
        </w:rPr>
        <w:t>et al</w:t>
      </w:r>
      <w:r w:rsidRPr="000A53C0">
        <w:rPr>
          <w:rFonts w:cs="Arial"/>
        </w:rPr>
        <w:t>. 2022. “Characterizing and Comparing Emissions of Dust, Respirable Crystalline Silica, and Volatile Organic Compounds from Natural and Artificial Stones.” Ann. Work Expo. Health 66, 139-149, doi:10.1093/annweh/wxab055.</w:t>
      </w:r>
    </w:p>
    <w:p w14:paraId="42D68917" w14:textId="073AEE81" w:rsidR="00A158D6" w:rsidRPr="000A53C0" w:rsidRDefault="00A158D6" w:rsidP="00A158D6">
      <w:pPr>
        <w:pStyle w:val="FootnoteText"/>
        <w:spacing w:after="240"/>
        <w:rPr>
          <w:rFonts w:cs="Arial"/>
        </w:rPr>
      </w:pPr>
      <w:r w:rsidRPr="000A53C0">
        <w:rPr>
          <w:rFonts w:cs="Arial"/>
        </w:rPr>
        <w:t>Hargreaves, S, K Rustage, L B Nellums</w:t>
      </w:r>
      <w:r w:rsidR="002A2F9A" w:rsidRPr="000A53C0">
        <w:rPr>
          <w:rFonts w:cs="Arial"/>
        </w:rPr>
        <w:t>,</w:t>
      </w:r>
      <w:r w:rsidRPr="000A53C0">
        <w:rPr>
          <w:rFonts w:cs="Arial"/>
        </w:rPr>
        <w:t xml:space="preserve"> et al. 2019. “Occupational health outcomes among international migrant workers: a systematic review and meta-analysis.” Lancet Glob Health 7:e872–82.</w:t>
      </w:r>
    </w:p>
    <w:p w14:paraId="3B560AFA" w14:textId="77777777" w:rsidR="00A158D6" w:rsidRPr="000A53C0" w:rsidRDefault="00A158D6" w:rsidP="00A158D6">
      <w:pPr>
        <w:pStyle w:val="FootnoteText"/>
        <w:spacing w:after="240"/>
        <w:rPr>
          <w:rFonts w:cs="Arial"/>
        </w:rPr>
      </w:pPr>
      <w:r w:rsidRPr="000A53C0">
        <w:rPr>
          <w:rFonts w:cs="Arial"/>
        </w:rPr>
        <w:t>Healy, C. 2014. “Respirable Crystalline Silica Exposures among Stoneworkers involved in Stone Restoration Work. PhD thesis.” National University of Ireland.</w:t>
      </w:r>
    </w:p>
    <w:p w14:paraId="6EEFE791" w14:textId="77777777" w:rsidR="00A158D6" w:rsidRPr="000A53C0" w:rsidRDefault="00A158D6" w:rsidP="00D25042">
      <w:pPr>
        <w:pStyle w:val="FootnoteText"/>
        <w:spacing w:after="240"/>
        <w:rPr>
          <w:rFonts w:cs="Arial"/>
        </w:rPr>
      </w:pPr>
      <w:r w:rsidRPr="000A53C0">
        <w:rPr>
          <w:rFonts w:cs="Arial"/>
        </w:rPr>
        <w:t>Home Beautiful 2021, Kitchen benchtop prices: how much do kitchen benches cost?, viewed 22 June 2023, &lt;https://www.homestolove.com.au/kitchen-benchtop-material-we-compare-7-popular-surfaces-22749&gt;</w:t>
      </w:r>
    </w:p>
    <w:p w14:paraId="0493A236" w14:textId="77777777" w:rsidR="00A158D6" w:rsidRPr="000A53C0" w:rsidRDefault="00A158D6" w:rsidP="00D25042">
      <w:pPr>
        <w:pStyle w:val="FootnoteText"/>
        <w:spacing w:after="240"/>
        <w:rPr>
          <w:rFonts w:cs="Arial"/>
        </w:rPr>
      </w:pPr>
      <w:r w:rsidRPr="000A53C0">
        <w:rPr>
          <w:rFonts w:cs="Arial"/>
        </w:rPr>
        <w:t>Housing Industry Association 2022, Termination and redundancy under the building award, viewed 22 June 2023, &lt;https://hia.com.au/resources-and-advice/managing-your-business/managing-your-employees/articles/termination-and-redundancy-under-the-bci-award&gt;</w:t>
      </w:r>
    </w:p>
    <w:p w14:paraId="2EC2A0E6" w14:textId="73199FFB" w:rsidR="00A158D6" w:rsidRPr="000A53C0" w:rsidRDefault="00A158D6" w:rsidP="00A158D6">
      <w:pPr>
        <w:pStyle w:val="FootnoteText"/>
        <w:spacing w:after="240"/>
        <w:rPr>
          <w:rFonts w:cs="Arial"/>
        </w:rPr>
      </w:pPr>
      <w:r w:rsidRPr="000A53C0">
        <w:rPr>
          <w:rFonts w:cs="Arial"/>
        </w:rPr>
        <w:t>Hoy, R F, C Dimitriadis, M Abramson, et al. 2023. “Prevalence and risk factors for silicosis among a large cohort of stone benchtop industry workers.” Occupational and Environmental Medicine Published Online First: 16 June 2023. doi: 10.1136/oemed-2023-108892.</w:t>
      </w:r>
    </w:p>
    <w:p w14:paraId="7BA362A1" w14:textId="77777777" w:rsidR="00A158D6" w:rsidRPr="000A53C0" w:rsidRDefault="00A158D6" w:rsidP="00D25042">
      <w:pPr>
        <w:pStyle w:val="FootnoteText"/>
        <w:spacing w:after="240"/>
        <w:rPr>
          <w:rFonts w:cs="Arial"/>
        </w:rPr>
      </w:pPr>
      <w:r w:rsidRPr="000A53C0">
        <w:rPr>
          <w:rFonts w:cs="Arial"/>
        </w:rPr>
        <w:t>Hoy, RF 2020, ‘Silica-related diseases in the modern world’, Allergy, vol. 75, no. 11, pp. 2805–2817, viewed 22 June 2023</w:t>
      </w:r>
    </w:p>
    <w:p w14:paraId="460BBAD7" w14:textId="77777777" w:rsidR="00A158D6" w:rsidRPr="000A53C0" w:rsidRDefault="00A158D6" w:rsidP="00A158D6">
      <w:pPr>
        <w:pStyle w:val="FootnoteText"/>
        <w:spacing w:after="240"/>
        <w:rPr>
          <w:rFonts w:cs="Arial"/>
        </w:rPr>
      </w:pPr>
      <w:r w:rsidRPr="000A53C0">
        <w:rPr>
          <w:rFonts w:cs="Arial"/>
        </w:rPr>
        <w:t>Hua, J T, C S Rose, and C A Redlich. 2023. “Engineered Stone–Associated Silicosis - A Lethal Variant of an Ancient Disease.” JAMA Internal Medicine Published online July 24, 2023. doi:10.1001/jamainternmed.2023.3260.</w:t>
      </w:r>
    </w:p>
    <w:p w14:paraId="4B0BA9CA" w14:textId="77777777" w:rsidR="00A158D6" w:rsidRPr="000A53C0" w:rsidRDefault="00A158D6" w:rsidP="00D25042">
      <w:pPr>
        <w:pStyle w:val="FootnoteText"/>
        <w:spacing w:after="240"/>
        <w:rPr>
          <w:rFonts w:cs="Arial"/>
        </w:rPr>
      </w:pPr>
      <w:r w:rsidRPr="000A53C0">
        <w:rPr>
          <w:rFonts w:cs="Arial"/>
        </w:rPr>
        <w:t>Jeffery 2023, How much do Caesarstone benchtops cost?, viewed 22 June 2023, &lt;https://www.service.com.au/articles/stone-masons/how-much-do-ceasarstone-benchtops-cost&gt;</w:t>
      </w:r>
    </w:p>
    <w:p w14:paraId="197D8280" w14:textId="713E1B83" w:rsidR="00A158D6" w:rsidRPr="000A53C0" w:rsidRDefault="00A158D6" w:rsidP="00A158D6">
      <w:pPr>
        <w:pStyle w:val="FootnoteText"/>
        <w:spacing w:after="240"/>
        <w:rPr>
          <w:rFonts w:cs="Arial"/>
        </w:rPr>
      </w:pPr>
      <w:r w:rsidRPr="000A53C0">
        <w:rPr>
          <w:rFonts w:cs="Arial"/>
        </w:rPr>
        <w:t>León-Jiménez, A, J M Mánuel, M García-Rojo, et al. 2021. “Compositional and structural analysis of engineered stones and inorganic particles in silicotic nodules of exposed workers.” Part. Fibre Toxicol. 18, 41-41, doi:10.1186/s12989-021-00434-x.</w:t>
      </w:r>
    </w:p>
    <w:p w14:paraId="7F04335A" w14:textId="0BEBC2BB" w:rsidR="00A158D6" w:rsidRPr="000A53C0" w:rsidRDefault="00A158D6" w:rsidP="00A158D6">
      <w:pPr>
        <w:pStyle w:val="FootnoteText"/>
        <w:spacing w:after="240"/>
        <w:rPr>
          <w:rFonts w:cs="Arial"/>
        </w:rPr>
      </w:pPr>
      <w:r w:rsidRPr="000A53C0">
        <w:rPr>
          <w:rFonts w:cs="Arial"/>
        </w:rPr>
        <w:t>Marques Da Silva, V, M Benjdir, P Montagne, et al. 2022. “Pulmonary Toxicity of Silica Linked to Its Micro- or Nanometric Particle Size and Crystal Structure: A Review.” Nanomaterials (Basel) 13;12(14):2392. doi: 10.3390/nano12142392.</w:t>
      </w:r>
    </w:p>
    <w:p w14:paraId="5F32EF24" w14:textId="77777777" w:rsidR="00A158D6" w:rsidRPr="000A53C0" w:rsidRDefault="00A158D6" w:rsidP="00A158D6">
      <w:pPr>
        <w:pStyle w:val="FootnoteText"/>
        <w:spacing w:after="240"/>
        <w:rPr>
          <w:rFonts w:cs="Arial"/>
        </w:rPr>
      </w:pPr>
      <w:r w:rsidRPr="000A53C0">
        <w:rPr>
          <w:rFonts w:cs="Arial"/>
        </w:rPr>
        <w:t>NSW Parliament. 2022. “2021 Review of the Dust Disease Scheme.” Legislative council Standing Committee on Law and Justice. June. https://www.parliament.nsw.gov.au/tp/files/82197/Report%20No.%2080%20-%202021%20Review%20of%20the%20Dust%20Diseases%20Scheme.pdf.</w:t>
      </w:r>
    </w:p>
    <w:p w14:paraId="400D2433" w14:textId="77777777" w:rsidR="00A158D6" w:rsidRPr="000A53C0" w:rsidRDefault="00A158D6" w:rsidP="00A158D6">
      <w:pPr>
        <w:pStyle w:val="FootnoteText"/>
        <w:spacing w:after="240"/>
        <w:rPr>
          <w:rFonts w:cs="Arial"/>
        </w:rPr>
      </w:pPr>
      <w:r w:rsidRPr="000A53C0">
        <w:rPr>
          <w:rFonts w:cs="Arial"/>
        </w:rPr>
        <w:t>Office of Impact Analysis. 2023. “Value of a Statisical Life.” July. https://oia.pmc.gov.au/resources/guidance-assessing-impacts/value-statistical-life.</w:t>
      </w:r>
    </w:p>
    <w:p w14:paraId="5332967D" w14:textId="33622E50" w:rsidR="00A158D6" w:rsidRPr="000A53C0" w:rsidRDefault="00A158D6" w:rsidP="00A158D6">
      <w:pPr>
        <w:pStyle w:val="FootnoteText"/>
        <w:spacing w:after="240"/>
        <w:rPr>
          <w:rFonts w:cs="Arial"/>
        </w:rPr>
      </w:pPr>
      <w:r w:rsidRPr="000A53C0">
        <w:rPr>
          <w:rFonts w:cs="Arial"/>
        </w:rPr>
        <w:t xml:space="preserve">Ophir, N, A Bar Shai, R Korenstein, </w:t>
      </w:r>
      <w:r w:rsidR="002A2F9A" w:rsidRPr="000A53C0">
        <w:rPr>
          <w:rFonts w:cs="Arial"/>
        </w:rPr>
        <w:t>et al</w:t>
      </w:r>
      <w:r w:rsidRPr="000A53C0">
        <w:rPr>
          <w:rFonts w:cs="Arial"/>
        </w:rPr>
        <w:t>. 2019. “Functional, inflammatory and interstitial impairment due to artificial stone dust ultrafine particles exposure.” Occupational and Environmental Medicine 875-879.</w:t>
      </w:r>
    </w:p>
    <w:p w14:paraId="56C40AB5" w14:textId="36F473A8" w:rsidR="00A158D6" w:rsidRPr="000A53C0" w:rsidRDefault="00A158D6" w:rsidP="00A158D6">
      <w:pPr>
        <w:pStyle w:val="FootnoteText"/>
        <w:spacing w:after="240"/>
        <w:rPr>
          <w:rFonts w:cs="Arial"/>
        </w:rPr>
      </w:pPr>
      <w:r w:rsidRPr="000A53C0">
        <w:rPr>
          <w:rFonts w:cs="Arial"/>
        </w:rPr>
        <w:lastRenderedPageBreak/>
        <w:t>Pavan, C, M Polimeni, M Tomatis, et al. 2016. “Editor's Highlight: Abrasion of Artificial Stones as a New Cause of an Ancient Disease. Physicochemical Features and Cellular Responses.” Toxicol. Sci. 53, 4-17, doi:10.1093/toxsci/kfw101.</w:t>
      </w:r>
    </w:p>
    <w:p w14:paraId="39DB9EAA" w14:textId="77777777" w:rsidR="00A158D6" w:rsidRPr="000A53C0" w:rsidRDefault="00A158D6" w:rsidP="00A158D6">
      <w:pPr>
        <w:pStyle w:val="FootnoteText"/>
        <w:spacing w:after="240"/>
        <w:rPr>
          <w:rFonts w:cs="Arial"/>
        </w:rPr>
      </w:pPr>
      <w:r w:rsidRPr="000A53C0">
        <w:rPr>
          <w:rFonts w:cs="Arial"/>
        </w:rPr>
        <w:t>Pavan, C, R Santalucia, R Leinardi, and B Fubini. 2020. “Nearly free surface silanols are the critical molecular moieties that initiate the toxicity of silica particles.” PNAS. 117, 27836, doi:10.1073/pnas.2008006117.</w:t>
      </w:r>
    </w:p>
    <w:p w14:paraId="3962C297" w14:textId="3A7BC854" w:rsidR="00A158D6" w:rsidRPr="000A53C0" w:rsidRDefault="00A158D6" w:rsidP="00A158D6">
      <w:pPr>
        <w:pStyle w:val="FootnoteText"/>
        <w:spacing w:after="240"/>
        <w:rPr>
          <w:rFonts w:cs="Arial"/>
        </w:rPr>
      </w:pPr>
      <w:r w:rsidRPr="000A53C0">
        <w:rPr>
          <w:rFonts w:cs="Arial"/>
        </w:rPr>
        <w:t>Porter, D W, M Barger, V A Robinson, et al. 2002. “Comparison of low doses of aged and freshly fractured silica on pulmonary inflammation and damage in the rat.” Toxicol. 175, 63-71, doi:10.1016/S0300-483X(02)00061-6.</w:t>
      </w:r>
    </w:p>
    <w:p w14:paraId="1CCFE4BD" w14:textId="77777777" w:rsidR="00A158D6" w:rsidRPr="000A53C0" w:rsidRDefault="00A158D6" w:rsidP="00A158D6">
      <w:pPr>
        <w:pStyle w:val="FootnoteText"/>
        <w:spacing w:after="240"/>
        <w:rPr>
          <w:rFonts w:cs="Arial"/>
        </w:rPr>
      </w:pPr>
      <w:r w:rsidRPr="000A53C0">
        <w:rPr>
          <w:rFonts w:cs="Arial"/>
        </w:rPr>
        <w:t>Qi, C, and A Echt. 2016. “In-depth survey report: engineering control of silica dust from stone countertop fabrication and installation. n. Report No. EPHB 375-11a,.” National Institute for Occupational Safety and Health, Cincinnati, USA. Accessed May 5, 2023. https://www.cdc.gov/niosh/surveyreports/pdfs/375-11a.pdf.</w:t>
      </w:r>
    </w:p>
    <w:p w14:paraId="6E86DDE1" w14:textId="77777777" w:rsidR="00A158D6" w:rsidRPr="000A53C0" w:rsidRDefault="00A158D6" w:rsidP="00D25042">
      <w:pPr>
        <w:pStyle w:val="FootnoteText"/>
        <w:spacing w:after="240"/>
        <w:rPr>
          <w:rFonts w:cs="Arial"/>
        </w:rPr>
      </w:pPr>
      <w:r w:rsidRPr="000A53C0">
        <w:rPr>
          <w:rFonts w:cs="Arial"/>
        </w:rPr>
        <w:t>Quantum Market Research (prepared for Department of Health, National Dust Disease Taskforce), Dust Disease Research Update – Final Report May 2021, viewed 22 June 2023</w:t>
      </w:r>
    </w:p>
    <w:p w14:paraId="46FAFBEC" w14:textId="40132835" w:rsidR="00A158D6" w:rsidRPr="000A53C0" w:rsidRDefault="00A158D6" w:rsidP="00A158D6">
      <w:pPr>
        <w:pStyle w:val="FootnoteText"/>
        <w:spacing w:after="240"/>
        <w:rPr>
          <w:rFonts w:cs="Arial"/>
        </w:rPr>
      </w:pPr>
      <w:r w:rsidRPr="000A53C0">
        <w:rPr>
          <w:rFonts w:cs="Arial"/>
        </w:rPr>
        <w:t xml:space="preserve">Ramkissoon, C, </w:t>
      </w:r>
      <w:r w:rsidR="002A2F9A" w:rsidRPr="000A53C0">
        <w:rPr>
          <w:rFonts w:cs="Arial"/>
        </w:rPr>
        <w:t xml:space="preserve">S </w:t>
      </w:r>
      <w:r w:rsidRPr="000A53C0">
        <w:rPr>
          <w:rFonts w:cs="Arial"/>
        </w:rPr>
        <w:t xml:space="preserve">Gaskin, </w:t>
      </w:r>
      <w:r w:rsidR="002A2F9A" w:rsidRPr="000A53C0">
        <w:rPr>
          <w:rFonts w:cs="Arial"/>
        </w:rPr>
        <w:t xml:space="preserve">L </w:t>
      </w:r>
      <w:r w:rsidRPr="000A53C0">
        <w:rPr>
          <w:rFonts w:cs="Arial"/>
        </w:rPr>
        <w:t xml:space="preserve">Thredgold, </w:t>
      </w:r>
      <w:r w:rsidR="002A2F9A" w:rsidRPr="000A53C0">
        <w:rPr>
          <w:rFonts w:cs="Arial"/>
        </w:rPr>
        <w:t>et al</w:t>
      </w:r>
      <w:r w:rsidRPr="000A53C0">
        <w:rPr>
          <w:rFonts w:cs="Arial"/>
        </w:rPr>
        <w:t>. 2022. “Characterisation of dust emissions from machined engineered stones to understand the hazard for accelerated silicosis.” Scientific Reports 4351-1-4351-10.</w:t>
      </w:r>
    </w:p>
    <w:p w14:paraId="259F57E4" w14:textId="3311F38C" w:rsidR="00A158D6" w:rsidRPr="000A53C0" w:rsidRDefault="00A158D6" w:rsidP="00A158D6">
      <w:pPr>
        <w:pStyle w:val="FootnoteText"/>
        <w:spacing w:after="240"/>
        <w:rPr>
          <w:rFonts w:cs="Arial"/>
        </w:rPr>
      </w:pPr>
      <w:r w:rsidRPr="000A53C0">
        <w:rPr>
          <w:rFonts w:cs="Arial"/>
        </w:rPr>
        <w:t>Ramkissoon, C, S Gaskin, T Hall,</w:t>
      </w:r>
      <w:r w:rsidR="002A2F9A" w:rsidRPr="000A53C0">
        <w:rPr>
          <w:rFonts w:cs="Arial"/>
        </w:rPr>
        <w:t xml:space="preserve"> </w:t>
      </w:r>
      <w:r w:rsidRPr="000A53C0">
        <w:rPr>
          <w:rFonts w:cs="Arial"/>
        </w:rPr>
        <w:t>et al. 2023. “Engineered Stone Fabrication Work Releases Volatile Organic Compounds Classified as Lung Irritants.” Ann. Work Expo. Health. 67, 288-293, doi:10.1093/annweh/wxac068.</w:t>
      </w:r>
    </w:p>
    <w:p w14:paraId="6CFB806B" w14:textId="77777777" w:rsidR="00A158D6" w:rsidRPr="000A53C0" w:rsidRDefault="00A158D6" w:rsidP="00D25042">
      <w:pPr>
        <w:pStyle w:val="FootnoteText"/>
        <w:spacing w:after="240"/>
        <w:rPr>
          <w:rFonts w:cs="Arial"/>
        </w:rPr>
      </w:pPr>
      <w:r w:rsidRPr="000A53C0">
        <w:rPr>
          <w:rFonts w:cs="Arial"/>
        </w:rPr>
        <w:t>RBA 2023, Forecast Table – May 2023, viewed 22 June 2023, &lt;https://www.rba.gov.au/publications/smp/2023/may/forecasts.html&gt;</w:t>
      </w:r>
    </w:p>
    <w:p w14:paraId="077A8ABA" w14:textId="77777777" w:rsidR="00A158D6" w:rsidRPr="000A53C0" w:rsidRDefault="00A158D6" w:rsidP="00D25042">
      <w:pPr>
        <w:pStyle w:val="FootnoteText"/>
        <w:spacing w:after="240"/>
        <w:rPr>
          <w:rFonts w:cs="Arial"/>
        </w:rPr>
      </w:pPr>
      <w:r w:rsidRPr="000A53C0">
        <w:rPr>
          <w:rFonts w:cs="Arial"/>
        </w:rPr>
        <w:t>Safe Work Australia 2023, Public Service (Section 24(1) Safe Work Australia Non−SES Employees) Determination 2023/03, viewed 22 June 2023, &lt;https://www.safeworkaustralia.gov.au/sites/default/files/2023-03/public_service_subsection_241-safe_work_australia_non-ses_employees_determination_2023.pdf&gt;</w:t>
      </w:r>
    </w:p>
    <w:p w14:paraId="0328ACCF" w14:textId="77777777" w:rsidR="00A158D6" w:rsidRPr="000A53C0" w:rsidRDefault="00A158D6" w:rsidP="00D25042">
      <w:pPr>
        <w:pStyle w:val="FootnoteText"/>
        <w:spacing w:after="240"/>
        <w:rPr>
          <w:rFonts w:cs="Arial"/>
        </w:rPr>
      </w:pPr>
      <w:r w:rsidRPr="000A53C0">
        <w:rPr>
          <w:rFonts w:cs="Arial"/>
        </w:rPr>
        <w:t>Services Australia 2023, How much you can get, viewed 22 June 2023, &lt;https://www.servicesaustralia.gov.au/how-much-jobseeker-payment-you-can-get?context=51411&gt;</w:t>
      </w:r>
    </w:p>
    <w:p w14:paraId="4A7A2D42" w14:textId="77777777" w:rsidR="00A158D6" w:rsidRPr="000A53C0" w:rsidRDefault="00A158D6" w:rsidP="00D25042">
      <w:pPr>
        <w:pStyle w:val="FootnoteText"/>
        <w:spacing w:after="240"/>
        <w:rPr>
          <w:rFonts w:cs="Arial"/>
        </w:rPr>
      </w:pPr>
      <w:r w:rsidRPr="000A53C0">
        <w:rPr>
          <w:rFonts w:cs="Arial"/>
        </w:rPr>
        <w:t>Skills Certified Australia, How To Become a licenced stonemason in Australia, viewed 22 June 2023, &lt;https://www.skillscertified.com.au/blog/become-licenced-stonemason-in-australia&gt;</w:t>
      </w:r>
    </w:p>
    <w:p w14:paraId="4C270F53" w14:textId="77777777" w:rsidR="00A158D6" w:rsidRPr="000A53C0" w:rsidRDefault="00A158D6" w:rsidP="00D25042">
      <w:pPr>
        <w:pStyle w:val="FootnoteText"/>
        <w:spacing w:after="240"/>
        <w:rPr>
          <w:rFonts w:cs="Arial"/>
        </w:rPr>
      </w:pPr>
      <w:r w:rsidRPr="000A53C0">
        <w:rPr>
          <w:rFonts w:cs="Arial"/>
        </w:rPr>
        <w:t>Smartstone 2023, Pricing and quality, viewed 22 June 2023, &lt;https://www.smartstone.com.au/product-landing/&gt;</w:t>
      </w:r>
    </w:p>
    <w:p w14:paraId="1183C589" w14:textId="77777777" w:rsidR="00A158D6" w:rsidRPr="000A53C0" w:rsidRDefault="00A158D6" w:rsidP="00D25042">
      <w:pPr>
        <w:pStyle w:val="FootnoteText"/>
        <w:spacing w:after="240"/>
        <w:rPr>
          <w:rFonts w:cs="Arial"/>
        </w:rPr>
      </w:pPr>
      <w:r w:rsidRPr="000A53C0">
        <w:rPr>
          <w:rFonts w:cs="Arial"/>
        </w:rPr>
        <w:t xml:space="preserve">SWA 2023, </w:t>
      </w:r>
      <w:r w:rsidRPr="000A53C0">
        <w:rPr>
          <w:rFonts w:cs="Arial"/>
          <w:i/>
        </w:rPr>
        <w:t>Decision Regulation Impact Statement: Managing the risks of respirable crystalline silica at work</w:t>
      </w:r>
      <w:r w:rsidRPr="000A53C0">
        <w:rPr>
          <w:rFonts w:cs="Arial"/>
        </w:rPr>
        <w:t>, viewed 22 June 2023, &lt;https://www.safeworkaustralia.gov.au/doc/decision-regulation-impact-statement-managing-risks-respirable-crystalline-silica-work&gt;</w:t>
      </w:r>
    </w:p>
    <w:p w14:paraId="073DDF35" w14:textId="77777777" w:rsidR="00A158D6" w:rsidRPr="000A53C0" w:rsidRDefault="00A158D6" w:rsidP="00D25042">
      <w:pPr>
        <w:pStyle w:val="BodyText"/>
        <w:spacing w:after="240" w:line="240" w:lineRule="auto"/>
        <w:rPr>
          <w:rFonts w:cs="Arial"/>
          <w:color w:val="auto"/>
        </w:rPr>
      </w:pPr>
      <w:r w:rsidRPr="000A53C0">
        <w:rPr>
          <w:rFonts w:cs="Arial"/>
          <w:color w:val="auto"/>
        </w:rPr>
        <w:t xml:space="preserve">SWA 2023, </w:t>
      </w:r>
      <w:r w:rsidRPr="000A53C0">
        <w:rPr>
          <w:rFonts w:cs="Arial"/>
          <w:i/>
          <w:iCs/>
          <w:color w:val="auto"/>
        </w:rPr>
        <w:t>Public consultation on the p</w:t>
      </w:r>
      <w:r w:rsidRPr="000A53C0">
        <w:rPr>
          <w:rFonts w:cs="Arial"/>
          <w:i/>
          <w:color w:val="auto"/>
        </w:rPr>
        <w:t>rohibition on the use of engineered stone</w:t>
      </w:r>
      <w:r w:rsidRPr="000A53C0">
        <w:rPr>
          <w:rFonts w:cs="Arial"/>
          <w:color w:val="auto"/>
        </w:rPr>
        <w:t>, viewed 22 June 2023, &lt;https://engage.swa.gov.au/prohibition-on-the-use-of-engineered-stone&gt;</w:t>
      </w:r>
    </w:p>
    <w:p w14:paraId="6BA89DD6" w14:textId="77777777" w:rsidR="00A158D6" w:rsidRPr="000A53C0" w:rsidRDefault="00A158D6" w:rsidP="00D25042">
      <w:pPr>
        <w:pStyle w:val="FootnoteText"/>
        <w:spacing w:after="240"/>
        <w:rPr>
          <w:rFonts w:cs="Arial"/>
        </w:rPr>
      </w:pPr>
      <w:r w:rsidRPr="000A53C0">
        <w:rPr>
          <w:rFonts w:cs="Arial"/>
        </w:rPr>
        <w:lastRenderedPageBreak/>
        <w:t>SWA, The model WHS laws, viewed 22 June 2023, &lt;https://www.safeworkaustralia.gov.au/law-and-regulation/legislation#:~:text=On%2010%20November%202020%2C%20Western%20Australia%20passed%20a,who%20has%20not%20implemented%20the%20model%20WHS%20laws&gt;</w:t>
      </w:r>
    </w:p>
    <w:p w14:paraId="034BE3A0" w14:textId="77777777" w:rsidR="002A2F9A" w:rsidRPr="000A53C0" w:rsidRDefault="002A2F9A" w:rsidP="002A2F9A">
      <w:pPr>
        <w:pStyle w:val="FootnoteText"/>
        <w:spacing w:after="240"/>
        <w:rPr>
          <w:rFonts w:cs="Arial"/>
        </w:rPr>
      </w:pPr>
      <w:r w:rsidRPr="000A53C0">
        <w:rPr>
          <w:rFonts w:cs="Arial"/>
          <w:i/>
          <w:iCs/>
        </w:rPr>
        <w:t>The Daily Telegraph</w:t>
      </w:r>
      <w:r w:rsidRPr="000A53C0">
        <w:rPr>
          <w:rFonts w:cs="Arial"/>
        </w:rPr>
        <w:t xml:space="preserve"> (2023, July 11) https://www.dailytelegraph.com.au/news/coal-miners-urged-to-get-screened-as-black-lung-cases-rise/news-story/8c96e51276cfc2abe693aae0b17914a6?btr=2a35b0e945449a4408dc92344d35eac1.</w:t>
      </w:r>
    </w:p>
    <w:p w14:paraId="3EBC13AD" w14:textId="0F619076" w:rsidR="00A158D6" w:rsidRPr="000A53C0" w:rsidRDefault="00A158D6" w:rsidP="00A158D6">
      <w:pPr>
        <w:pStyle w:val="FootnoteText"/>
        <w:spacing w:after="240"/>
        <w:rPr>
          <w:rFonts w:cs="Arial"/>
        </w:rPr>
      </w:pPr>
      <w:r w:rsidRPr="000A53C0">
        <w:rPr>
          <w:rFonts w:cs="Arial"/>
        </w:rPr>
        <w:t>Thompson, D, and C Qi. 2023. “Characterization of the emissions and crystalline silica content of airborne dust generated from grinding natural and engineered stones.” Ann. Work Expo. Health. 67, 266-280, doi:10.1093/annweh/wxac070.</w:t>
      </w:r>
    </w:p>
    <w:p w14:paraId="504BB448" w14:textId="6CF8FCDF" w:rsidR="00A158D6" w:rsidRPr="000A53C0" w:rsidRDefault="00A158D6" w:rsidP="00A158D6">
      <w:pPr>
        <w:pStyle w:val="FootnoteText"/>
        <w:spacing w:after="240"/>
        <w:rPr>
          <w:rFonts w:cs="Arial"/>
        </w:rPr>
      </w:pPr>
      <w:r w:rsidRPr="000A53C0">
        <w:rPr>
          <w:rFonts w:cs="Arial"/>
        </w:rPr>
        <w:t>van Deurssen, E, A Pronk, S Spaan, et al. 2014. “Quartz and respirable dust in the Dutch construction industry: A baseline exposure assessment as part of a multidimensional intervention approach.” Ann. Occup. Hyg. 58, 724-738, doi:10.1093/annhyg/meu021.</w:t>
      </w:r>
    </w:p>
    <w:p w14:paraId="034FFF3C" w14:textId="77777777" w:rsidR="00A158D6" w:rsidRPr="000A53C0" w:rsidRDefault="00A158D6" w:rsidP="00D25042">
      <w:pPr>
        <w:pStyle w:val="FootnoteText"/>
        <w:spacing w:after="240"/>
        <w:rPr>
          <w:rFonts w:cs="Arial"/>
        </w:rPr>
      </w:pPr>
      <w:r w:rsidRPr="000A53C0">
        <w:rPr>
          <w:rFonts w:cs="Arial"/>
        </w:rPr>
        <w:t>Vbathroom 2020, A Guide on Sintered Stone and What It Means for Your Bathroom and Kitchen, viewed 22 June 2023, &lt;https://vbathroom.com.au/guide-on-sintered-stone/&gt;</w:t>
      </w:r>
    </w:p>
    <w:p w14:paraId="2EFF4271" w14:textId="77777777" w:rsidR="00A158D6" w:rsidRPr="000A53C0" w:rsidRDefault="00A158D6" w:rsidP="00D25042">
      <w:pPr>
        <w:pStyle w:val="FootnoteText"/>
        <w:spacing w:after="240"/>
        <w:rPr>
          <w:rFonts w:cs="Arial"/>
        </w:rPr>
      </w:pPr>
      <w:r w:rsidRPr="000A53C0">
        <w:rPr>
          <w:rFonts w:cs="Arial"/>
        </w:rPr>
        <w:t>Webeck and Mathers 2022, How much do kitchen benchtops cost in Australia? Refresh Renovations, viewed 22 June 2023, &lt;https://www.refreshrenovations.com.au/articles/how-much-do-kitchen-benchtops-cost-au#:~:text=How%20much%20do%20kitchen%20benchtops%20cost%20in%20Australia%3F,8%20Stainless%20steel%20benchtop%20costs%20...%20More%20items&gt;</w:t>
      </w:r>
    </w:p>
    <w:p w14:paraId="11A4B1E3" w14:textId="77777777" w:rsidR="00A158D6" w:rsidRPr="000A53C0" w:rsidRDefault="00A158D6" w:rsidP="00A158D6">
      <w:pPr>
        <w:pStyle w:val="FootnoteText"/>
        <w:spacing w:after="240"/>
        <w:rPr>
          <w:rFonts w:cs="Arial"/>
        </w:rPr>
      </w:pPr>
      <w:r w:rsidRPr="000A53C0">
        <w:rPr>
          <w:rFonts w:cs="Arial"/>
        </w:rPr>
        <w:t>Wu, N, C Xue, and S Yu. 2020. “Artificial stone-associated silicosis in China: a prospective comparison with natural stone-associated silicosis.” Respirology 25:518–24.</w:t>
      </w:r>
    </w:p>
    <w:p w14:paraId="28C2C937" w14:textId="77777777" w:rsidR="00CF026E" w:rsidRPr="000A53C0" w:rsidRDefault="00CF026E" w:rsidP="00CF026E">
      <w:pPr>
        <w:pStyle w:val="BodyText"/>
        <w:rPr>
          <w:rFonts w:cs="Arial"/>
        </w:rPr>
      </w:pPr>
    </w:p>
    <w:p w14:paraId="20640D72" w14:textId="057D0E2F" w:rsidR="00B7408F" w:rsidRPr="000A53C0" w:rsidRDefault="00C75317" w:rsidP="00CF61B6">
      <w:pPr>
        <w:rPr>
          <w:rFonts w:cs="Arial"/>
          <w:b/>
          <w:color w:val="014463" w:themeColor="text2"/>
          <w:sz w:val="60"/>
          <w:szCs w:val="60"/>
        </w:rPr>
      </w:pPr>
      <w:r w:rsidRPr="000A53C0">
        <w:rPr>
          <w:rFonts w:cs="Arial"/>
        </w:rPr>
        <w:br w:type="page"/>
      </w:r>
      <w:bookmarkEnd w:id="173"/>
    </w:p>
    <w:p w14:paraId="292A2F12" w14:textId="77777777" w:rsidR="00787BEC" w:rsidRPr="000A53C0" w:rsidRDefault="00787BEC" w:rsidP="00F85098">
      <w:pPr>
        <w:pStyle w:val="App1"/>
      </w:pPr>
      <w:bookmarkStart w:id="176" w:name="_Toc126573244"/>
      <w:bookmarkStart w:id="177" w:name="_Toc142991356"/>
      <w:bookmarkStart w:id="178" w:name="_Ref136249526"/>
      <w:bookmarkStart w:id="179" w:name="_Toc136327238"/>
      <w:bookmarkStart w:id="180" w:name="_Ref138325569"/>
      <w:bookmarkStart w:id="181" w:name="_Ref138353850"/>
      <w:r w:rsidRPr="000A53C0">
        <w:lastRenderedPageBreak/>
        <w:t>Appendix A: Legislative and regulatory framework for crystalline silica under the model WHS laws</w:t>
      </w:r>
      <w:bookmarkEnd w:id="176"/>
      <w:bookmarkEnd w:id="177"/>
    </w:p>
    <w:p w14:paraId="525C9004" w14:textId="77777777" w:rsidR="00787BEC" w:rsidRPr="00F85098" w:rsidRDefault="00787BEC" w:rsidP="00F85098">
      <w:pPr>
        <w:pStyle w:val="App2"/>
      </w:pPr>
      <w:bookmarkStart w:id="182" w:name="_Toc142991357"/>
      <w:r w:rsidRPr="00F85098">
        <w:t>What are the duties of PCBUs?</w:t>
      </w:r>
      <w:bookmarkEnd w:id="182"/>
    </w:p>
    <w:p w14:paraId="440DD86C" w14:textId="28E20012" w:rsidR="00787BEC" w:rsidRPr="000A53C0" w:rsidRDefault="00787BEC" w:rsidP="005A0B2D">
      <w:pPr>
        <w:pStyle w:val="BodyText"/>
        <w:rPr>
          <w:rFonts w:cs="Arial"/>
        </w:rPr>
      </w:pPr>
      <w:r w:rsidRPr="000A53C0">
        <w:rPr>
          <w:rFonts w:cs="Arial"/>
        </w:rPr>
        <w:t xml:space="preserve">Under the model WHS laws, a PCBU has a primary duty of care to ensure the health and safety of workers while they are at work in the business or undertaking and that the health and safety of others is not put at risk from </w:t>
      </w:r>
      <w:r w:rsidR="004233E1" w:rsidRPr="000A53C0">
        <w:rPr>
          <w:rFonts w:cs="Arial"/>
        </w:rPr>
        <w:t xml:space="preserve">work </w:t>
      </w:r>
      <w:r w:rsidRPr="000A53C0">
        <w:rPr>
          <w:rFonts w:cs="Arial"/>
        </w:rPr>
        <w:t>carr</w:t>
      </w:r>
      <w:r w:rsidR="004233E1" w:rsidRPr="000A53C0">
        <w:rPr>
          <w:rFonts w:cs="Arial"/>
        </w:rPr>
        <w:t xml:space="preserve">ied </w:t>
      </w:r>
      <w:r w:rsidRPr="000A53C0">
        <w:rPr>
          <w:rFonts w:cs="Arial"/>
        </w:rPr>
        <w:t>out</w:t>
      </w:r>
      <w:r w:rsidR="004233E1" w:rsidRPr="000A53C0">
        <w:rPr>
          <w:rFonts w:cs="Arial"/>
        </w:rPr>
        <w:t xml:space="preserve"> by the business or undertaking</w:t>
      </w:r>
      <w:r w:rsidRPr="000A53C0">
        <w:rPr>
          <w:rFonts w:cs="Arial"/>
        </w:rPr>
        <w:t xml:space="preserve">. </w:t>
      </w:r>
    </w:p>
    <w:p w14:paraId="62348172" w14:textId="38352453" w:rsidR="00787BEC" w:rsidRPr="000A53C0" w:rsidRDefault="00787BEC" w:rsidP="005A0B2D">
      <w:pPr>
        <w:pStyle w:val="BodyText"/>
        <w:rPr>
          <w:rFonts w:cs="Arial"/>
        </w:rPr>
      </w:pPr>
      <w:r w:rsidRPr="000A53C0">
        <w:rPr>
          <w:rFonts w:cs="Arial"/>
        </w:rPr>
        <w:t>A PCBU is often an employer. However, the concept of PCBUs also captures modern work relationships outside of the traditional contract of employment. For example, it includes principal and subcontractor relationships, host employers in a labour hire arrangement.</w:t>
      </w:r>
    </w:p>
    <w:p w14:paraId="1356E6EE" w14:textId="73B3A0B8" w:rsidR="00787BEC" w:rsidRPr="000A53C0" w:rsidRDefault="00787BEC" w:rsidP="005A0B2D">
      <w:pPr>
        <w:pStyle w:val="BodyText"/>
        <w:rPr>
          <w:rFonts w:cs="Arial"/>
        </w:rPr>
      </w:pPr>
      <w:r w:rsidRPr="000A53C0">
        <w:rPr>
          <w:rFonts w:cs="Arial"/>
        </w:rPr>
        <w:t xml:space="preserve">It is the PCBU’s responsibility to eliminate </w:t>
      </w:r>
      <w:r w:rsidR="00D677C5" w:rsidRPr="000A53C0">
        <w:rPr>
          <w:rFonts w:cs="Arial"/>
        </w:rPr>
        <w:t xml:space="preserve">so far as </w:t>
      </w:r>
      <w:r w:rsidR="00B76254" w:rsidRPr="000A53C0">
        <w:rPr>
          <w:rFonts w:cs="Arial"/>
        </w:rPr>
        <w:t xml:space="preserve">is </w:t>
      </w:r>
      <w:r w:rsidR="00D677C5" w:rsidRPr="000A53C0">
        <w:rPr>
          <w:rFonts w:cs="Arial"/>
        </w:rPr>
        <w:t>reasonably practicable</w:t>
      </w:r>
      <w:r w:rsidR="006572A9" w:rsidRPr="000A53C0">
        <w:rPr>
          <w:rFonts w:cs="Arial"/>
        </w:rPr>
        <w:t>,</w:t>
      </w:r>
      <w:r w:rsidR="00D677C5" w:rsidRPr="000A53C0">
        <w:rPr>
          <w:rFonts w:cs="Arial"/>
        </w:rPr>
        <w:t xml:space="preserve"> </w:t>
      </w:r>
      <w:r w:rsidRPr="000A53C0">
        <w:rPr>
          <w:rFonts w:cs="Arial"/>
        </w:rPr>
        <w:t xml:space="preserve">risks arising from exposure to RCS or, where </w:t>
      </w:r>
      <w:r w:rsidR="006572A9" w:rsidRPr="000A53C0">
        <w:rPr>
          <w:rFonts w:cs="Arial"/>
        </w:rPr>
        <w:t xml:space="preserve">elimination is </w:t>
      </w:r>
      <w:r w:rsidRPr="000A53C0">
        <w:rPr>
          <w:rFonts w:cs="Arial"/>
        </w:rPr>
        <w:t>not reasonably practicable</w:t>
      </w:r>
      <w:r w:rsidRPr="000A53C0">
        <w:rPr>
          <w:rStyle w:val="FootnoteReference"/>
          <w:rFonts w:cs="Arial"/>
        </w:rPr>
        <w:footnoteReference w:id="13"/>
      </w:r>
      <w:r w:rsidRPr="000A53C0">
        <w:rPr>
          <w:rFonts w:cs="Arial"/>
        </w:rPr>
        <w:t>, minimise the risks so far as is reasonably practicable to workers and other persons</w:t>
      </w:r>
      <w:r w:rsidRPr="000A53C0">
        <w:rPr>
          <w:rFonts w:cs="Arial"/>
          <w:vertAlign w:val="superscript"/>
        </w:rPr>
        <w:footnoteReference w:id="14"/>
      </w:r>
      <w:r w:rsidRPr="000A53C0">
        <w:rPr>
          <w:rFonts w:cs="Arial"/>
        </w:rPr>
        <w:t xml:space="preserve">. This includes the </w:t>
      </w:r>
      <w:r w:rsidR="00153F95" w:rsidRPr="000A53C0">
        <w:rPr>
          <w:rFonts w:cs="Arial"/>
        </w:rPr>
        <w:t xml:space="preserve">provision and </w:t>
      </w:r>
      <w:r w:rsidRPr="000A53C0">
        <w:rPr>
          <w:rFonts w:cs="Arial"/>
        </w:rPr>
        <w:t>maintenance of the workplace environment</w:t>
      </w:r>
      <w:r w:rsidR="00347BB0" w:rsidRPr="000A53C0">
        <w:rPr>
          <w:rFonts w:cs="Arial"/>
        </w:rPr>
        <w:t xml:space="preserve"> without risks to health and safety</w:t>
      </w:r>
      <w:r w:rsidRPr="000A53C0">
        <w:rPr>
          <w:rFonts w:cs="Arial"/>
        </w:rPr>
        <w:t>, as well as the provision of</w:t>
      </w:r>
      <w:r w:rsidR="00347BB0" w:rsidRPr="000A53C0">
        <w:rPr>
          <w:rFonts w:cs="Arial"/>
        </w:rPr>
        <w:t xml:space="preserve"> any </w:t>
      </w:r>
      <w:r w:rsidRPr="000A53C0">
        <w:rPr>
          <w:rFonts w:cs="Arial"/>
        </w:rPr>
        <w:t xml:space="preserve">information, training, instruction, or supervision </w:t>
      </w:r>
      <w:r w:rsidR="00210E3F" w:rsidRPr="000A53C0">
        <w:rPr>
          <w:rFonts w:cs="Arial"/>
        </w:rPr>
        <w:t xml:space="preserve">necessary </w:t>
      </w:r>
      <w:r w:rsidRPr="000A53C0">
        <w:rPr>
          <w:rFonts w:cs="Arial"/>
        </w:rPr>
        <w:t>to protect people from risks to their health and safety.</w:t>
      </w:r>
      <w:r w:rsidRPr="000A53C0">
        <w:rPr>
          <w:rFonts w:cs="Arial"/>
          <w:vertAlign w:val="superscript"/>
        </w:rPr>
        <w:footnoteReference w:id="15"/>
      </w:r>
      <w:r w:rsidRPr="000A53C0">
        <w:rPr>
          <w:rFonts w:cs="Arial"/>
        </w:rPr>
        <w:t xml:space="preserve"> PCBUs must also, so far as is reasonably practicable, consult with workers who carry out work for the business or undertaking who are or are likely to be directly affected by a </w:t>
      </w:r>
      <w:r w:rsidR="004D35FE" w:rsidRPr="000A53C0">
        <w:rPr>
          <w:rFonts w:cs="Arial"/>
        </w:rPr>
        <w:t>WHS</w:t>
      </w:r>
      <w:r w:rsidRPr="000A53C0">
        <w:rPr>
          <w:rFonts w:cs="Arial"/>
        </w:rPr>
        <w:t xml:space="preserve"> matter.</w:t>
      </w:r>
      <w:r w:rsidRPr="000A53C0">
        <w:rPr>
          <w:rFonts w:cs="Arial"/>
          <w:vertAlign w:val="superscript"/>
        </w:rPr>
        <w:footnoteReference w:id="16"/>
      </w:r>
      <w:r w:rsidRPr="000A53C0">
        <w:rPr>
          <w:rFonts w:cs="Arial"/>
        </w:rPr>
        <w:t xml:space="preserve"> PCBUs must also consult with the workers’ </w:t>
      </w:r>
      <w:r w:rsidR="0020482E" w:rsidRPr="000A53C0">
        <w:rPr>
          <w:rFonts w:cs="Arial"/>
        </w:rPr>
        <w:t>HSRs</w:t>
      </w:r>
      <w:r w:rsidRPr="000A53C0">
        <w:rPr>
          <w:rFonts w:cs="Arial"/>
        </w:rPr>
        <w:t xml:space="preserve"> on </w:t>
      </w:r>
      <w:r w:rsidR="004D35FE" w:rsidRPr="000A53C0">
        <w:rPr>
          <w:rFonts w:cs="Arial"/>
        </w:rPr>
        <w:t>WHS</w:t>
      </w:r>
      <w:r w:rsidRPr="000A53C0">
        <w:rPr>
          <w:rFonts w:cs="Arial"/>
        </w:rPr>
        <w:t xml:space="preserve"> matters.</w:t>
      </w:r>
      <w:r w:rsidRPr="000A53C0">
        <w:rPr>
          <w:rStyle w:val="FootnoteReference"/>
          <w:rFonts w:cs="Arial"/>
        </w:rPr>
        <w:footnoteReference w:id="17"/>
      </w:r>
      <w:r w:rsidRPr="000A53C0">
        <w:rPr>
          <w:rFonts w:cs="Arial"/>
        </w:rPr>
        <w:t xml:space="preserve"> For PCBUs working with RCS, examples of when consultation must occur include when preparing risk assessments and </w:t>
      </w:r>
      <w:r w:rsidR="00BF5EBB" w:rsidRPr="000A53C0">
        <w:rPr>
          <w:rFonts w:cs="Arial"/>
        </w:rPr>
        <w:t>safe work method statements (</w:t>
      </w:r>
      <w:r w:rsidRPr="000A53C0">
        <w:rPr>
          <w:rFonts w:cs="Arial"/>
        </w:rPr>
        <w:t>SWMS</w:t>
      </w:r>
      <w:r w:rsidR="00BF5EBB" w:rsidRPr="000A53C0">
        <w:rPr>
          <w:rFonts w:cs="Arial"/>
        </w:rPr>
        <w:t>)</w:t>
      </w:r>
      <w:r w:rsidRPr="000A53C0">
        <w:rPr>
          <w:rFonts w:cs="Arial"/>
        </w:rPr>
        <w:t>, developing a silica dust control plan, deciding on control measures and selecting the medical practitioner to undertake health monitoring.</w:t>
      </w:r>
      <w:r w:rsidRPr="000A53C0">
        <w:rPr>
          <w:rFonts w:cs="Arial"/>
          <w:vertAlign w:val="superscript"/>
        </w:rPr>
        <w:footnoteReference w:id="18"/>
      </w:r>
      <w:r w:rsidRPr="000A53C0">
        <w:rPr>
          <w:rFonts w:cs="Arial"/>
        </w:rPr>
        <w:t xml:space="preserve"> </w:t>
      </w:r>
    </w:p>
    <w:p w14:paraId="07E5FD40" w14:textId="64DB6759" w:rsidR="00787BEC" w:rsidRPr="000A53C0" w:rsidRDefault="00787BEC" w:rsidP="005A0B2D">
      <w:pPr>
        <w:pStyle w:val="BodyText"/>
        <w:rPr>
          <w:rFonts w:cs="Arial"/>
        </w:rPr>
      </w:pPr>
      <w:r w:rsidRPr="000A53C0">
        <w:rPr>
          <w:rFonts w:cs="Arial"/>
        </w:rPr>
        <w:t xml:space="preserve">Where there is more than one person </w:t>
      </w:r>
      <w:r w:rsidR="006F4411" w:rsidRPr="000A53C0">
        <w:rPr>
          <w:rFonts w:cs="Arial"/>
        </w:rPr>
        <w:t xml:space="preserve">that </w:t>
      </w:r>
      <w:r w:rsidR="00422F8E" w:rsidRPr="000A53C0">
        <w:rPr>
          <w:rFonts w:cs="Arial"/>
        </w:rPr>
        <w:t>has</w:t>
      </w:r>
      <w:r w:rsidRPr="000A53C0">
        <w:rPr>
          <w:rFonts w:cs="Arial"/>
        </w:rPr>
        <w:t xml:space="preserve"> a duty in relation to the same WHS matter, each person with the duty must </w:t>
      </w:r>
      <w:r w:rsidR="002E6011" w:rsidRPr="000A53C0">
        <w:rPr>
          <w:rFonts w:cs="Arial"/>
        </w:rPr>
        <w:t>discharge their duty to the extent that they have the capacity to influence and control the matter</w:t>
      </w:r>
      <w:r w:rsidR="00FB3C19" w:rsidRPr="000A53C0">
        <w:rPr>
          <w:rStyle w:val="FootnoteReference"/>
          <w:rFonts w:cs="Arial"/>
        </w:rPr>
        <w:footnoteReference w:id="19"/>
      </w:r>
      <w:r w:rsidR="002E6011" w:rsidRPr="000A53C0">
        <w:rPr>
          <w:rFonts w:cs="Arial"/>
        </w:rPr>
        <w:t xml:space="preserve"> and must </w:t>
      </w:r>
      <w:r w:rsidRPr="000A53C0">
        <w:rPr>
          <w:rFonts w:cs="Arial"/>
        </w:rPr>
        <w:t>consult, cooperate and coordinate activities with all other persons who also owe a duty in relation to the same matter.</w:t>
      </w:r>
      <w:r w:rsidRPr="000A53C0">
        <w:rPr>
          <w:rFonts w:cs="Arial"/>
          <w:vertAlign w:val="superscript"/>
        </w:rPr>
        <w:footnoteReference w:id="20"/>
      </w:r>
      <w:r w:rsidRPr="000A53C0">
        <w:rPr>
          <w:rFonts w:cs="Arial"/>
        </w:rPr>
        <w:t xml:space="preserve"> </w:t>
      </w:r>
      <w:r w:rsidR="00312169">
        <w:t>A duty cannot be transferred to another person.</w:t>
      </w:r>
      <w:r w:rsidR="00312169">
        <w:rPr>
          <w:rStyle w:val="FootnoteReference"/>
        </w:rPr>
        <w:footnoteReference w:id="21"/>
      </w:r>
    </w:p>
    <w:p w14:paraId="3E537E8B" w14:textId="09B3FC40" w:rsidR="00BA2C5F" w:rsidRPr="000A53C0" w:rsidRDefault="00BA2C5F" w:rsidP="00F85098">
      <w:pPr>
        <w:pStyle w:val="App2"/>
      </w:pPr>
      <w:r w:rsidRPr="000A53C0">
        <w:t xml:space="preserve">Managing the risks of </w:t>
      </w:r>
      <w:r w:rsidR="0091380C" w:rsidRPr="000A53C0">
        <w:t xml:space="preserve">RCS </w:t>
      </w:r>
      <w:r w:rsidRPr="000A53C0">
        <w:t>as</w:t>
      </w:r>
      <w:r w:rsidR="00BA1673" w:rsidRPr="000A53C0">
        <w:t xml:space="preserve"> a </w:t>
      </w:r>
      <w:r w:rsidRPr="000A53C0">
        <w:t>hazardous chemical</w:t>
      </w:r>
    </w:p>
    <w:p w14:paraId="57064D4F" w14:textId="1EE048B3" w:rsidR="004C6F99" w:rsidRPr="000A53C0" w:rsidRDefault="004C6F99" w:rsidP="004C6F99">
      <w:pPr>
        <w:pStyle w:val="BodyText"/>
        <w:rPr>
          <w:rFonts w:cs="Arial"/>
        </w:rPr>
      </w:pPr>
      <w:r w:rsidRPr="000A53C0">
        <w:rPr>
          <w:rFonts w:cs="Arial"/>
        </w:rPr>
        <w:t>A PCBU must manage the risks to health and safety associated with handling or generating RCS (a hazardous chemical) at a workplace in accordance with Part 3.1 of the</w:t>
      </w:r>
      <w:r w:rsidR="009A20D5" w:rsidRPr="000A53C0">
        <w:rPr>
          <w:rFonts w:cs="Arial"/>
        </w:rPr>
        <w:t xml:space="preserve"> model</w:t>
      </w:r>
      <w:r w:rsidRPr="000A53C0">
        <w:rPr>
          <w:rFonts w:cs="Arial"/>
        </w:rPr>
        <w:t xml:space="preserve"> WHS Regulations</w:t>
      </w:r>
      <w:r w:rsidRPr="000A53C0">
        <w:rPr>
          <w:rStyle w:val="FootnoteReference"/>
          <w:rFonts w:cs="Arial"/>
        </w:rPr>
        <w:footnoteReference w:id="22"/>
      </w:r>
      <w:r w:rsidRPr="000A53C0">
        <w:rPr>
          <w:rFonts w:cs="Arial"/>
        </w:rPr>
        <w:t xml:space="preserve">. Part 3.1 requires, for example, that the PCBU identify hazards that could give rise to risks to health and safety and apply the hierarchy of controls to minimise the risks to health and safety if it is not reasonably </w:t>
      </w:r>
      <w:r w:rsidRPr="000A53C0">
        <w:rPr>
          <w:rFonts w:cs="Arial"/>
        </w:rPr>
        <w:lastRenderedPageBreak/>
        <w:t>practicable to eliminate the risks. Failure to comply with regulation 351 is a breach of the PCBU’s primary duty of care in section 19 of the model WHS Act.</w:t>
      </w:r>
    </w:p>
    <w:p w14:paraId="27D0ABA3" w14:textId="2DF1C2C0" w:rsidR="004C6F99" w:rsidRPr="000A53C0" w:rsidRDefault="004C6F99" w:rsidP="004C6F99">
      <w:pPr>
        <w:pStyle w:val="BodyText"/>
        <w:rPr>
          <w:rFonts w:cs="Arial"/>
        </w:rPr>
      </w:pPr>
      <w:r w:rsidRPr="000A53C0">
        <w:rPr>
          <w:rFonts w:cs="Arial"/>
        </w:rPr>
        <w:t>As with all health and safety duties in the model WHS law, the duty on a PCBU to manage the risks to health and safety from RCS at a workplace are not transferrable</w:t>
      </w:r>
      <w:r w:rsidRPr="000A53C0">
        <w:rPr>
          <w:rStyle w:val="FootnoteReference"/>
          <w:rFonts w:cs="Arial"/>
        </w:rPr>
        <w:footnoteReference w:id="23"/>
      </w:r>
      <w:r w:rsidRPr="000A53C0">
        <w:rPr>
          <w:rFonts w:cs="Arial"/>
        </w:rPr>
        <w:t>.</w:t>
      </w:r>
    </w:p>
    <w:p w14:paraId="1D3129FD" w14:textId="77777777" w:rsidR="00787BEC" w:rsidRPr="00607F85" w:rsidRDefault="00787BEC" w:rsidP="00A256B4">
      <w:pPr>
        <w:pStyle w:val="App2"/>
      </w:pPr>
      <w:r w:rsidRPr="00607F85">
        <w:t>Workplace exposure standard for RCS</w:t>
      </w:r>
    </w:p>
    <w:p w14:paraId="0224890F" w14:textId="77777777" w:rsidR="00787BEC" w:rsidRPr="000A53C0" w:rsidRDefault="00787BEC" w:rsidP="005A0B2D">
      <w:pPr>
        <w:pStyle w:val="BodyText"/>
        <w:rPr>
          <w:rFonts w:cs="Arial"/>
        </w:rPr>
      </w:pPr>
      <w:r w:rsidRPr="000A53C0">
        <w:rPr>
          <w:rFonts w:cs="Arial"/>
        </w:rPr>
        <w:t>A PCBU must ensure that no person at the workplace is exposed to a substance or mixture in an airborne concentration that exceeds the exposure standard for the substance or mixture.</w:t>
      </w:r>
      <w:r w:rsidRPr="000A53C0">
        <w:rPr>
          <w:rFonts w:cs="Arial"/>
          <w:vertAlign w:val="superscript"/>
        </w:rPr>
        <w:footnoteReference w:id="24"/>
      </w:r>
      <w:r w:rsidRPr="000A53C0">
        <w:rPr>
          <w:rFonts w:cs="Arial"/>
        </w:rPr>
        <w:t xml:space="preserve"> The duty to ensure the WES is not exceeded is absolute and not qualified by so far as is reasonably practicable. A WES must not be adjusted upwards, even for shifts of less than eight hours </w:t>
      </w:r>
      <w:r w:rsidRPr="000A53C0">
        <w:rPr>
          <w:rFonts w:cs="Arial"/>
        </w:rPr>
        <w:fldChar w:fldCharType="begin"/>
      </w:r>
      <w:r w:rsidRPr="000A53C0">
        <w:rPr>
          <w:rFonts w:cs="Arial"/>
        </w:rPr>
        <w:instrText xml:space="preserve"> ADDIN ZOTERO_ITEM CSL_CITATION {"citationID":"3eTeH8Ks","properties":{"formattedCitation":"(Safe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w:t>
      </w:r>
    </w:p>
    <w:p w14:paraId="4EAAB620" w14:textId="0E8793D6" w:rsidR="00787BEC" w:rsidRPr="000A53C0" w:rsidRDefault="00787BEC" w:rsidP="005A0B2D">
      <w:pPr>
        <w:pStyle w:val="BodyText"/>
        <w:rPr>
          <w:rFonts w:cs="Arial"/>
        </w:rPr>
      </w:pPr>
      <w:r w:rsidRPr="000A53C0">
        <w:rPr>
          <w:rFonts w:cs="Arial"/>
        </w:rPr>
        <w:t>This means that a PCBU must ensure that no person at the workplace is exposed to RCS at a concentration above the WES, which is an eight-hour TWA of 0.05 mg/m</w:t>
      </w:r>
      <w:r w:rsidRPr="000A53C0">
        <w:rPr>
          <w:rFonts w:cs="Arial"/>
          <w:vertAlign w:val="superscript"/>
        </w:rPr>
        <w:t>3</w:t>
      </w:r>
      <w:r w:rsidRPr="000A53C0">
        <w:rPr>
          <w:rFonts w:cs="Arial"/>
        </w:rPr>
        <w:t>. An exposure standard represents the airborne concentration of a particular substance or mixture that must not be exceeded. However, it does not represent a line between a ‘safe’ and ‘unsafe’ concentration of an airborne substance or mixture. The exposure standard does not eliminate risk of disease and some people m</w:t>
      </w:r>
      <w:r w:rsidR="002E6011" w:rsidRPr="000A53C0">
        <w:rPr>
          <w:rFonts w:cs="Arial"/>
        </w:rPr>
        <w:t>ay</w:t>
      </w:r>
      <w:r w:rsidRPr="000A53C0">
        <w:rPr>
          <w:rFonts w:cs="Arial"/>
        </w:rPr>
        <w:t xml:space="preserve"> experience adverse health effects below the exposure standard. </w:t>
      </w:r>
    </w:p>
    <w:p w14:paraId="0619D3E1" w14:textId="77777777" w:rsidR="00787BEC" w:rsidRPr="000A53C0" w:rsidRDefault="00787BEC" w:rsidP="00514CCB">
      <w:pPr>
        <w:pStyle w:val="Heading3"/>
      </w:pPr>
      <w:r w:rsidRPr="000A53C0">
        <w:t>Air monitoring</w:t>
      </w:r>
    </w:p>
    <w:p w14:paraId="27E21896" w14:textId="659773CF" w:rsidR="00787BEC" w:rsidRPr="000A53C0" w:rsidRDefault="00787BEC" w:rsidP="005A0B2D">
      <w:pPr>
        <w:pStyle w:val="BodyText"/>
        <w:rPr>
          <w:rFonts w:cs="Arial"/>
        </w:rPr>
      </w:pPr>
      <w:r w:rsidRPr="000A53C0">
        <w:rPr>
          <w:rFonts w:cs="Arial"/>
        </w:rPr>
        <w:t xml:space="preserve">A PCBU must undertake air monitoring in the breathing zone of workers </w:t>
      </w:r>
      <w:r w:rsidRPr="000A53C0">
        <w:rPr>
          <w:rFonts w:cs="Arial"/>
        </w:rPr>
        <w:fldChar w:fldCharType="begin"/>
      </w:r>
      <w:r w:rsidRPr="000A53C0">
        <w:rPr>
          <w:rFonts w:cs="Arial"/>
        </w:rPr>
        <w:instrText xml:space="preserve"> ADDIN ZOTERO_ITEM CSL_CITATION {"citationID":"bvw1dB5y","properties":{"formattedCitation":"(Safe Work Australia 2013)","plainCitation":"(Safe Work Australia 2013)","noteIndex":0},"citationItems":[{"id":906,"uris":["http://zotero.org/users/6230888/items/8YYZRRMQ"],"itemData":{"id":906,"type":"report","page":"43","title":"Workplace Exposure Standards for Airborne Contaminants","URL":"https://www.safeworkaustralia.gov.au/system/files/documents/1705/workplace-exposure-standards-airborne-contaminants-v2.pdf","author":[{"literal":"Safe Work Australia"}],"accessed":{"date-parts":[["2022",6,30]]},"issued":{"date-parts":[["2013"]]}}}],"schema":"https://github.com/citation-style-language/schema/raw/master/csl-citation.json"} </w:instrText>
      </w:r>
      <w:r w:rsidRPr="000A53C0">
        <w:rPr>
          <w:rFonts w:cs="Arial"/>
        </w:rPr>
        <w:fldChar w:fldCharType="separate"/>
      </w:r>
      <w:r w:rsidRPr="000A53C0">
        <w:rPr>
          <w:rFonts w:cs="Arial"/>
        </w:rPr>
        <w:t>(Safe Work Australia 2013)</w:t>
      </w:r>
      <w:r w:rsidRPr="000A53C0">
        <w:rPr>
          <w:rFonts w:cs="Arial"/>
        </w:rPr>
        <w:fldChar w:fldCharType="end"/>
      </w:r>
      <w:r w:rsidRPr="000A53C0">
        <w:rPr>
          <w:rFonts w:cs="Arial"/>
        </w:rPr>
        <w:t xml:space="preserve"> if there is uncertainty that the workplace exposure standard is being exceeded or if it is necessary to determine whether there is a risk to a worker’s health.</w:t>
      </w:r>
      <w:r w:rsidRPr="000A53C0">
        <w:rPr>
          <w:rFonts w:cs="Arial"/>
          <w:vertAlign w:val="superscript"/>
        </w:rPr>
        <w:footnoteReference w:id="25"/>
      </w:r>
      <w:r w:rsidRPr="000A53C0">
        <w:rPr>
          <w:rFonts w:cs="Arial"/>
        </w:rPr>
        <w:t xml:space="preserve"> Air monitoring records must be kept for a period of 30 years and must be readily accessible to persons in the workplace who may be exposed to RCS.</w:t>
      </w:r>
      <w:r w:rsidRPr="000A53C0">
        <w:rPr>
          <w:rFonts w:cs="Arial"/>
          <w:vertAlign w:val="superscript"/>
        </w:rPr>
        <w:footnoteReference w:id="26"/>
      </w:r>
      <w:r w:rsidRPr="000A53C0">
        <w:rPr>
          <w:rFonts w:cs="Arial"/>
        </w:rPr>
        <w:t xml:space="preserve"> The air monitoring report should be made available to a </w:t>
      </w:r>
      <w:r w:rsidR="004D35FE" w:rsidRPr="000A53C0">
        <w:rPr>
          <w:rFonts w:cs="Arial"/>
        </w:rPr>
        <w:t>WHS</w:t>
      </w:r>
      <w:r w:rsidRPr="000A53C0">
        <w:rPr>
          <w:rFonts w:cs="Arial"/>
        </w:rPr>
        <w:t xml:space="preserve"> inspector on request and to a registered medical practitioner carrying out or supervising health monitoring </w:t>
      </w:r>
      <w:r w:rsidRPr="000A53C0">
        <w:rPr>
          <w:rFonts w:cs="Arial"/>
        </w:rPr>
        <w:fldChar w:fldCharType="begin"/>
      </w:r>
      <w:r w:rsidRPr="000A53C0">
        <w:rPr>
          <w:rFonts w:cs="Arial"/>
        </w:rPr>
        <w:instrText xml:space="preserve"> ADDIN ZOTERO_ITEM CSL_CITATION {"citationID":"oGJEJ7pV","properties":{"formattedCitation":"(Safe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w:t>
      </w:r>
    </w:p>
    <w:p w14:paraId="27D5EEA9" w14:textId="77777777" w:rsidR="00787BEC" w:rsidRPr="000A53C0" w:rsidRDefault="00787BEC" w:rsidP="00514CCB">
      <w:pPr>
        <w:pStyle w:val="Heading3"/>
      </w:pPr>
      <w:r w:rsidRPr="000A53C0">
        <w:t>Health monitoring</w:t>
      </w:r>
    </w:p>
    <w:p w14:paraId="55319DC3" w14:textId="20BC5E53" w:rsidR="00787BEC" w:rsidRPr="000A53C0" w:rsidRDefault="00787BEC" w:rsidP="005A0B2D">
      <w:pPr>
        <w:pStyle w:val="BodyText"/>
        <w:rPr>
          <w:rFonts w:cs="Arial"/>
        </w:rPr>
      </w:pPr>
      <w:r w:rsidRPr="000A53C0">
        <w:rPr>
          <w:rFonts w:cs="Arial"/>
        </w:rPr>
        <w:t>PCBUs must also provide and pay for health monitoring for workers if they carry out ongoing work generating RCS, or there is a significant risk to the worker’s health because of exposure.</w:t>
      </w:r>
      <w:r w:rsidRPr="000A53C0">
        <w:rPr>
          <w:rFonts w:cs="Arial"/>
          <w:vertAlign w:val="superscript"/>
        </w:rPr>
        <w:footnoteReference w:id="27"/>
      </w:r>
      <w:r w:rsidRPr="000A53C0">
        <w:rPr>
          <w:rFonts w:cs="Arial"/>
        </w:rPr>
        <w:t xml:space="preserve"> Health monitoring must be undertaken by or under the supervision of a medical practitioner with experience in health monitoring and a record must be given to the worker as soon as practicable after receipt</w:t>
      </w:r>
      <w:r w:rsidR="00DE6E10" w:rsidRPr="000A53C0">
        <w:rPr>
          <w:rFonts w:cs="Arial"/>
        </w:rPr>
        <w:t xml:space="preserve">, be kept for a period </w:t>
      </w:r>
      <w:r w:rsidR="00961961" w:rsidRPr="000A53C0">
        <w:rPr>
          <w:rFonts w:cs="Arial"/>
        </w:rPr>
        <w:t>o</w:t>
      </w:r>
      <w:r w:rsidR="00DE6E10" w:rsidRPr="000A53C0">
        <w:rPr>
          <w:rFonts w:cs="Arial"/>
        </w:rPr>
        <w:t>f 30 years</w:t>
      </w:r>
      <w:r w:rsidRPr="000A53C0">
        <w:rPr>
          <w:rFonts w:cs="Arial"/>
        </w:rPr>
        <w:t xml:space="preserve"> and </w:t>
      </w:r>
      <w:r w:rsidR="00DE6E10" w:rsidRPr="000A53C0">
        <w:rPr>
          <w:rFonts w:cs="Arial"/>
        </w:rPr>
        <w:t xml:space="preserve">given </w:t>
      </w:r>
      <w:r w:rsidRPr="000A53C0">
        <w:rPr>
          <w:rFonts w:cs="Arial"/>
        </w:rPr>
        <w:t>to the WHS regulator in certain circumstances.</w:t>
      </w:r>
      <w:r w:rsidRPr="000A53C0">
        <w:rPr>
          <w:rFonts w:cs="Arial"/>
          <w:vertAlign w:val="superscript"/>
        </w:rPr>
        <w:footnoteReference w:id="28"/>
      </w:r>
    </w:p>
    <w:p w14:paraId="6B7E2FE8" w14:textId="77777777" w:rsidR="00787BEC" w:rsidRPr="000A53C0" w:rsidRDefault="00787BEC" w:rsidP="005A0B2D">
      <w:pPr>
        <w:pStyle w:val="BodyText"/>
        <w:rPr>
          <w:rFonts w:cs="Arial"/>
        </w:rPr>
      </w:pPr>
      <w:r w:rsidRPr="000A53C0">
        <w:rPr>
          <w:rFonts w:cs="Arial"/>
        </w:rPr>
        <w:t xml:space="preserve">Under Schedule 14 to the model WHS Regulations, the minimum requirements for health monitoring for crystalline silica through exposure to RCS are: </w:t>
      </w:r>
    </w:p>
    <w:p w14:paraId="6300D0F7" w14:textId="77777777" w:rsidR="00787BEC" w:rsidRPr="000A53C0" w:rsidRDefault="0D8EB088" w:rsidP="001B44C4">
      <w:pPr>
        <w:pStyle w:val="IAListbullet2"/>
        <w:rPr>
          <w:rFonts w:cs="Arial"/>
        </w:rPr>
      </w:pPr>
      <w:r w:rsidRPr="000A53C0">
        <w:rPr>
          <w:rFonts w:cs="Arial"/>
        </w:rPr>
        <w:t>collection of demographic, medical and occupational history</w:t>
      </w:r>
    </w:p>
    <w:p w14:paraId="315D6CF9" w14:textId="77777777" w:rsidR="00787BEC" w:rsidRPr="000A53C0" w:rsidRDefault="0D8EB088" w:rsidP="001B44C4">
      <w:pPr>
        <w:pStyle w:val="IAListbullet2"/>
        <w:rPr>
          <w:rFonts w:cs="Arial"/>
        </w:rPr>
      </w:pPr>
      <w:r w:rsidRPr="000A53C0">
        <w:rPr>
          <w:rFonts w:cs="Arial"/>
        </w:rPr>
        <w:t>records of personal exposure</w:t>
      </w:r>
    </w:p>
    <w:p w14:paraId="682A4CBE" w14:textId="77777777" w:rsidR="00787BEC" w:rsidRPr="000A53C0" w:rsidRDefault="0D8EB088" w:rsidP="001B44C4">
      <w:pPr>
        <w:pStyle w:val="IAListbullet2"/>
        <w:rPr>
          <w:rFonts w:cs="Arial"/>
        </w:rPr>
      </w:pPr>
      <w:r w:rsidRPr="000A53C0">
        <w:rPr>
          <w:rFonts w:cs="Arial"/>
        </w:rPr>
        <w:lastRenderedPageBreak/>
        <w:t>standardised respiratory questionnaire</w:t>
      </w:r>
    </w:p>
    <w:p w14:paraId="39CF0F62" w14:textId="77777777" w:rsidR="00787BEC" w:rsidRPr="000A53C0" w:rsidRDefault="0D8EB088" w:rsidP="001B44C4">
      <w:pPr>
        <w:pStyle w:val="IAListbullet2"/>
        <w:rPr>
          <w:rFonts w:cs="Arial"/>
        </w:rPr>
      </w:pPr>
      <w:r w:rsidRPr="000A53C0">
        <w:rPr>
          <w:rFonts w:cs="Arial"/>
        </w:rPr>
        <w:t xml:space="preserve">standardised respiratory function tests, and </w:t>
      </w:r>
    </w:p>
    <w:p w14:paraId="578DEDD4" w14:textId="77777777" w:rsidR="00787BEC" w:rsidRPr="000A53C0" w:rsidRDefault="0D8EB088" w:rsidP="001B44C4">
      <w:pPr>
        <w:pStyle w:val="IAListbullet2"/>
        <w:rPr>
          <w:rFonts w:cs="Arial"/>
        </w:rPr>
      </w:pPr>
      <w:r w:rsidRPr="000A53C0">
        <w:rPr>
          <w:rFonts w:cs="Arial"/>
        </w:rPr>
        <w:t>chest X-Ray full posterior-anterior view.</w:t>
      </w:r>
    </w:p>
    <w:p w14:paraId="7AE9C5F0" w14:textId="6A310CA5" w:rsidR="00787BEC" w:rsidRPr="000A53C0" w:rsidRDefault="00787BEC" w:rsidP="005A0B2D">
      <w:pPr>
        <w:pStyle w:val="BodyText"/>
        <w:rPr>
          <w:rFonts w:cs="Arial"/>
        </w:rPr>
      </w:pPr>
      <w:r w:rsidRPr="000A53C0">
        <w:rPr>
          <w:rFonts w:cs="Arial"/>
        </w:rPr>
        <w:t xml:space="preserve">The model WHS Regulations allow for alternative types of health monitoring if they are equal </w:t>
      </w:r>
      <w:r w:rsidR="00DE6E10" w:rsidRPr="000A53C0">
        <w:rPr>
          <w:rFonts w:cs="Arial"/>
        </w:rPr>
        <w:t xml:space="preserve">to </w:t>
      </w:r>
      <w:r w:rsidRPr="000A53C0">
        <w:rPr>
          <w:rFonts w:cs="Arial"/>
        </w:rPr>
        <w:t>or better t</w:t>
      </w:r>
      <w:r w:rsidR="00DE6E10" w:rsidRPr="000A53C0">
        <w:rPr>
          <w:rFonts w:cs="Arial"/>
        </w:rPr>
        <w:t>han</w:t>
      </w:r>
      <w:r w:rsidRPr="000A53C0">
        <w:rPr>
          <w:rFonts w:cs="Arial"/>
        </w:rPr>
        <w:t xml:space="preserve"> these methods and the use of that other type of monitoring is recommended by a registered medical practitioner with experience in health monitoring.</w:t>
      </w:r>
      <w:r w:rsidRPr="000A53C0">
        <w:rPr>
          <w:rStyle w:val="FootnoteReference"/>
          <w:rFonts w:cs="Arial"/>
        </w:rPr>
        <w:footnoteReference w:id="29"/>
      </w:r>
      <w:r w:rsidRPr="000A53C0">
        <w:rPr>
          <w:rFonts w:cs="Arial"/>
        </w:rPr>
        <w:t xml:space="preserve"> In Western Australia low dose H</w:t>
      </w:r>
      <w:r w:rsidR="009D568D" w:rsidRPr="000A53C0">
        <w:rPr>
          <w:rFonts w:cs="Arial"/>
        </w:rPr>
        <w:t>igh resolution computed tomography</w:t>
      </w:r>
      <w:r w:rsidRPr="000A53C0">
        <w:rPr>
          <w:rFonts w:cs="Arial"/>
        </w:rPr>
        <w:t xml:space="preserve"> is explicitly required instead of chest X-Ray for health monitoring. </w:t>
      </w:r>
    </w:p>
    <w:p w14:paraId="755B85EA" w14:textId="6C15FC48" w:rsidR="00787BEC" w:rsidRPr="000A53C0" w:rsidRDefault="00787BEC" w:rsidP="005A0B2D">
      <w:pPr>
        <w:pStyle w:val="BodyText"/>
        <w:rPr>
          <w:rFonts w:cs="Arial"/>
        </w:rPr>
      </w:pPr>
      <w:r w:rsidRPr="000A53C0">
        <w:rPr>
          <w:rFonts w:cs="Arial"/>
        </w:rPr>
        <w:t>The PCBU is also responsible for providing information to staff about health monitoring, and for providing copies of the health monitoring report to other PCBUs who have a duty to</w:t>
      </w:r>
      <w:r w:rsidR="003825ED" w:rsidRPr="000A53C0">
        <w:rPr>
          <w:rFonts w:cs="Arial"/>
        </w:rPr>
        <w:t xml:space="preserve"> provide health monitoring to</w:t>
      </w:r>
      <w:r w:rsidRPr="000A53C0">
        <w:rPr>
          <w:rFonts w:cs="Arial"/>
        </w:rPr>
        <w:t xml:space="preserve"> the worker </w:t>
      </w:r>
      <w:r w:rsidRPr="000A53C0">
        <w:rPr>
          <w:rFonts w:cs="Arial"/>
        </w:rPr>
        <w:fldChar w:fldCharType="begin"/>
      </w:r>
      <w:r w:rsidRPr="000A53C0">
        <w:rPr>
          <w:rFonts w:cs="Arial"/>
        </w:rPr>
        <w:instrText xml:space="preserve"> ADDIN ZOTERO_ITEM CSL_CITATION {"citationID":"2DgHLzFf","properties":{"formattedCitation":"(Safe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 xml:space="preserve">. If a report indicates that a worker is experiencing adverse health effects or signs of illness because of exposure to RCS, control measures in the workplace must be reviewed and revised as necessary </w:t>
      </w:r>
      <w:r w:rsidRPr="000A53C0">
        <w:rPr>
          <w:rFonts w:cs="Arial"/>
        </w:rPr>
        <w:fldChar w:fldCharType="begin"/>
      </w:r>
      <w:r w:rsidRPr="000A53C0">
        <w:rPr>
          <w:rFonts w:cs="Arial"/>
        </w:rPr>
        <w:instrText xml:space="preserve"> ADDIN ZOTERO_ITEM CSL_CITATION {"citationID":"h5BNMrZM","properties":{"formattedCitation":"(Safe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w:t>
      </w:r>
    </w:p>
    <w:p w14:paraId="532D5A6B" w14:textId="77777777" w:rsidR="00787BEC" w:rsidRPr="000A53C0" w:rsidRDefault="00787BEC" w:rsidP="00514CCB">
      <w:pPr>
        <w:pStyle w:val="Heading2"/>
      </w:pPr>
      <w:r w:rsidRPr="000A53C0">
        <w:t>High risk construction work and preparation of SWMS</w:t>
      </w:r>
    </w:p>
    <w:p w14:paraId="0DF290D1" w14:textId="77777777" w:rsidR="00787BEC" w:rsidRPr="000A53C0" w:rsidRDefault="00787BEC" w:rsidP="005A0B2D">
      <w:pPr>
        <w:pStyle w:val="BodyText"/>
        <w:rPr>
          <w:rFonts w:cs="Arial"/>
        </w:rPr>
      </w:pPr>
      <w:r w:rsidRPr="000A53C0">
        <w:rPr>
          <w:rFonts w:cs="Arial"/>
        </w:rPr>
        <w:t xml:space="preserve">Construction work is defined in the model WHS Regulations as any work carried out in connection with the construction, alteration, conversion, fitting-out, commissioning, renovation, repair, maintenance, refurbishment, demolition, decommissioning or dismantling of a structure. Regulation 291 of the model WHS Regulations sets out a list of high risk construction work for which a SWMS is required. This includes work carried out in an area that may have a contaminated or flammable atmosphere. Construction work that involves processing silica-containing materials is high risk construction work when it generates RCS that may contaminate the workplace’s atmosphere and would require a SWMS </w:t>
      </w:r>
      <w:r w:rsidRPr="000A53C0">
        <w:rPr>
          <w:rFonts w:cs="Arial"/>
        </w:rPr>
        <w:fldChar w:fldCharType="begin"/>
      </w:r>
      <w:r w:rsidRPr="000A53C0">
        <w:rPr>
          <w:rFonts w:cs="Arial"/>
        </w:rPr>
        <w:instrText xml:space="preserve"> ADDIN ZOTERO_ITEM CSL_CITATION {"citationID":"QhAMx97o","properties":{"formattedCitation":"(Safe Work Australia 2021a)","plainCitation":"(Safe Work Australia 2021a)","noteIndex":0},"citationItems":[{"id":815,"uris":["http://zotero.org/users/6230888/items/VLQNCP7D"],"itemData":{"id":815,"type":"report","page":"59","title":"Model Code of Practice: Managing the risks of respirable crystalline silica from engineered stone in the workplace","URL":"https://www.safeworkaustralia.gov.au/doc/model-code-practice-managing-risks-respirable-crystalline-silica-engineered-stone-workplace","author":[{"literal":"Safe Work Australia"}],"accessed":{"date-parts":[["2022",6,30]]},"issued":{"date-parts":[["2021"]]}}}],"schema":"https://github.com/citation-style-language/schema/raw/master/csl-citation.json"} </w:instrText>
      </w:r>
      <w:r w:rsidRPr="000A53C0">
        <w:rPr>
          <w:rFonts w:cs="Arial"/>
        </w:rPr>
        <w:fldChar w:fldCharType="separate"/>
      </w:r>
      <w:r w:rsidRPr="000A53C0">
        <w:rPr>
          <w:rFonts w:cs="Arial"/>
        </w:rPr>
        <w:t>(Safe Work Australia 2021a)</w:t>
      </w:r>
      <w:r w:rsidRPr="000A53C0">
        <w:rPr>
          <w:rFonts w:cs="Arial"/>
        </w:rPr>
        <w:fldChar w:fldCharType="end"/>
      </w:r>
      <w:r w:rsidRPr="000A53C0">
        <w:rPr>
          <w:rFonts w:cs="Arial"/>
        </w:rPr>
        <w:t>.</w:t>
      </w:r>
    </w:p>
    <w:p w14:paraId="2DAA6284" w14:textId="77777777" w:rsidR="00787BEC" w:rsidRPr="000A53C0" w:rsidRDefault="00787BEC" w:rsidP="005A0B2D">
      <w:pPr>
        <w:pStyle w:val="BodyText"/>
        <w:rPr>
          <w:rFonts w:cs="Arial"/>
        </w:rPr>
      </w:pPr>
      <w:r w:rsidRPr="000A53C0">
        <w:rPr>
          <w:rFonts w:cs="Arial"/>
        </w:rPr>
        <w:t>The SWMS must be accessible and understandable to any individual who needs to use it.</w:t>
      </w:r>
      <w:r w:rsidRPr="000A53C0">
        <w:rPr>
          <w:rFonts w:cs="Arial"/>
          <w:vertAlign w:val="superscript"/>
        </w:rPr>
        <w:footnoteReference w:id="30"/>
      </w:r>
      <w:r w:rsidRPr="000A53C0">
        <w:rPr>
          <w:rFonts w:cs="Arial"/>
        </w:rPr>
        <w:t xml:space="preserve"> If any high risk construction work is carried out, outside the manner stipulated in the SWMS, the PCBU must ensure that the work is stopped immediately or as soon as it is safe to do so, and only resumed in accordance with the SWMS.</w:t>
      </w:r>
      <w:r w:rsidRPr="000A53C0">
        <w:rPr>
          <w:rFonts w:cs="Arial"/>
          <w:vertAlign w:val="superscript"/>
        </w:rPr>
        <w:footnoteReference w:id="31"/>
      </w:r>
    </w:p>
    <w:p w14:paraId="7C922B74" w14:textId="77777777" w:rsidR="00787BEC" w:rsidRPr="000A53C0" w:rsidRDefault="00787BEC" w:rsidP="00514CCB">
      <w:pPr>
        <w:pStyle w:val="Heading2"/>
      </w:pPr>
      <w:r w:rsidRPr="000A53C0">
        <w:t>Other duties for PCBUs working with engineered stone</w:t>
      </w:r>
    </w:p>
    <w:p w14:paraId="1E0B8604" w14:textId="334B8E03" w:rsidR="008160A6" w:rsidRPr="000A53C0" w:rsidRDefault="00C63BB7" w:rsidP="00C63BB7">
      <w:pPr>
        <w:pStyle w:val="BodyText"/>
        <w:rPr>
          <w:rFonts w:cs="Arial"/>
        </w:rPr>
      </w:pPr>
      <w:r w:rsidRPr="000A53C0">
        <w:rPr>
          <w:rFonts w:cs="Arial"/>
        </w:rPr>
        <w:t xml:space="preserve">The model WHS Regulations </w:t>
      </w:r>
      <w:r w:rsidR="00001F6C" w:rsidRPr="000A53C0">
        <w:rPr>
          <w:rFonts w:cs="Arial"/>
        </w:rPr>
        <w:t xml:space="preserve">were amended in </w:t>
      </w:r>
      <w:r w:rsidR="00A94294" w:rsidRPr="000A53C0">
        <w:rPr>
          <w:rFonts w:cs="Arial"/>
        </w:rPr>
        <w:t>202</w:t>
      </w:r>
      <w:r w:rsidR="00C115F8" w:rsidRPr="000A53C0">
        <w:rPr>
          <w:rFonts w:cs="Arial"/>
        </w:rPr>
        <w:t xml:space="preserve">3 to </w:t>
      </w:r>
      <w:r w:rsidRPr="000A53C0">
        <w:rPr>
          <w:rFonts w:cs="Arial"/>
        </w:rPr>
        <w:t xml:space="preserve">remove any doubt in relation to the applicable control measures when working with engineered stone. </w:t>
      </w:r>
    </w:p>
    <w:p w14:paraId="0DDECB77" w14:textId="602A654F" w:rsidR="006B4B37" w:rsidRPr="000A53C0" w:rsidRDefault="008160A6" w:rsidP="00C63BB7">
      <w:pPr>
        <w:pStyle w:val="BodyText"/>
        <w:rPr>
          <w:rFonts w:cs="Arial"/>
        </w:rPr>
      </w:pPr>
      <w:r w:rsidRPr="000A53C0">
        <w:rPr>
          <w:rFonts w:cs="Arial"/>
        </w:rPr>
        <w:t xml:space="preserve">A </w:t>
      </w:r>
      <w:r w:rsidR="00FE0DF3" w:rsidRPr="000A53C0">
        <w:rPr>
          <w:rFonts w:cs="Arial"/>
        </w:rPr>
        <w:t>PCBU</w:t>
      </w:r>
      <w:r w:rsidRPr="000A53C0">
        <w:rPr>
          <w:rFonts w:cs="Arial"/>
        </w:rPr>
        <w:t xml:space="preserve"> must not process, or direct or allow a worker to process, engineered stone unless the processing of the stone is controlled</w:t>
      </w:r>
      <w:r w:rsidR="00C0698B" w:rsidRPr="000A53C0">
        <w:rPr>
          <w:rFonts w:cs="Arial"/>
        </w:rPr>
        <w:t xml:space="preserve"> through</w:t>
      </w:r>
      <w:r w:rsidRPr="000A53C0">
        <w:rPr>
          <w:rFonts w:cs="Arial"/>
        </w:rPr>
        <w:t xml:space="preserve"> </w:t>
      </w:r>
      <w:r w:rsidR="00C0698B" w:rsidRPr="000A53C0">
        <w:rPr>
          <w:rFonts w:cs="Arial"/>
        </w:rPr>
        <w:t xml:space="preserve">either </w:t>
      </w:r>
      <w:r w:rsidRPr="000A53C0">
        <w:rPr>
          <w:rFonts w:cs="Arial"/>
        </w:rPr>
        <w:t>a water delivery system that supplies a continuous feed of water over the stone being processed to suppress the generation of dust</w:t>
      </w:r>
      <w:r w:rsidR="00C0698B" w:rsidRPr="000A53C0">
        <w:rPr>
          <w:rFonts w:cs="Arial"/>
        </w:rPr>
        <w:t>,</w:t>
      </w:r>
      <w:r w:rsidRPr="000A53C0">
        <w:rPr>
          <w:rFonts w:cs="Arial"/>
        </w:rPr>
        <w:t xml:space="preserve"> an on-tool extraction system</w:t>
      </w:r>
      <w:r w:rsidR="00C0698B" w:rsidRPr="000A53C0">
        <w:rPr>
          <w:rFonts w:cs="Arial"/>
        </w:rPr>
        <w:t>, or</w:t>
      </w:r>
      <w:r w:rsidRPr="000A53C0">
        <w:rPr>
          <w:rFonts w:cs="Arial"/>
        </w:rPr>
        <w:t xml:space="preserve"> a local exhaust ventilation system and respiratory protective equipment. </w:t>
      </w:r>
      <w:r w:rsidR="006C29DC" w:rsidRPr="000A53C0">
        <w:rPr>
          <w:rFonts w:cs="Arial"/>
        </w:rPr>
        <w:t xml:space="preserve">The amended </w:t>
      </w:r>
      <w:r w:rsidR="007B3F8A" w:rsidRPr="000A53C0">
        <w:rPr>
          <w:rFonts w:cs="Arial"/>
        </w:rPr>
        <w:t xml:space="preserve">model WHS Regulations </w:t>
      </w:r>
      <w:r w:rsidR="006B6067" w:rsidRPr="000A53C0">
        <w:rPr>
          <w:rFonts w:cs="Arial"/>
        </w:rPr>
        <w:t>also provide a definition of</w:t>
      </w:r>
      <w:r w:rsidRPr="000A53C0">
        <w:rPr>
          <w:rFonts w:cs="Arial"/>
        </w:rPr>
        <w:t xml:space="preserve"> engineered stone</w:t>
      </w:r>
      <w:r w:rsidR="006B6067" w:rsidRPr="000A53C0">
        <w:rPr>
          <w:rFonts w:cs="Arial"/>
        </w:rPr>
        <w:t xml:space="preserve"> </w:t>
      </w:r>
      <w:r w:rsidR="00FE6FD2" w:rsidRPr="000A53C0">
        <w:rPr>
          <w:rFonts w:cs="Arial"/>
        </w:rPr>
        <w:t>as</w:t>
      </w:r>
      <w:r w:rsidRPr="000A53C0">
        <w:rPr>
          <w:rFonts w:cs="Arial"/>
        </w:rPr>
        <w:t xml:space="preserve"> mean</w:t>
      </w:r>
      <w:r w:rsidR="00FE6FD2" w:rsidRPr="000A53C0">
        <w:rPr>
          <w:rFonts w:cs="Arial"/>
        </w:rPr>
        <w:t>ing</w:t>
      </w:r>
      <w:r w:rsidRPr="000A53C0">
        <w:rPr>
          <w:rFonts w:cs="Arial"/>
        </w:rPr>
        <w:t xml:space="preserve"> an artificial product that: </w:t>
      </w:r>
    </w:p>
    <w:p w14:paraId="67335372" w14:textId="38B3458E" w:rsidR="006B4B37" w:rsidRPr="000A53C0" w:rsidRDefault="008160A6" w:rsidP="00766916">
      <w:pPr>
        <w:pStyle w:val="BodyText"/>
        <w:numPr>
          <w:ilvl w:val="0"/>
          <w:numId w:val="45"/>
        </w:numPr>
        <w:rPr>
          <w:rFonts w:cs="Arial"/>
        </w:rPr>
      </w:pPr>
      <w:r w:rsidRPr="000A53C0">
        <w:rPr>
          <w:rFonts w:cs="Arial"/>
        </w:rPr>
        <w:t>contains crystalline silica</w:t>
      </w:r>
      <w:r w:rsidR="006B4B37" w:rsidRPr="000A53C0">
        <w:rPr>
          <w:rFonts w:cs="Arial"/>
        </w:rPr>
        <w:t>,</w:t>
      </w:r>
      <w:r w:rsidRPr="000A53C0">
        <w:rPr>
          <w:rFonts w:cs="Arial"/>
        </w:rPr>
        <w:t xml:space="preserve"> and </w:t>
      </w:r>
    </w:p>
    <w:p w14:paraId="4242DE7A" w14:textId="0F195C6F" w:rsidR="006B4B37" w:rsidRPr="000A53C0" w:rsidRDefault="008160A6" w:rsidP="00766916">
      <w:pPr>
        <w:pStyle w:val="BodyText"/>
        <w:numPr>
          <w:ilvl w:val="0"/>
          <w:numId w:val="45"/>
        </w:numPr>
        <w:rPr>
          <w:rFonts w:cs="Arial"/>
        </w:rPr>
      </w:pPr>
      <w:r w:rsidRPr="000A53C0">
        <w:rPr>
          <w:rFonts w:cs="Arial"/>
        </w:rPr>
        <w:t>is created by combining natural stone materials with other chemical constituents such as water, resins or pigments</w:t>
      </w:r>
      <w:r w:rsidR="006B4B37" w:rsidRPr="000A53C0">
        <w:rPr>
          <w:rFonts w:cs="Arial"/>
        </w:rPr>
        <w:t>,</w:t>
      </w:r>
      <w:r w:rsidRPr="000A53C0">
        <w:rPr>
          <w:rFonts w:cs="Arial"/>
        </w:rPr>
        <w:t xml:space="preserve"> and </w:t>
      </w:r>
    </w:p>
    <w:p w14:paraId="53E2F0F4" w14:textId="77777777" w:rsidR="004944FC" w:rsidRPr="000A53C0" w:rsidRDefault="008160A6" w:rsidP="00766916">
      <w:pPr>
        <w:pStyle w:val="BodyText"/>
        <w:numPr>
          <w:ilvl w:val="0"/>
          <w:numId w:val="45"/>
        </w:numPr>
        <w:rPr>
          <w:rFonts w:cs="Arial"/>
        </w:rPr>
      </w:pPr>
      <w:r w:rsidRPr="000A53C0">
        <w:rPr>
          <w:rFonts w:cs="Arial"/>
        </w:rPr>
        <w:lastRenderedPageBreak/>
        <w:t>undergoes a process to become hardene</w:t>
      </w:r>
      <w:r w:rsidR="004944FC" w:rsidRPr="000A53C0">
        <w:rPr>
          <w:rFonts w:cs="Arial"/>
        </w:rPr>
        <w:t>d.</w:t>
      </w:r>
    </w:p>
    <w:p w14:paraId="41BB4E76" w14:textId="0582B07B" w:rsidR="008160A6" w:rsidRPr="000A53C0" w:rsidRDefault="004944FC" w:rsidP="004944FC">
      <w:pPr>
        <w:pStyle w:val="BodyText"/>
        <w:rPr>
          <w:rFonts w:cs="Arial"/>
        </w:rPr>
      </w:pPr>
      <w:r w:rsidRPr="000A53C0">
        <w:rPr>
          <w:rFonts w:cs="Arial"/>
        </w:rPr>
        <w:t>Engine</w:t>
      </w:r>
      <w:r w:rsidR="005E225C" w:rsidRPr="000A53C0">
        <w:rPr>
          <w:rFonts w:cs="Arial"/>
        </w:rPr>
        <w:t>e</w:t>
      </w:r>
      <w:r w:rsidRPr="000A53C0">
        <w:rPr>
          <w:rFonts w:cs="Arial"/>
        </w:rPr>
        <w:t xml:space="preserve">red stone </w:t>
      </w:r>
      <w:r w:rsidR="008160A6" w:rsidRPr="000A53C0">
        <w:rPr>
          <w:rFonts w:cs="Arial"/>
        </w:rPr>
        <w:t>does not include</w:t>
      </w:r>
      <w:r w:rsidR="005E225C" w:rsidRPr="000A53C0">
        <w:rPr>
          <w:rFonts w:cs="Arial"/>
        </w:rPr>
        <w:t>:</w:t>
      </w:r>
      <w:r w:rsidR="008160A6" w:rsidRPr="000A53C0">
        <w:rPr>
          <w:rFonts w:cs="Arial"/>
        </w:rPr>
        <w:t xml:space="preserve"> concrete and cement products; bricks, pavers and other similar blocks; ceramic and porcelain wall and floor tiles; roof tiles; grout, mortar and render; </w:t>
      </w:r>
      <w:r w:rsidR="005E225C" w:rsidRPr="000A53C0">
        <w:rPr>
          <w:rFonts w:cs="Arial"/>
        </w:rPr>
        <w:t>and</w:t>
      </w:r>
      <w:r w:rsidR="008160A6" w:rsidRPr="000A53C0">
        <w:rPr>
          <w:rFonts w:cs="Arial"/>
        </w:rPr>
        <w:t xml:space="preserve"> plasterboard</w:t>
      </w:r>
      <w:r w:rsidR="005E225C" w:rsidRPr="000A53C0">
        <w:rPr>
          <w:rFonts w:cs="Arial"/>
        </w:rPr>
        <w:t>.</w:t>
      </w:r>
    </w:p>
    <w:p w14:paraId="0E9A089D" w14:textId="33F6F0CB" w:rsidR="00787BEC" w:rsidRPr="000A53C0" w:rsidRDefault="00787BEC" w:rsidP="005A0B2D">
      <w:pPr>
        <w:pStyle w:val="BodyText"/>
        <w:rPr>
          <w:rFonts w:cs="Arial"/>
        </w:rPr>
      </w:pPr>
      <w:r w:rsidRPr="000A53C0">
        <w:rPr>
          <w:rFonts w:cs="Arial"/>
        </w:rPr>
        <w:t xml:space="preserve">The model Code of Practice: Managing the risks of respirable crystalline silica from engineered stone in the workplace (the model Code), published in October 2021, outlines specific </w:t>
      </w:r>
      <w:r w:rsidR="00DE36CD" w:rsidRPr="000A53C0">
        <w:rPr>
          <w:rFonts w:cs="Arial"/>
        </w:rPr>
        <w:t xml:space="preserve">ways in which </w:t>
      </w:r>
      <w:r w:rsidRPr="000A53C0">
        <w:rPr>
          <w:rFonts w:cs="Arial"/>
        </w:rPr>
        <w:t>PCBUs working with engineered stone</w:t>
      </w:r>
      <w:r w:rsidR="00DE36CD" w:rsidRPr="000A53C0">
        <w:rPr>
          <w:rFonts w:cs="Arial"/>
        </w:rPr>
        <w:t xml:space="preserve"> can comply with their WHS duties and describes effective ways to identify and manage the risks from silica</w:t>
      </w:r>
      <w:r w:rsidRPr="000A53C0">
        <w:rPr>
          <w:rFonts w:cs="Arial"/>
        </w:rPr>
        <w:t xml:space="preserve">. </w:t>
      </w:r>
    </w:p>
    <w:p w14:paraId="306ECE57" w14:textId="2A6F92F8" w:rsidR="005633A7" w:rsidRPr="000A53C0" w:rsidRDefault="005633A7" w:rsidP="005633A7">
      <w:pPr>
        <w:pStyle w:val="BodyText"/>
        <w:rPr>
          <w:rFonts w:cs="Arial"/>
        </w:rPr>
      </w:pPr>
      <w:r w:rsidRPr="000A53C0">
        <w:rPr>
          <w:rFonts w:cs="Arial"/>
        </w:rPr>
        <w:t xml:space="preserve">In most cases, following an approved code of practice would achieve compliance with the health and safety duties in a jurisdiction’s WHS Act and Regulations. Courts may </w:t>
      </w:r>
      <w:r w:rsidR="0020722A" w:rsidRPr="000A53C0">
        <w:rPr>
          <w:rFonts w:cs="Arial"/>
        </w:rPr>
        <w:t xml:space="preserve">have </w:t>
      </w:r>
      <w:r w:rsidRPr="000A53C0">
        <w:rPr>
          <w:rFonts w:cs="Arial"/>
        </w:rPr>
        <w:t xml:space="preserve">regard </w:t>
      </w:r>
      <w:r w:rsidR="0020722A" w:rsidRPr="000A53C0">
        <w:rPr>
          <w:rFonts w:cs="Arial"/>
        </w:rPr>
        <w:t xml:space="preserve">to </w:t>
      </w:r>
      <w:r w:rsidRPr="000A53C0">
        <w:rPr>
          <w:rFonts w:cs="Arial"/>
        </w:rPr>
        <w:t>an approved code of practice as evidence of what is known about a hazard, risk</w:t>
      </w:r>
      <w:r w:rsidR="0020722A" w:rsidRPr="000A53C0">
        <w:rPr>
          <w:rFonts w:cs="Arial"/>
        </w:rPr>
        <w:t>, risk assessment</w:t>
      </w:r>
      <w:r w:rsidRPr="000A53C0">
        <w:rPr>
          <w:rFonts w:cs="Arial"/>
        </w:rPr>
        <w:t xml:space="preserve"> or </w:t>
      </w:r>
      <w:r w:rsidR="0020722A" w:rsidRPr="000A53C0">
        <w:rPr>
          <w:rFonts w:cs="Arial"/>
        </w:rPr>
        <w:t xml:space="preserve">risk </w:t>
      </w:r>
      <w:r w:rsidRPr="000A53C0">
        <w:rPr>
          <w:rFonts w:cs="Arial"/>
        </w:rPr>
        <w:t>control and may rely on the code to determine what is reasonably practicable in the circumstances.</w:t>
      </w:r>
    </w:p>
    <w:p w14:paraId="46493219" w14:textId="5D512B05" w:rsidR="00787BEC" w:rsidRPr="000A53C0" w:rsidRDefault="00787BEC" w:rsidP="005A0B2D">
      <w:pPr>
        <w:pStyle w:val="BodyText"/>
        <w:rPr>
          <w:rFonts w:cs="Arial"/>
        </w:rPr>
      </w:pPr>
      <w:r w:rsidRPr="000A53C0">
        <w:rPr>
          <w:rFonts w:cs="Arial"/>
        </w:rPr>
        <w:t xml:space="preserve">To have legal effect in a jurisdiction, a model Code must be approved as a code of practice in that jurisdiction. As of June 2022, the model Code has been </w:t>
      </w:r>
      <w:r w:rsidR="00A82B6D" w:rsidRPr="000A53C0">
        <w:rPr>
          <w:rFonts w:cs="Arial"/>
        </w:rPr>
        <w:t>implement</w:t>
      </w:r>
      <w:r w:rsidRPr="000A53C0">
        <w:rPr>
          <w:rFonts w:cs="Arial"/>
        </w:rPr>
        <w:t xml:space="preserve">ed in New South Wales and Tasmania. In 2019, Queensland implemented a Code of Practice: Managing respirable crystalline silica dust exposure in the stone benchtop industry covering natural and engineered stone (Workplace Health and Safety Queensland 2019). WorkSafe Victoria has also implemented a Compliance Code: Managing Exposure to Crystalline Silica - Engineered Stone </w:t>
      </w:r>
      <w:r w:rsidRPr="000A53C0">
        <w:rPr>
          <w:rFonts w:cs="Arial"/>
        </w:rPr>
        <w:fldChar w:fldCharType="begin"/>
      </w:r>
      <w:r w:rsidRPr="000A53C0">
        <w:rPr>
          <w:rFonts w:cs="Arial"/>
        </w:rPr>
        <w:instrText xml:space="preserve"> ADDIN ZOTERO_ITEM CSL_CITATION {"citationID":"jVohT0Ti","properties":{"formattedCitation":"(WorkSafe Victoria 2020)","plainCitation":"(WorkSafe Victoria 2020)","noteIndex":0},"citationItems":[{"id":910,"uris":["http://zotero.org/users/6230888/items/TKUYXSS4"],"itemData":{"id":910,"type":"document","title":"Compliance Code: Managing Exposure to Crystalline Silica - Engineered Stone","URL":"https://content.api.worksafe.vic.gov.au/sites/default/files/2020-02/ISBN-Compliance-code-managing-exposure-crystalline-silica-engineered-stone-2020-02.pdf","author":[{"literal":"WorkSafe Victoria"}],"accessed":{"date-parts":[["2022",6,30]]},"issued":{"date-parts":[["2020"]]}}}],"schema":"https://github.com/citation-style-language/schema/raw/master/csl-citation.json"} </w:instrText>
      </w:r>
      <w:r w:rsidRPr="000A53C0">
        <w:rPr>
          <w:rFonts w:cs="Arial"/>
        </w:rPr>
        <w:fldChar w:fldCharType="separate"/>
      </w:r>
      <w:r w:rsidRPr="000A53C0">
        <w:rPr>
          <w:rFonts w:cs="Arial"/>
        </w:rPr>
        <w:t>(WorkSafe Victoria 2020)</w:t>
      </w:r>
      <w:r w:rsidRPr="000A53C0">
        <w:rPr>
          <w:rFonts w:cs="Arial"/>
        </w:rPr>
        <w:fldChar w:fldCharType="end"/>
      </w:r>
      <w:r w:rsidRPr="000A53C0">
        <w:rPr>
          <w:rFonts w:cs="Arial"/>
        </w:rPr>
        <w:t>.</w:t>
      </w:r>
    </w:p>
    <w:p w14:paraId="0113B25E" w14:textId="77777777" w:rsidR="00787BEC" w:rsidRPr="000A53C0" w:rsidRDefault="00787BEC" w:rsidP="005A0B2D">
      <w:pPr>
        <w:pStyle w:val="BodyText"/>
        <w:rPr>
          <w:rFonts w:cs="Arial"/>
        </w:rPr>
      </w:pPr>
      <w:r w:rsidRPr="000A53C0">
        <w:rPr>
          <w:rFonts w:cs="Arial"/>
        </w:rPr>
        <w:t>The model Code:</w:t>
      </w:r>
    </w:p>
    <w:p w14:paraId="1C8B6A56" w14:textId="77777777" w:rsidR="00787BEC" w:rsidRPr="000A53C0" w:rsidRDefault="0D8EB088" w:rsidP="001B44C4">
      <w:pPr>
        <w:pStyle w:val="IAListbullet2"/>
        <w:rPr>
          <w:rFonts w:cs="Arial"/>
        </w:rPr>
      </w:pPr>
      <w:r w:rsidRPr="000A53C0">
        <w:rPr>
          <w:rFonts w:cs="Arial"/>
        </w:rPr>
        <w:t>clarifies that the on-site installation of engineered stone is considered high risk construction work if the processes used to install, modify or repair the engineered stone such as, cutting, grinding, trimming, drilling, sanding, or polishing generate RCS and contaminates the work area</w:t>
      </w:r>
    </w:p>
    <w:p w14:paraId="2B7B38F0" w14:textId="09939033" w:rsidR="00787BEC" w:rsidRPr="000A53C0" w:rsidRDefault="0D8EB088" w:rsidP="001B44C4">
      <w:pPr>
        <w:pStyle w:val="IAListbullet2"/>
        <w:rPr>
          <w:rFonts w:cs="Arial"/>
        </w:rPr>
      </w:pPr>
      <w:r w:rsidRPr="000A53C0">
        <w:rPr>
          <w:rFonts w:cs="Arial"/>
        </w:rPr>
        <w:t>requires PCBU(s) to prepare a SWMS before any on-site installation of engineered stone that involves any processing, modification or repair of engineered stone that may generate RCS</w:t>
      </w:r>
      <w:r w:rsidR="00C63BB7" w:rsidRPr="000A53C0">
        <w:rPr>
          <w:rFonts w:cs="Arial"/>
        </w:rPr>
        <w:t>, and</w:t>
      </w:r>
      <w:r w:rsidRPr="000A53C0">
        <w:rPr>
          <w:rFonts w:cs="Arial"/>
        </w:rPr>
        <w:t xml:space="preserve"> </w:t>
      </w:r>
    </w:p>
    <w:p w14:paraId="1E48AA55" w14:textId="6C7BDA57" w:rsidR="00787BEC" w:rsidRPr="000A53C0" w:rsidRDefault="0D8EB088" w:rsidP="001B44C4">
      <w:pPr>
        <w:pStyle w:val="IAListbullet2"/>
        <w:rPr>
          <w:rFonts w:cs="Arial"/>
        </w:rPr>
      </w:pPr>
      <w:r w:rsidRPr="000A53C0">
        <w:rPr>
          <w:rFonts w:cs="Arial"/>
        </w:rPr>
        <w:t xml:space="preserve">clarifies the duties for PCBUs working with engineered stone to undertake air and health monitoring. </w:t>
      </w:r>
    </w:p>
    <w:p w14:paraId="64BB2E62" w14:textId="1AC1B019" w:rsidR="00787BEC" w:rsidRPr="000A53C0" w:rsidRDefault="00787BEC" w:rsidP="00514CCB">
      <w:pPr>
        <w:pStyle w:val="Heading2"/>
      </w:pPr>
      <w:r w:rsidRPr="000A53C0">
        <w:t xml:space="preserve">Duties of designers, manufacturers, importers, suppliers and those who install or commission </w:t>
      </w:r>
      <w:r w:rsidR="005633A7" w:rsidRPr="000A53C0">
        <w:t xml:space="preserve">substances, </w:t>
      </w:r>
      <w:r w:rsidRPr="000A53C0">
        <w:t>plant or structures</w:t>
      </w:r>
    </w:p>
    <w:p w14:paraId="7BEF4595" w14:textId="6D4A5195" w:rsidR="00787BEC" w:rsidRPr="000A53C0" w:rsidRDefault="00787BEC" w:rsidP="005A0B2D">
      <w:pPr>
        <w:pStyle w:val="BodyText"/>
        <w:rPr>
          <w:rFonts w:cs="Arial"/>
        </w:rPr>
      </w:pPr>
      <w:r w:rsidRPr="000A53C0">
        <w:rPr>
          <w:rFonts w:cs="Arial"/>
        </w:rPr>
        <w:t>A designer, manufacturer, importer or supplier of silica containing products must ensure, so far as is reasonably practicable, that the silica containing product they design, manufacture, import, supply or install is without risk to health and safety</w:t>
      </w:r>
      <w:r w:rsidR="00A50616" w:rsidRPr="000A53C0">
        <w:rPr>
          <w:rStyle w:val="FootnoteReference"/>
          <w:rFonts w:cs="Arial"/>
        </w:rPr>
        <w:footnoteReference w:id="32"/>
      </w:r>
      <w:r w:rsidRPr="000A53C0">
        <w:rPr>
          <w:rFonts w:cs="Arial"/>
        </w:rPr>
        <w:t>. This includes undertaking necessary testing and providing adequate information</w:t>
      </w:r>
      <w:r w:rsidR="00A50616" w:rsidRPr="000A53C0">
        <w:rPr>
          <w:rStyle w:val="FootnoteReference"/>
          <w:rFonts w:cs="Arial"/>
        </w:rPr>
        <w:footnoteReference w:id="33"/>
      </w:r>
      <w:r w:rsidRPr="000A53C0">
        <w:rPr>
          <w:rFonts w:cs="Arial"/>
        </w:rPr>
        <w:t xml:space="preserve"> about the silica containing product. </w:t>
      </w:r>
    </w:p>
    <w:p w14:paraId="254D591F" w14:textId="77777777" w:rsidR="00787BEC" w:rsidRPr="000A53C0" w:rsidRDefault="00787BEC" w:rsidP="005A0B2D">
      <w:pPr>
        <w:pStyle w:val="BodyText"/>
        <w:rPr>
          <w:rFonts w:cs="Arial"/>
        </w:rPr>
      </w:pPr>
      <w:r w:rsidRPr="000A53C0">
        <w:rPr>
          <w:rFonts w:cs="Arial"/>
        </w:rPr>
        <w:t xml:space="preserve">Suppliers of equipment (such as hand-held water-fed power tools or RPE) should take all reasonable steps to ensure appropriate information about the safe use of the equipment is available. </w:t>
      </w:r>
    </w:p>
    <w:p w14:paraId="2360B4A2" w14:textId="77777777" w:rsidR="00787BEC" w:rsidRPr="000A53C0" w:rsidRDefault="00787BEC" w:rsidP="005A0B2D">
      <w:pPr>
        <w:pStyle w:val="BodyText"/>
        <w:rPr>
          <w:rFonts w:cs="Arial"/>
        </w:rPr>
      </w:pPr>
      <w:r w:rsidRPr="000A53C0">
        <w:rPr>
          <w:rFonts w:cs="Arial"/>
        </w:rPr>
        <w:t xml:space="preserve">A PCBU who installs, constructs or commissions structures must also ensure, so far as is reasonably practicable, all workplace activity relating to the plant or structure including its decommissioning or </w:t>
      </w:r>
      <w:r w:rsidRPr="000A53C0">
        <w:rPr>
          <w:rFonts w:cs="Arial"/>
        </w:rPr>
        <w:lastRenderedPageBreak/>
        <w:t>dismantling is without risks to health or safety. A structure is defined as anything that is constructed, whether fixed or moveable, temporary or permanent, including buildings and underground works (such as shafts or tunnels).</w:t>
      </w:r>
    </w:p>
    <w:p w14:paraId="4FFE716F" w14:textId="77777777" w:rsidR="00787BEC" w:rsidRPr="000A53C0" w:rsidRDefault="00787BEC" w:rsidP="00514CCB">
      <w:pPr>
        <w:pStyle w:val="Heading2"/>
      </w:pPr>
      <w:r w:rsidRPr="000A53C0">
        <w:t>Duties of principal contractors</w:t>
      </w:r>
    </w:p>
    <w:p w14:paraId="6F528D35" w14:textId="77777777" w:rsidR="00787BEC" w:rsidRPr="000A53C0" w:rsidRDefault="00787BEC" w:rsidP="005A0B2D">
      <w:pPr>
        <w:pStyle w:val="BodyText"/>
        <w:rPr>
          <w:rFonts w:cs="Arial"/>
        </w:rPr>
      </w:pPr>
      <w:r w:rsidRPr="000A53C0">
        <w:rPr>
          <w:rFonts w:cs="Arial"/>
        </w:rPr>
        <w:t xml:space="preserve">Projects involving construction work that cost $250,000 or more are classified as ‘construction projects’ under the model WHS laws. Each construction project has a ‘principal contractor’. A principal contractor is also a PCBU. </w:t>
      </w:r>
    </w:p>
    <w:p w14:paraId="4D001AF2" w14:textId="77777777" w:rsidR="00787BEC" w:rsidRPr="000A53C0" w:rsidRDefault="00787BEC" w:rsidP="005A0B2D">
      <w:pPr>
        <w:pStyle w:val="BodyText"/>
        <w:rPr>
          <w:rFonts w:cs="Arial"/>
        </w:rPr>
      </w:pPr>
      <w:r w:rsidRPr="000A53C0">
        <w:rPr>
          <w:rFonts w:cs="Arial"/>
        </w:rPr>
        <w:t>In addition to the primary duties imposed on a principal contractor as a PCBU, the principal contractor has duties relating to WHS management plans, ensuring general compliance, and managing specific risks.</w:t>
      </w:r>
    </w:p>
    <w:p w14:paraId="181696F3" w14:textId="77777777" w:rsidR="00787BEC" w:rsidRPr="000A53C0" w:rsidRDefault="00787BEC" w:rsidP="00514CCB">
      <w:pPr>
        <w:pStyle w:val="Heading2"/>
      </w:pPr>
      <w:r w:rsidRPr="000A53C0">
        <w:t>Duties of workers</w:t>
      </w:r>
    </w:p>
    <w:p w14:paraId="35A9A45F" w14:textId="77777777" w:rsidR="00787BEC" w:rsidRPr="000A53C0" w:rsidRDefault="00787BEC" w:rsidP="005A0B2D">
      <w:pPr>
        <w:pStyle w:val="BodyText"/>
        <w:rPr>
          <w:rFonts w:cs="Arial"/>
        </w:rPr>
      </w:pPr>
      <w:r w:rsidRPr="000A53C0">
        <w:rPr>
          <w:rFonts w:cs="Arial"/>
        </w:rPr>
        <w:t>Workers have a duty to take reasonable care for their own health and safety, and to take reasonable care to not adversely affect the health and safety of other persons.</w:t>
      </w:r>
      <w:r w:rsidRPr="000A53C0">
        <w:rPr>
          <w:rStyle w:val="FootnoteReference"/>
          <w:rFonts w:cs="Arial"/>
        </w:rPr>
        <w:footnoteReference w:id="34"/>
      </w:r>
      <w:r w:rsidRPr="000A53C0">
        <w:rPr>
          <w:rFonts w:cs="Arial"/>
        </w:rPr>
        <w:t xml:space="preserve"> </w:t>
      </w:r>
    </w:p>
    <w:p w14:paraId="48139DEA" w14:textId="77777777" w:rsidR="00787BEC" w:rsidRPr="000A53C0" w:rsidRDefault="00787BEC" w:rsidP="005A0B2D">
      <w:pPr>
        <w:pStyle w:val="BodyText"/>
        <w:rPr>
          <w:rFonts w:cs="Arial"/>
        </w:rPr>
      </w:pPr>
      <w:r w:rsidRPr="000A53C0">
        <w:rPr>
          <w:rFonts w:cs="Arial"/>
        </w:rPr>
        <w:t>Workers must also:</w:t>
      </w:r>
    </w:p>
    <w:p w14:paraId="339DE5D6" w14:textId="485E226C" w:rsidR="00787BEC" w:rsidRPr="000A53C0" w:rsidRDefault="0D8EB088" w:rsidP="001B44C4">
      <w:pPr>
        <w:pStyle w:val="IAListbullet2"/>
        <w:rPr>
          <w:rFonts w:cs="Arial"/>
        </w:rPr>
      </w:pPr>
      <w:r w:rsidRPr="000A53C0">
        <w:rPr>
          <w:rFonts w:cs="Arial"/>
        </w:rPr>
        <w:t>comply as far as they are reasonably able with any reasonable instruction given by the PCBU</w:t>
      </w:r>
      <w:r w:rsidR="00141573" w:rsidRPr="000A53C0">
        <w:rPr>
          <w:rFonts w:cs="Arial"/>
        </w:rPr>
        <w:t xml:space="preserve"> to allow the </w:t>
      </w:r>
      <w:r w:rsidR="001E4C05" w:rsidRPr="000A53C0">
        <w:rPr>
          <w:rFonts w:cs="Arial"/>
        </w:rPr>
        <w:t>PCBU to comply with the WHS Act</w:t>
      </w:r>
      <w:r w:rsidRPr="000A53C0">
        <w:rPr>
          <w:rFonts w:cs="Arial"/>
        </w:rPr>
        <w:t>, such as participating in health monitoring and wearing relevant personal protective equipment (PPE), and</w:t>
      </w:r>
    </w:p>
    <w:p w14:paraId="4B8715B0" w14:textId="77777777" w:rsidR="00787BEC" w:rsidRPr="000A53C0" w:rsidRDefault="0D8EB088" w:rsidP="001B44C4">
      <w:pPr>
        <w:pStyle w:val="IAListbullet2"/>
        <w:rPr>
          <w:rFonts w:cs="Arial"/>
        </w:rPr>
      </w:pPr>
      <w:r w:rsidRPr="000A53C0">
        <w:rPr>
          <w:rFonts w:cs="Arial"/>
        </w:rPr>
        <w:t>co-operate with any reasonable policy or procedure relating to WHS at the workplace that has been notified to them.</w:t>
      </w:r>
      <w:r w:rsidR="00787BEC" w:rsidRPr="000A53C0">
        <w:rPr>
          <w:rStyle w:val="FootnoteReference"/>
          <w:rFonts w:cs="Arial"/>
        </w:rPr>
        <w:footnoteReference w:id="35"/>
      </w:r>
    </w:p>
    <w:p w14:paraId="1857DDB4" w14:textId="77777777" w:rsidR="00787BEC" w:rsidRPr="000A53C0" w:rsidRDefault="00787BEC" w:rsidP="005A0B2D">
      <w:pPr>
        <w:pStyle w:val="BodyText"/>
        <w:rPr>
          <w:rFonts w:cs="Arial"/>
        </w:rPr>
      </w:pPr>
      <w:r w:rsidRPr="000A53C0">
        <w:rPr>
          <w:rFonts w:cs="Arial"/>
        </w:rPr>
        <w:t xml:space="preserve">The PCBU must make workers aware of the hazards associated with the use of silica-containing materials, including the process for reporting safety incidents. </w:t>
      </w:r>
    </w:p>
    <w:p w14:paraId="7DE0F0EB" w14:textId="26289CBD" w:rsidR="00787BEC" w:rsidRPr="000A53C0" w:rsidRDefault="00787BEC" w:rsidP="005A0B2D">
      <w:pPr>
        <w:pStyle w:val="BodyText"/>
        <w:rPr>
          <w:rFonts w:cs="Arial"/>
        </w:rPr>
      </w:pPr>
      <w:r w:rsidRPr="000A53C0">
        <w:rPr>
          <w:rFonts w:cs="Arial"/>
        </w:rPr>
        <w:t xml:space="preserve">If a worker refuses to participate in health monitoring or refuses to use PPE as they have been trained and instructed, a PCBU would need to take other action to meet its duties under the </w:t>
      </w:r>
      <w:r w:rsidR="00171522" w:rsidRPr="000A53C0">
        <w:rPr>
          <w:rFonts w:cs="Arial"/>
        </w:rPr>
        <w:t xml:space="preserve">model </w:t>
      </w:r>
      <w:r w:rsidRPr="000A53C0">
        <w:rPr>
          <w:rFonts w:cs="Arial"/>
        </w:rPr>
        <w:t>WHS laws. This could include removing the worker from the source of exposure to RCS.</w:t>
      </w:r>
    </w:p>
    <w:p w14:paraId="39875FDB" w14:textId="77777777" w:rsidR="00787BEC" w:rsidRPr="000A53C0" w:rsidRDefault="00787BEC" w:rsidP="00514CCB">
      <w:pPr>
        <w:pStyle w:val="Heading2"/>
      </w:pPr>
      <w:r w:rsidRPr="000A53C0">
        <w:t xml:space="preserve">Duties of officers </w:t>
      </w:r>
    </w:p>
    <w:p w14:paraId="19753166" w14:textId="77777777" w:rsidR="00787BEC" w:rsidRPr="000A53C0" w:rsidRDefault="00787BEC" w:rsidP="005A0B2D">
      <w:pPr>
        <w:pStyle w:val="BodyText"/>
        <w:rPr>
          <w:rFonts w:cs="Arial"/>
        </w:rPr>
      </w:pPr>
      <w:r w:rsidRPr="000A53C0">
        <w:rPr>
          <w:rFonts w:cs="Arial"/>
        </w:rPr>
        <w:t>An officer (for example a company director) must exercise due diligence to ensure the PCBU complies with the WHS Act and WHS Regulations.</w:t>
      </w:r>
      <w:r w:rsidRPr="000A53C0">
        <w:rPr>
          <w:rStyle w:val="FootnoteReference"/>
          <w:rFonts w:cs="Arial"/>
        </w:rPr>
        <w:footnoteReference w:id="36"/>
      </w:r>
      <w:r w:rsidRPr="000A53C0">
        <w:rPr>
          <w:rFonts w:cs="Arial"/>
        </w:rPr>
        <w:t xml:space="preserve"> This includes taking reasonable steps to ensure the PCBU has and uses appropriate resources and processes to eliminate or minimise risks of working with silica and silica containing products. This includes:</w:t>
      </w:r>
    </w:p>
    <w:p w14:paraId="3FF4CB8E" w14:textId="77777777" w:rsidR="00787BEC" w:rsidRPr="000A53C0" w:rsidRDefault="0D8EB088" w:rsidP="001B44C4">
      <w:pPr>
        <w:pStyle w:val="IAListbullet2"/>
        <w:rPr>
          <w:rFonts w:cs="Arial"/>
        </w:rPr>
      </w:pPr>
      <w:r w:rsidRPr="000A53C0">
        <w:rPr>
          <w:rFonts w:cs="Arial"/>
        </w:rPr>
        <w:t>identifying the hazard of RCS</w:t>
      </w:r>
    </w:p>
    <w:p w14:paraId="2D31D496" w14:textId="77777777" w:rsidR="00787BEC" w:rsidRPr="000A53C0" w:rsidRDefault="0D8EB088" w:rsidP="001B44C4">
      <w:pPr>
        <w:pStyle w:val="IAListbullet2"/>
        <w:rPr>
          <w:rFonts w:cs="Arial"/>
        </w:rPr>
      </w:pPr>
      <w:r w:rsidRPr="000A53C0">
        <w:rPr>
          <w:rFonts w:cs="Arial"/>
        </w:rPr>
        <w:t>controlling the risk of exposure to RCS</w:t>
      </w:r>
    </w:p>
    <w:p w14:paraId="6BB55BB3" w14:textId="77777777" w:rsidR="00787BEC" w:rsidRPr="000A53C0" w:rsidRDefault="0D8EB088" w:rsidP="001B44C4">
      <w:pPr>
        <w:pStyle w:val="IAListbullet2"/>
        <w:rPr>
          <w:rFonts w:cs="Arial"/>
        </w:rPr>
      </w:pPr>
      <w:r w:rsidRPr="000A53C0">
        <w:rPr>
          <w:rFonts w:cs="Arial"/>
        </w:rPr>
        <w:t>conducting air monitoring, and</w:t>
      </w:r>
    </w:p>
    <w:p w14:paraId="278BE0BC" w14:textId="77777777" w:rsidR="00787BEC" w:rsidRPr="000A53C0" w:rsidRDefault="0D8EB088" w:rsidP="001B44C4">
      <w:pPr>
        <w:pStyle w:val="IAListbullet2"/>
        <w:rPr>
          <w:rFonts w:cs="Arial"/>
        </w:rPr>
      </w:pPr>
      <w:r w:rsidRPr="000A53C0">
        <w:rPr>
          <w:rFonts w:cs="Arial"/>
        </w:rPr>
        <w:t xml:space="preserve">providing health monitoring for workers. </w:t>
      </w:r>
    </w:p>
    <w:p w14:paraId="3C3945C4" w14:textId="77777777" w:rsidR="00787BEC" w:rsidRPr="000A53C0" w:rsidRDefault="00787BEC" w:rsidP="00514CCB">
      <w:pPr>
        <w:pStyle w:val="Heading2"/>
      </w:pPr>
      <w:r w:rsidRPr="000A53C0">
        <w:lastRenderedPageBreak/>
        <w:t>Duties of other persons at the workplace</w:t>
      </w:r>
    </w:p>
    <w:p w14:paraId="7C365641" w14:textId="2996DD98" w:rsidR="00787BEC" w:rsidRPr="000A53C0" w:rsidRDefault="00787BEC" w:rsidP="005A0B2D">
      <w:pPr>
        <w:pStyle w:val="BodyText"/>
        <w:rPr>
          <w:rFonts w:cs="Arial"/>
          <w:bCs/>
          <w:sz w:val="32"/>
          <w:szCs w:val="32"/>
        </w:rPr>
      </w:pPr>
      <w:r w:rsidRPr="000A53C0">
        <w:rPr>
          <w:rFonts w:cs="Arial"/>
        </w:rPr>
        <w:t>Other persons at the workplace, like visitors, must take reasonable care for their own health and safety and must take care not to adversely affect other people’s health and safety.</w:t>
      </w:r>
      <w:r w:rsidRPr="000A53C0">
        <w:rPr>
          <w:rStyle w:val="FootnoteReference"/>
          <w:rFonts w:eastAsia="Calibri" w:cs="Arial"/>
        </w:rPr>
        <w:footnoteReference w:id="37"/>
      </w:r>
      <w:r w:rsidRPr="000A53C0">
        <w:rPr>
          <w:rFonts w:cs="Arial"/>
        </w:rPr>
        <w:t xml:space="preserve"> They must comply, so far as they are reasonably able, with reasonable instructions given by the PCBU to allow that person to comply with the WHS Act. </w:t>
      </w:r>
    </w:p>
    <w:p w14:paraId="76B87585" w14:textId="77777777" w:rsidR="002A469D" w:rsidRPr="000A53C0" w:rsidRDefault="002A469D">
      <w:pPr>
        <w:spacing w:after="120" w:line="264" w:lineRule="auto"/>
        <w:rPr>
          <w:rFonts w:cs="Arial"/>
        </w:rPr>
      </w:pPr>
      <w:r w:rsidRPr="000A53C0">
        <w:rPr>
          <w:rFonts w:cs="Arial"/>
        </w:rPr>
        <w:br w:type="page"/>
      </w:r>
    </w:p>
    <w:p w14:paraId="2AB65F75" w14:textId="104C2349" w:rsidR="00425098" w:rsidRPr="000A53C0" w:rsidRDefault="00425098" w:rsidP="00A95303">
      <w:pPr>
        <w:pStyle w:val="Heading1"/>
      </w:pPr>
      <w:bookmarkStart w:id="183" w:name="_Toc142991358"/>
      <w:r w:rsidRPr="000A53C0">
        <w:lastRenderedPageBreak/>
        <w:t xml:space="preserve">Appendix </w:t>
      </w:r>
      <w:r w:rsidR="002D500D" w:rsidRPr="000A53C0">
        <w:t>B</w:t>
      </w:r>
      <w:r w:rsidRPr="000A53C0">
        <w:t xml:space="preserve">: Impact </w:t>
      </w:r>
      <w:r w:rsidR="00343DE1">
        <w:t>a</w:t>
      </w:r>
      <w:r w:rsidRPr="000A53C0">
        <w:t>nalysis</w:t>
      </w:r>
      <w:bookmarkEnd w:id="178"/>
      <w:bookmarkEnd w:id="179"/>
      <w:r w:rsidRPr="000A53C0">
        <w:t xml:space="preserve"> </w:t>
      </w:r>
      <w:r w:rsidR="00343DE1">
        <w:t>m</w:t>
      </w:r>
      <w:r w:rsidRPr="000A53C0">
        <w:t>ethodology</w:t>
      </w:r>
      <w:bookmarkEnd w:id="180"/>
      <w:bookmarkEnd w:id="183"/>
    </w:p>
    <w:p w14:paraId="47D76C4E" w14:textId="59DDD639" w:rsidR="00030457" w:rsidRPr="000A53C0" w:rsidRDefault="002D500D" w:rsidP="00C84BAF">
      <w:pPr>
        <w:pStyle w:val="App2"/>
        <w:rPr>
          <w:rFonts w:cs="Arial"/>
        </w:rPr>
      </w:pPr>
      <w:bookmarkStart w:id="184" w:name="_Ref134617002"/>
      <w:bookmarkStart w:id="185" w:name="_Toc136327239"/>
      <w:bookmarkStart w:id="186" w:name="_Toc142991359"/>
      <w:bookmarkEnd w:id="181"/>
      <w:r w:rsidRPr="000A53C0">
        <w:rPr>
          <w:rFonts w:cs="Arial"/>
        </w:rPr>
        <w:t>B</w:t>
      </w:r>
      <w:r w:rsidR="00030457" w:rsidRPr="000A53C0">
        <w:rPr>
          <w:rFonts w:cs="Arial"/>
        </w:rPr>
        <w:t xml:space="preserve">.1 </w:t>
      </w:r>
      <w:r w:rsidR="00425098" w:rsidRPr="000A53C0">
        <w:rPr>
          <w:rFonts w:cs="Arial"/>
        </w:rPr>
        <w:t xml:space="preserve">Define the </w:t>
      </w:r>
      <w:r w:rsidR="00D14F50">
        <w:rPr>
          <w:rFonts w:cs="Arial"/>
        </w:rPr>
        <w:t>m</w:t>
      </w:r>
      <w:r w:rsidR="00425098" w:rsidRPr="000A53C0">
        <w:rPr>
          <w:rFonts w:cs="Arial"/>
        </w:rPr>
        <w:t>arket</w:t>
      </w:r>
      <w:bookmarkStart w:id="187" w:name="_Toc136327240"/>
      <w:bookmarkStart w:id="188" w:name="_Ref138346349"/>
      <w:bookmarkEnd w:id="184"/>
      <w:bookmarkEnd w:id="185"/>
      <w:bookmarkEnd w:id="186"/>
    </w:p>
    <w:p w14:paraId="0376B000" w14:textId="363A0404" w:rsidR="00425098" w:rsidRPr="000A53C0" w:rsidRDefault="002D500D" w:rsidP="00D657D6">
      <w:pPr>
        <w:pStyle w:val="App3"/>
        <w:rPr>
          <w:rFonts w:cs="Arial"/>
        </w:rPr>
      </w:pPr>
      <w:r w:rsidRPr="000A53C0">
        <w:rPr>
          <w:rFonts w:cs="Arial"/>
        </w:rPr>
        <w:t>B.</w:t>
      </w:r>
      <w:r w:rsidR="00425098" w:rsidRPr="000A53C0">
        <w:rPr>
          <w:rFonts w:cs="Arial"/>
        </w:rPr>
        <w:t>1.1 The market for engineered stone</w:t>
      </w:r>
      <w:bookmarkEnd w:id="187"/>
      <w:bookmarkEnd w:id="188"/>
    </w:p>
    <w:p w14:paraId="7B4AB1C9" w14:textId="77777777" w:rsidR="00425098" w:rsidRPr="000A53C0" w:rsidRDefault="00425098" w:rsidP="009278A5">
      <w:pPr>
        <w:pStyle w:val="BodyText"/>
        <w:rPr>
          <w:rFonts w:cs="Arial"/>
        </w:rPr>
      </w:pPr>
      <w:r w:rsidRPr="000A53C0">
        <w:rPr>
          <w:rFonts w:cs="Arial"/>
        </w:rPr>
        <w:t>Engineered stone was first imported into Australia in the mid-late 1990s and has experienced significant growth due to popularity among home renovators and developers to become the major product in the bathroom and kitchen benchtop market. The previous dominant product was laminate.</w:t>
      </w:r>
      <w:r w:rsidRPr="000A53C0">
        <w:rPr>
          <w:rFonts w:cs="Arial"/>
          <w:vertAlign w:val="superscript"/>
        </w:rPr>
        <w:footnoteReference w:id="38"/>
      </w:r>
      <w:r w:rsidRPr="000A53C0">
        <w:rPr>
          <w:rFonts w:cs="Arial"/>
        </w:rPr>
        <w:t xml:space="preserve"> </w:t>
      </w:r>
    </w:p>
    <w:p w14:paraId="7B93584A" w14:textId="77777777" w:rsidR="00425098" w:rsidRPr="000A53C0" w:rsidRDefault="00425098" w:rsidP="00425098">
      <w:pPr>
        <w:pStyle w:val="BodyText"/>
        <w:rPr>
          <w:rFonts w:cs="Arial"/>
        </w:rPr>
      </w:pPr>
      <w:r w:rsidRPr="000A53C0">
        <w:rPr>
          <w:rFonts w:cs="Arial"/>
        </w:rPr>
        <w:t>The kitchen benchtop market was estimated to be worth about $600 million in 2022, comprising 4.5 million square metres of benchtop. Engineered stone represents about 55% of the Australian market by volume, followed by laminate (29%), porcelain (5%), and granite (4%), with the rest of the market comprising other products.</w:t>
      </w:r>
      <w:r w:rsidRPr="000A53C0">
        <w:rPr>
          <w:rFonts w:cs="Arial"/>
          <w:vertAlign w:val="superscript"/>
        </w:rPr>
        <w:footnoteReference w:id="39"/>
      </w:r>
      <w:r w:rsidRPr="000A53C0">
        <w:rPr>
          <w:rFonts w:cs="Arial"/>
        </w:rPr>
        <w:t xml:space="preserve"> </w:t>
      </w:r>
    </w:p>
    <w:p w14:paraId="5EAEFADA" w14:textId="77777777" w:rsidR="00425098" w:rsidRPr="000A53C0" w:rsidRDefault="00425098" w:rsidP="00425098">
      <w:pPr>
        <w:pStyle w:val="BodyText"/>
        <w:rPr>
          <w:rFonts w:cs="Arial"/>
        </w:rPr>
      </w:pPr>
      <w:r w:rsidRPr="000A53C0">
        <w:rPr>
          <w:rFonts w:cs="Arial"/>
        </w:rPr>
        <w:t>Engineered stone is primarily used in residential dwellings for kitchen and bathroom benchtops, as well as splashbacks and wall and floor tiling.</w:t>
      </w:r>
      <w:r w:rsidRPr="000A53C0">
        <w:rPr>
          <w:rFonts w:cs="Arial"/>
          <w:vertAlign w:val="superscript"/>
        </w:rPr>
        <w:footnoteReference w:id="40"/>
      </w:r>
      <w:r w:rsidRPr="000A53C0">
        <w:rPr>
          <w:rFonts w:cs="Arial"/>
        </w:rPr>
        <w:t xml:space="preserve"> There are an estimated 2-3 million Australian homes with installed engineered stone. The product is also used in the commercial market for benchtops, counters, floors, facades and other interiors in workplaces, retail, care facilities and leisure facilities.</w:t>
      </w:r>
      <w:r w:rsidRPr="000A53C0">
        <w:rPr>
          <w:rFonts w:cs="Arial"/>
          <w:vertAlign w:val="superscript"/>
        </w:rPr>
        <w:footnoteReference w:id="41"/>
      </w:r>
      <w:r w:rsidRPr="000A53C0">
        <w:rPr>
          <w:rFonts w:cs="Arial"/>
        </w:rPr>
        <w:t xml:space="preserve"> </w:t>
      </w:r>
    </w:p>
    <w:p w14:paraId="79DA73A7" w14:textId="54545328" w:rsidR="00425098" w:rsidRPr="000A53C0" w:rsidRDefault="00425098" w:rsidP="00425098">
      <w:pPr>
        <w:pStyle w:val="BodyText"/>
        <w:rPr>
          <w:rFonts w:cs="Arial"/>
        </w:rPr>
      </w:pPr>
      <w:r w:rsidRPr="000A53C0">
        <w:rPr>
          <w:rFonts w:cs="Arial"/>
        </w:rPr>
        <w:t xml:space="preserve">Engineered stone is not manufactured in Australia but is imported from various countries such as China, Israel and the United States. Typically, engineered stone is imported by large </w:t>
      </w:r>
      <w:r w:rsidR="0054046B" w:rsidRPr="000A53C0">
        <w:rPr>
          <w:rFonts w:cs="Arial"/>
        </w:rPr>
        <w:t xml:space="preserve">multi-national </w:t>
      </w:r>
      <w:r w:rsidRPr="000A53C0">
        <w:rPr>
          <w:rFonts w:cs="Arial"/>
        </w:rPr>
        <w:t>suppliers (who are often also the manufacturer) such as</w:t>
      </w:r>
      <w:r w:rsidR="00D259B8" w:rsidRPr="000A53C0">
        <w:rPr>
          <w:rFonts w:cs="Arial"/>
        </w:rPr>
        <w:t xml:space="preserve"> Cosentino,</w:t>
      </w:r>
      <w:r w:rsidRPr="000A53C0">
        <w:rPr>
          <w:rFonts w:cs="Arial"/>
        </w:rPr>
        <w:t xml:space="preserve"> Caesarstone and Smartstone. The imported product is processed in fabrication workshops, and sold on to builders, cabinet makers, architects, and retailers, working on behalf of their customers on residential developments, renovations and commercial fit outs. The cutting, shaping and polishing is done by engineered stone PCBUs to meet the purchased specifications.</w:t>
      </w:r>
      <w:r w:rsidRPr="000A53C0">
        <w:rPr>
          <w:rFonts w:cs="Arial"/>
          <w:vertAlign w:val="superscript"/>
        </w:rPr>
        <w:footnoteReference w:id="42"/>
      </w:r>
      <w:r w:rsidRPr="000A53C0">
        <w:rPr>
          <w:rFonts w:cs="Arial"/>
        </w:rPr>
        <w:t xml:space="preserve"> </w:t>
      </w:r>
    </w:p>
    <w:p w14:paraId="4C93D48A" w14:textId="130B9033" w:rsidR="00425098" w:rsidRPr="000A53C0" w:rsidRDefault="00425098" w:rsidP="00425098">
      <w:pPr>
        <w:pStyle w:val="BodyText"/>
        <w:rPr>
          <w:rFonts w:cs="Arial"/>
        </w:rPr>
      </w:pPr>
      <w:r w:rsidRPr="000A53C0">
        <w:rPr>
          <w:rFonts w:cs="Arial"/>
        </w:rPr>
        <w:t xml:space="preserve">The market is driven primarily by residential building and renovation activity. There have been 170,000 to 215,000 new house dwellings and unit constructions each year over the past </w:t>
      </w:r>
      <w:r w:rsidR="00574592">
        <w:rPr>
          <w:rFonts w:cs="Arial"/>
        </w:rPr>
        <w:t>5</w:t>
      </w:r>
      <w:r w:rsidRPr="000A53C0">
        <w:rPr>
          <w:rFonts w:cs="Arial"/>
        </w:rPr>
        <w:t xml:space="preserve"> years to June 2022 (Australian Bureau of Statistics, 2022), as well as an estimated 150,000 to 160,000 home renovations.</w:t>
      </w:r>
      <w:r w:rsidRPr="000A53C0">
        <w:rPr>
          <w:rFonts w:cs="Arial"/>
          <w:vertAlign w:val="superscript"/>
        </w:rPr>
        <w:footnoteReference w:id="43"/>
      </w:r>
      <w:r w:rsidR="006F6B77" w:rsidRPr="000A53C0">
        <w:rPr>
          <w:rFonts w:cs="Arial"/>
        </w:rPr>
        <w:t xml:space="preserve"> T</w:t>
      </w:r>
      <w:r w:rsidRPr="000A53C0">
        <w:rPr>
          <w:rFonts w:cs="Arial"/>
        </w:rPr>
        <w:t xml:space="preserve">here is an estimated 960,000 to 1,125,000 new and renovated kitchens and bathrooms in Australia per annum. </w:t>
      </w:r>
    </w:p>
    <w:p w14:paraId="5E4D8A2C" w14:textId="53D5AB2D" w:rsidR="00425098" w:rsidRPr="000A53C0" w:rsidRDefault="002D500D" w:rsidP="00D657D6">
      <w:pPr>
        <w:pStyle w:val="App3"/>
        <w:rPr>
          <w:rFonts w:cs="Arial"/>
        </w:rPr>
      </w:pPr>
      <w:bookmarkStart w:id="189" w:name="_Ref136253608"/>
      <w:bookmarkStart w:id="190" w:name="_Toc136327241"/>
      <w:r w:rsidRPr="000A53C0">
        <w:rPr>
          <w:rFonts w:cs="Arial"/>
        </w:rPr>
        <w:t>B.</w:t>
      </w:r>
      <w:r w:rsidR="00425098" w:rsidRPr="000A53C0">
        <w:rPr>
          <w:rFonts w:cs="Arial"/>
        </w:rPr>
        <w:t>1.2 The market for alternative products</w:t>
      </w:r>
      <w:bookmarkEnd w:id="189"/>
      <w:bookmarkEnd w:id="190"/>
    </w:p>
    <w:p w14:paraId="5FBAA43B" w14:textId="77777777" w:rsidR="00425098" w:rsidRPr="000A53C0" w:rsidRDefault="00425098" w:rsidP="00425098">
      <w:pPr>
        <w:pStyle w:val="BodyText"/>
        <w:rPr>
          <w:rFonts w:cs="Arial"/>
        </w:rPr>
      </w:pPr>
      <w:r w:rsidRPr="000A53C0">
        <w:rPr>
          <w:rFonts w:cs="Arial"/>
        </w:rPr>
        <w:t>There are a range of alternatives to engineered stone available at various price points as shown in the table below.</w:t>
      </w:r>
    </w:p>
    <w:p w14:paraId="163B5B01" w14:textId="6E98BC96" w:rsidR="00425098" w:rsidRPr="000A53C0" w:rsidRDefault="00425098" w:rsidP="00030457">
      <w:pPr>
        <w:pStyle w:val="Caption"/>
        <w:rPr>
          <w:rFonts w:cs="Arial"/>
          <w:b/>
        </w:rPr>
      </w:pPr>
      <w:bookmarkStart w:id="191" w:name="_Ref134084208"/>
      <w:r w:rsidRPr="004B532B">
        <w:rPr>
          <w:rFonts w:cs="Arial"/>
          <w:b/>
          <w:bCs/>
        </w:rPr>
        <w:t xml:space="preserve">Table </w:t>
      </w:r>
      <w:r w:rsidRPr="004B532B">
        <w:rPr>
          <w:rFonts w:cs="Arial"/>
          <w:b/>
          <w:bCs/>
        </w:rPr>
        <w:fldChar w:fldCharType="begin"/>
      </w:r>
      <w:r w:rsidRPr="004B532B">
        <w:rPr>
          <w:rFonts w:cs="Arial"/>
          <w:b/>
          <w:bCs/>
        </w:rPr>
        <w:instrText>SEQ Table \* ARABIC</w:instrText>
      </w:r>
      <w:r w:rsidRPr="004B532B">
        <w:rPr>
          <w:rFonts w:cs="Arial"/>
          <w:b/>
          <w:bCs/>
        </w:rPr>
        <w:fldChar w:fldCharType="separate"/>
      </w:r>
      <w:r w:rsidR="00D16271">
        <w:rPr>
          <w:rFonts w:cs="Arial"/>
          <w:b/>
          <w:bCs/>
          <w:noProof/>
        </w:rPr>
        <w:t>17</w:t>
      </w:r>
      <w:r w:rsidRPr="004B532B">
        <w:rPr>
          <w:rFonts w:cs="Arial"/>
          <w:b/>
          <w:bCs/>
        </w:rPr>
        <w:fldChar w:fldCharType="end"/>
      </w:r>
      <w:bookmarkEnd w:id="191"/>
      <w:r w:rsidRPr="000A53C0">
        <w:rPr>
          <w:rFonts w:cs="Arial"/>
        </w:rPr>
        <w:t xml:space="preserve"> Product prices for engineered stone and alternatives</w:t>
      </w:r>
    </w:p>
    <w:tbl>
      <w:tblPr>
        <w:tblStyle w:val="PMCDefaultTableStyle"/>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20" w:firstRow="1" w:lastRow="0" w:firstColumn="0" w:lastColumn="0" w:noHBand="0" w:noVBand="1"/>
        <w:tblDescription w:val="*$*$UPSLIDE_TableIsSelected`_#[%£=+@*$*$UPSLIDE_TableIsSelected`_#[%£=+@*$*$UPSLIDE_TablePasted`_#[%£=+@*$*$UPSLIDE_TablePasted`_#[%£=+@*$*$UPSLIDE_TablePasted`_#[%£=+@*$*$UPSLIDE_TablePasted`_#[%£=+@*$*$UPSLIDE_TablePasted`_#[%£=+@"/>
      </w:tblPr>
      <w:tblGrid>
        <w:gridCol w:w="1620"/>
        <w:gridCol w:w="8574"/>
      </w:tblGrid>
      <w:tr w:rsidR="00425098" w:rsidRPr="000A53C0" w14:paraId="309920D9" w14:textId="77777777" w:rsidTr="004B532B">
        <w:trPr>
          <w:cnfStyle w:val="100000000000" w:firstRow="1" w:lastRow="0" w:firstColumn="0" w:lastColumn="0" w:oddVBand="0" w:evenVBand="0" w:oddHBand="0" w:evenHBand="0" w:firstRowFirstColumn="0" w:firstRowLastColumn="0" w:lastRowFirstColumn="0" w:lastRowLastColumn="0"/>
          <w:trHeight w:val="334"/>
        </w:trPr>
        <w:tc>
          <w:tcPr>
            <w:tcW w:w="0" w:type="auto"/>
            <w:shd w:val="clear" w:color="auto" w:fill="E81D32"/>
            <w:vAlign w:val="center"/>
            <w:hideMark/>
          </w:tcPr>
          <w:p w14:paraId="7E1EFA98" w14:textId="77777777" w:rsidR="00425098" w:rsidRPr="004B532B" w:rsidRDefault="00425098">
            <w:pPr>
              <w:pStyle w:val="BodyText"/>
              <w:spacing w:before="0" w:after="0"/>
              <w:rPr>
                <w:rFonts w:cs="Arial"/>
                <w:color w:val="FFFFFF" w:themeColor="background1"/>
                <w:sz w:val="20"/>
                <w:szCs w:val="20"/>
              </w:rPr>
            </w:pPr>
            <w:r w:rsidRPr="004B532B">
              <w:rPr>
                <w:rFonts w:cs="Arial"/>
                <w:color w:val="FFFFFF" w:themeColor="background1"/>
                <w:sz w:val="20"/>
                <w:szCs w:val="20"/>
              </w:rPr>
              <w:t>Product</w:t>
            </w:r>
          </w:p>
        </w:tc>
        <w:tc>
          <w:tcPr>
            <w:tcW w:w="0" w:type="auto"/>
            <w:shd w:val="clear" w:color="auto" w:fill="E81D32"/>
            <w:vAlign w:val="center"/>
            <w:hideMark/>
          </w:tcPr>
          <w:p w14:paraId="05809322" w14:textId="77777777" w:rsidR="00425098" w:rsidRPr="004B532B" w:rsidRDefault="00425098">
            <w:pPr>
              <w:pStyle w:val="BodyText"/>
              <w:spacing w:before="0" w:after="0"/>
              <w:rPr>
                <w:rFonts w:cs="Arial"/>
                <w:color w:val="FFFFFF" w:themeColor="background1"/>
                <w:sz w:val="20"/>
                <w:szCs w:val="20"/>
              </w:rPr>
            </w:pPr>
            <w:r w:rsidRPr="004B532B">
              <w:rPr>
                <w:rFonts w:cs="Arial"/>
                <w:color w:val="FFFFFF" w:themeColor="background1"/>
                <w:sz w:val="20"/>
                <w:szCs w:val="20"/>
              </w:rPr>
              <w:t xml:space="preserve">Price range (for kitchen benchtops, excluding sink) </w:t>
            </w:r>
          </w:p>
        </w:tc>
      </w:tr>
      <w:tr w:rsidR="00425098" w:rsidRPr="000A53C0" w14:paraId="3611A927" w14:textId="77777777">
        <w:trPr>
          <w:cnfStyle w:val="000000100000" w:firstRow="0" w:lastRow="0" w:firstColumn="0" w:lastColumn="0" w:oddVBand="0" w:evenVBand="0" w:oddHBand="1" w:evenHBand="0" w:firstRowFirstColumn="0" w:firstRowLastColumn="0" w:lastRowFirstColumn="0" w:lastRowLastColumn="0"/>
          <w:trHeight w:val="512"/>
        </w:trPr>
        <w:tc>
          <w:tcPr>
            <w:tcW w:w="0" w:type="auto"/>
            <w:vAlign w:val="center"/>
          </w:tcPr>
          <w:p w14:paraId="7D8DDFB9" w14:textId="77777777" w:rsidR="00425098" w:rsidRPr="000A53C0" w:rsidRDefault="00425098">
            <w:pPr>
              <w:pStyle w:val="BodyText"/>
              <w:spacing w:before="0" w:after="0"/>
              <w:rPr>
                <w:rFonts w:cs="Arial"/>
                <w:sz w:val="18"/>
                <w:szCs w:val="18"/>
              </w:rPr>
            </w:pPr>
            <w:r w:rsidRPr="000A53C0">
              <w:rPr>
                <w:rFonts w:cs="Arial"/>
                <w:sz w:val="18"/>
                <w:szCs w:val="18"/>
              </w:rPr>
              <w:t>Laminate</w:t>
            </w:r>
          </w:p>
        </w:tc>
        <w:tc>
          <w:tcPr>
            <w:tcW w:w="0" w:type="auto"/>
            <w:vAlign w:val="center"/>
          </w:tcPr>
          <w:p w14:paraId="46CCB391"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 xml:space="preserve">$120 to $350 per square metre </w:t>
            </w:r>
          </w:p>
        </w:tc>
      </w:tr>
      <w:tr w:rsidR="00425098" w:rsidRPr="000A53C0" w14:paraId="5C116A15" w14:textId="77777777">
        <w:trPr>
          <w:cnfStyle w:val="000000010000" w:firstRow="0" w:lastRow="0" w:firstColumn="0" w:lastColumn="0" w:oddVBand="0" w:evenVBand="0" w:oddHBand="0" w:evenHBand="1" w:firstRowFirstColumn="0" w:firstRowLastColumn="0" w:lastRowFirstColumn="0" w:lastRowLastColumn="0"/>
          <w:trHeight w:val="512"/>
        </w:trPr>
        <w:tc>
          <w:tcPr>
            <w:tcW w:w="0" w:type="auto"/>
            <w:vAlign w:val="center"/>
          </w:tcPr>
          <w:p w14:paraId="5E931116" w14:textId="77777777" w:rsidR="00425098" w:rsidRPr="000A53C0" w:rsidRDefault="00425098">
            <w:pPr>
              <w:pStyle w:val="BodyText"/>
              <w:spacing w:before="0" w:after="0"/>
              <w:rPr>
                <w:rFonts w:cs="Arial"/>
                <w:sz w:val="18"/>
                <w:szCs w:val="18"/>
              </w:rPr>
            </w:pPr>
            <w:r w:rsidRPr="000A53C0">
              <w:rPr>
                <w:rFonts w:cs="Arial"/>
                <w:sz w:val="18"/>
                <w:szCs w:val="18"/>
              </w:rPr>
              <w:lastRenderedPageBreak/>
              <w:t>Bamboo</w:t>
            </w:r>
          </w:p>
        </w:tc>
        <w:tc>
          <w:tcPr>
            <w:tcW w:w="0" w:type="auto"/>
            <w:vAlign w:val="center"/>
          </w:tcPr>
          <w:p w14:paraId="4B03639D"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$300 to $400 per square metre</w:t>
            </w:r>
          </w:p>
        </w:tc>
      </w:tr>
      <w:tr w:rsidR="00425098" w:rsidRPr="000A53C0" w14:paraId="3E3B143F" w14:textId="77777777">
        <w:trPr>
          <w:cnfStyle w:val="000000100000" w:firstRow="0" w:lastRow="0" w:firstColumn="0" w:lastColumn="0" w:oddVBand="0" w:evenVBand="0" w:oddHBand="1" w:evenHBand="0" w:firstRowFirstColumn="0" w:firstRowLastColumn="0" w:lastRowFirstColumn="0" w:lastRowLastColumn="0"/>
          <w:trHeight w:val="512"/>
        </w:trPr>
        <w:tc>
          <w:tcPr>
            <w:tcW w:w="0" w:type="auto"/>
            <w:vAlign w:val="center"/>
          </w:tcPr>
          <w:p w14:paraId="231F7E9F" w14:textId="77777777" w:rsidR="00425098" w:rsidRPr="000A53C0" w:rsidRDefault="00425098">
            <w:pPr>
              <w:pStyle w:val="BodyText"/>
              <w:spacing w:before="0" w:after="0"/>
              <w:rPr>
                <w:rFonts w:cs="Arial"/>
                <w:sz w:val="18"/>
                <w:szCs w:val="18"/>
              </w:rPr>
            </w:pPr>
            <w:r w:rsidRPr="000A53C0">
              <w:rPr>
                <w:rFonts w:cs="Arial"/>
                <w:sz w:val="18"/>
                <w:szCs w:val="18"/>
              </w:rPr>
              <w:t>Hardwood timber</w:t>
            </w:r>
          </w:p>
        </w:tc>
        <w:tc>
          <w:tcPr>
            <w:tcW w:w="0" w:type="auto"/>
            <w:vAlign w:val="center"/>
          </w:tcPr>
          <w:p w14:paraId="0A496F2F"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lang w:val="it-IT"/>
              </w:rPr>
              <w:t>$600 to $1,200 per square metre</w:t>
            </w:r>
          </w:p>
        </w:tc>
      </w:tr>
      <w:tr w:rsidR="00425098" w:rsidRPr="000A53C0" w14:paraId="515E86F7" w14:textId="77777777">
        <w:trPr>
          <w:cnfStyle w:val="000000010000" w:firstRow="0" w:lastRow="0" w:firstColumn="0" w:lastColumn="0" w:oddVBand="0" w:evenVBand="0" w:oddHBand="0" w:evenHBand="1" w:firstRowFirstColumn="0" w:firstRowLastColumn="0" w:lastRowFirstColumn="0" w:lastRowLastColumn="0"/>
          <w:trHeight w:val="512"/>
        </w:trPr>
        <w:tc>
          <w:tcPr>
            <w:tcW w:w="0" w:type="auto"/>
            <w:shd w:val="clear" w:color="auto" w:fill="D1D1D1" w:themeFill="background2"/>
            <w:vAlign w:val="center"/>
          </w:tcPr>
          <w:p w14:paraId="7B849B3C" w14:textId="77777777" w:rsidR="00425098" w:rsidRPr="000A53C0" w:rsidRDefault="00425098">
            <w:pPr>
              <w:pStyle w:val="BodyText"/>
              <w:spacing w:after="0"/>
              <w:rPr>
                <w:rFonts w:cs="Arial"/>
                <w:sz w:val="18"/>
                <w:szCs w:val="18"/>
              </w:rPr>
            </w:pPr>
            <w:r w:rsidRPr="000A53C0">
              <w:rPr>
                <w:rFonts w:cs="Arial"/>
                <w:sz w:val="18"/>
                <w:szCs w:val="18"/>
              </w:rPr>
              <w:t>Engineered stone</w:t>
            </w:r>
          </w:p>
        </w:tc>
        <w:tc>
          <w:tcPr>
            <w:tcW w:w="0" w:type="auto"/>
            <w:shd w:val="clear" w:color="auto" w:fill="D1D1D1" w:themeFill="background2"/>
            <w:vAlign w:val="center"/>
          </w:tcPr>
          <w:p w14:paraId="294451A5"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Caesarstone benchtops range from approximately $416 to $1,190 per square metre, plus installation fees</w:t>
            </w:r>
          </w:p>
          <w:p w14:paraId="3CFD02BB" w14:textId="75C25FFA"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Sintered engineered stone $600</w:t>
            </w:r>
            <w:r w:rsidR="00EC4D4A">
              <w:rPr>
                <w:rFonts w:cs="Arial"/>
                <w:sz w:val="18"/>
                <w:szCs w:val="18"/>
              </w:rPr>
              <w:t>–</w:t>
            </w:r>
            <w:r w:rsidRPr="000A53C0">
              <w:rPr>
                <w:rFonts w:cs="Arial"/>
                <w:sz w:val="18"/>
                <w:szCs w:val="18"/>
              </w:rPr>
              <w:t>$1</w:t>
            </w:r>
            <w:r w:rsidR="00EC4D4A">
              <w:rPr>
                <w:rFonts w:cs="Arial"/>
                <w:sz w:val="18"/>
                <w:szCs w:val="18"/>
              </w:rPr>
              <w:t>,</w:t>
            </w:r>
            <w:r w:rsidRPr="000A53C0">
              <w:rPr>
                <w:rFonts w:cs="Arial"/>
                <w:sz w:val="18"/>
                <w:szCs w:val="18"/>
              </w:rPr>
              <w:t>400 per square metre</w:t>
            </w:r>
          </w:p>
        </w:tc>
      </w:tr>
      <w:tr w:rsidR="00425098" w:rsidRPr="000A53C0" w14:paraId="1F884993" w14:textId="77777777">
        <w:trPr>
          <w:cnfStyle w:val="000000100000" w:firstRow="0" w:lastRow="0" w:firstColumn="0" w:lastColumn="0" w:oddVBand="0" w:evenVBand="0" w:oddHBand="1" w:evenHBand="0" w:firstRowFirstColumn="0" w:firstRowLastColumn="0" w:lastRowFirstColumn="0" w:lastRowLastColumn="0"/>
          <w:trHeight w:val="512"/>
        </w:trPr>
        <w:tc>
          <w:tcPr>
            <w:tcW w:w="0" w:type="auto"/>
            <w:vAlign w:val="center"/>
            <w:hideMark/>
          </w:tcPr>
          <w:p w14:paraId="326C9310" w14:textId="77777777" w:rsidR="00425098" w:rsidRPr="000A53C0" w:rsidRDefault="00425098">
            <w:pPr>
              <w:pStyle w:val="BodyText"/>
              <w:spacing w:before="0" w:after="0"/>
              <w:rPr>
                <w:rFonts w:cs="Arial"/>
                <w:sz w:val="18"/>
                <w:szCs w:val="18"/>
              </w:rPr>
            </w:pPr>
            <w:r w:rsidRPr="000A53C0">
              <w:rPr>
                <w:rFonts w:cs="Arial"/>
                <w:sz w:val="18"/>
                <w:szCs w:val="18"/>
              </w:rPr>
              <w:t>Porcelain</w:t>
            </w:r>
          </w:p>
        </w:tc>
        <w:tc>
          <w:tcPr>
            <w:tcW w:w="0" w:type="auto"/>
            <w:vAlign w:val="center"/>
            <w:hideMark/>
          </w:tcPr>
          <w:p w14:paraId="0A52A4C8" w14:textId="77777777" w:rsidR="00425098" w:rsidRPr="000A53C0" w:rsidRDefault="00425098" w:rsidP="00766916">
            <w:pPr>
              <w:pStyle w:val="BodyText"/>
              <w:numPr>
                <w:ilvl w:val="0"/>
                <w:numId w:val="41"/>
              </w:numPr>
              <w:spacing w:before="0" w:after="0"/>
              <w:ind w:left="353" w:hanging="353"/>
              <w:rPr>
                <w:rFonts w:cs="Arial"/>
                <w:sz w:val="18"/>
                <w:szCs w:val="18"/>
                <w:lang w:val="it-IT"/>
              </w:rPr>
            </w:pPr>
            <w:r w:rsidRPr="000A53C0">
              <w:rPr>
                <w:rFonts w:cs="Arial"/>
                <w:sz w:val="18"/>
                <w:szCs w:val="18"/>
                <w:lang w:val="it-IT"/>
              </w:rPr>
              <w:t>$700 to $2,500 per square metre, including installation</w:t>
            </w:r>
          </w:p>
        </w:tc>
      </w:tr>
      <w:tr w:rsidR="00425098" w:rsidRPr="000A53C0" w14:paraId="798685CF" w14:textId="77777777">
        <w:trPr>
          <w:cnfStyle w:val="000000010000" w:firstRow="0" w:lastRow="0" w:firstColumn="0" w:lastColumn="0" w:oddVBand="0" w:evenVBand="0" w:oddHBand="0" w:evenHBand="1" w:firstRowFirstColumn="0" w:firstRowLastColumn="0" w:lastRowFirstColumn="0" w:lastRowLastColumn="0"/>
          <w:trHeight w:val="512"/>
        </w:trPr>
        <w:tc>
          <w:tcPr>
            <w:tcW w:w="0" w:type="auto"/>
            <w:vAlign w:val="center"/>
            <w:hideMark/>
          </w:tcPr>
          <w:p w14:paraId="4A7B59BA" w14:textId="77777777" w:rsidR="00425098" w:rsidRPr="000A53C0" w:rsidRDefault="00425098">
            <w:pPr>
              <w:pStyle w:val="BodyText"/>
              <w:spacing w:before="0" w:after="0"/>
              <w:rPr>
                <w:rFonts w:cs="Arial"/>
                <w:sz w:val="18"/>
                <w:szCs w:val="18"/>
              </w:rPr>
            </w:pPr>
            <w:r w:rsidRPr="000A53C0">
              <w:rPr>
                <w:rFonts w:cs="Arial"/>
                <w:sz w:val="18"/>
                <w:szCs w:val="18"/>
              </w:rPr>
              <w:t>Granite</w:t>
            </w:r>
          </w:p>
        </w:tc>
        <w:tc>
          <w:tcPr>
            <w:tcW w:w="0" w:type="auto"/>
            <w:vAlign w:val="center"/>
            <w:hideMark/>
          </w:tcPr>
          <w:p w14:paraId="792E1FCA" w14:textId="77777777" w:rsidR="00425098" w:rsidRPr="000A53C0" w:rsidRDefault="00425098" w:rsidP="00766916">
            <w:pPr>
              <w:pStyle w:val="BodyText"/>
              <w:numPr>
                <w:ilvl w:val="0"/>
                <w:numId w:val="41"/>
              </w:numPr>
              <w:spacing w:before="0" w:after="0"/>
              <w:ind w:left="353" w:hanging="353"/>
              <w:rPr>
                <w:rFonts w:cs="Arial"/>
                <w:sz w:val="18"/>
                <w:szCs w:val="18"/>
                <w:lang w:val="it-IT"/>
              </w:rPr>
            </w:pPr>
            <w:r w:rsidRPr="000A53C0">
              <w:rPr>
                <w:rFonts w:cs="Arial"/>
                <w:sz w:val="18"/>
                <w:szCs w:val="18"/>
                <w:lang w:val="it-IT"/>
              </w:rPr>
              <w:t>$700 to $2,500 per square metre, including installation</w:t>
            </w:r>
          </w:p>
        </w:tc>
      </w:tr>
      <w:tr w:rsidR="00425098" w:rsidRPr="000A53C0" w14:paraId="4EAD32AE" w14:textId="77777777">
        <w:trPr>
          <w:cnfStyle w:val="000000100000" w:firstRow="0" w:lastRow="0" w:firstColumn="0" w:lastColumn="0" w:oddVBand="0" w:evenVBand="0" w:oddHBand="1" w:evenHBand="0" w:firstRowFirstColumn="0" w:firstRowLastColumn="0" w:lastRowFirstColumn="0" w:lastRowLastColumn="0"/>
          <w:trHeight w:val="512"/>
        </w:trPr>
        <w:tc>
          <w:tcPr>
            <w:tcW w:w="0" w:type="auto"/>
            <w:vAlign w:val="center"/>
            <w:hideMark/>
          </w:tcPr>
          <w:p w14:paraId="38C8591A" w14:textId="77777777" w:rsidR="00425098" w:rsidRPr="000A53C0" w:rsidRDefault="00425098">
            <w:pPr>
              <w:pStyle w:val="BodyText"/>
              <w:spacing w:before="0" w:after="0"/>
              <w:rPr>
                <w:rFonts w:cs="Arial"/>
                <w:sz w:val="18"/>
                <w:szCs w:val="18"/>
              </w:rPr>
            </w:pPr>
            <w:r w:rsidRPr="000A53C0">
              <w:rPr>
                <w:rFonts w:cs="Arial"/>
                <w:sz w:val="18"/>
                <w:szCs w:val="18"/>
              </w:rPr>
              <w:t>Marble</w:t>
            </w:r>
          </w:p>
        </w:tc>
        <w:tc>
          <w:tcPr>
            <w:tcW w:w="0" w:type="auto"/>
            <w:vAlign w:val="center"/>
            <w:hideMark/>
          </w:tcPr>
          <w:p w14:paraId="790EFA81" w14:textId="77777777" w:rsidR="00425098" w:rsidRPr="000A53C0" w:rsidRDefault="00425098" w:rsidP="00766916">
            <w:pPr>
              <w:pStyle w:val="BodyText"/>
              <w:numPr>
                <w:ilvl w:val="0"/>
                <w:numId w:val="41"/>
              </w:numPr>
              <w:spacing w:before="0" w:after="0"/>
              <w:ind w:left="353" w:hanging="353"/>
              <w:rPr>
                <w:rFonts w:cs="Arial"/>
                <w:sz w:val="18"/>
                <w:szCs w:val="18"/>
                <w:lang w:val="it-IT"/>
              </w:rPr>
            </w:pPr>
            <w:r w:rsidRPr="000A53C0">
              <w:rPr>
                <w:rFonts w:cs="Arial"/>
                <w:sz w:val="18"/>
                <w:szCs w:val="18"/>
                <w:lang w:val="it-IT"/>
              </w:rPr>
              <w:t>$800 to $2,200 per square metre, including installation</w:t>
            </w:r>
          </w:p>
        </w:tc>
      </w:tr>
      <w:tr w:rsidR="00425098" w:rsidRPr="000A53C0" w14:paraId="00D8AA25" w14:textId="77777777">
        <w:trPr>
          <w:cnfStyle w:val="000000010000" w:firstRow="0" w:lastRow="0" w:firstColumn="0" w:lastColumn="0" w:oddVBand="0" w:evenVBand="0" w:oddHBand="0" w:evenHBand="1" w:firstRowFirstColumn="0" w:firstRowLastColumn="0" w:lastRowFirstColumn="0" w:lastRowLastColumn="0"/>
          <w:trHeight w:val="512"/>
        </w:trPr>
        <w:tc>
          <w:tcPr>
            <w:tcW w:w="0" w:type="auto"/>
            <w:vAlign w:val="center"/>
          </w:tcPr>
          <w:p w14:paraId="657E14F3" w14:textId="77777777" w:rsidR="00425098" w:rsidRPr="000A53C0" w:rsidRDefault="00425098">
            <w:pPr>
              <w:pStyle w:val="BodyText"/>
              <w:spacing w:before="0" w:after="0"/>
              <w:rPr>
                <w:rFonts w:cs="Arial"/>
                <w:sz w:val="18"/>
                <w:szCs w:val="18"/>
              </w:rPr>
            </w:pPr>
            <w:r w:rsidRPr="000A53C0">
              <w:rPr>
                <w:rFonts w:cs="Arial"/>
                <w:sz w:val="18"/>
                <w:szCs w:val="18"/>
              </w:rPr>
              <w:t>Stainless steel</w:t>
            </w:r>
          </w:p>
        </w:tc>
        <w:tc>
          <w:tcPr>
            <w:tcW w:w="0" w:type="auto"/>
            <w:vAlign w:val="center"/>
          </w:tcPr>
          <w:p w14:paraId="30F6A304"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$900 to $1,000 per square metre</w:t>
            </w:r>
          </w:p>
        </w:tc>
      </w:tr>
      <w:tr w:rsidR="00425098" w:rsidRPr="000A53C0" w14:paraId="78AB9228" w14:textId="77777777">
        <w:trPr>
          <w:cnfStyle w:val="000000100000" w:firstRow="0" w:lastRow="0" w:firstColumn="0" w:lastColumn="0" w:oddVBand="0" w:evenVBand="0" w:oddHBand="1" w:evenHBand="0" w:firstRowFirstColumn="0" w:firstRowLastColumn="0" w:lastRowFirstColumn="0" w:lastRowLastColumn="0"/>
          <w:trHeight w:val="600"/>
        </w:trPr>
        <w:tc>
          <w:tcPr>
            <w:tcW w:w="0" w:type="auto"/>
            <w:vAlign w:val="center"/>
            <w:hideMark/>
          </w:tcPr>
          <w:p w14:paraId="1304112E" w14:textId="77777777" w:rsidR="00425098" w:rsidRPr="000A53C0" w:rsidRDefault="00425098">
            <w:pPr>
              <w:pStyle w:val="BodyText"/>
              <w:spacing w:before="0" w:after="0"/>
              <w:rPr>
                <w:rFonts w:cs="Arial"/>
                <w:sz w:val="18"/>
                <w:szCs w:val="18"/>
              </w:rPr>
            </w:pPr>
            <w:r w:rsidRPr="000A53C0">
              <w:rPr>
                <w:rFonts w:cs="Arial"/>
                <w:sz w:val="18"/>
                <w:szCs w:val="18"/>
              </w:rPr>
              <w:t>Polished concrete</w:t>
            </w:r>
          </w:p>
        </w:tc>
        <w:tc>
          <w:tcPr>
            <w:tcW w:w="0" w:type="auto"/>
            <w:vAlign w:val="center"/>
            <w:hideMark/>
          </w:tcPr>
          <w:p w14:paraId="1E13CCFC" w14:textId="77777777" w:rsidR="00425098" w:rsidRPr="000A53C0" w:rsidRDefault="00425098" w:rsidP="00766916">
            <w:pPr>
              <w:pStyle w:val="BodyText"/>
              <w:numPr>
                <w:ilvl w:val="0"/>
                <w:numId w:val="41"/>
              </w:numPr>
              <w:spacing w:before="0" w:after="0"/>
              <w:ind w:left="353" w:hanging="353"/>
              <w:rPr>
                <w:rFonts w:cs="Arial"/>
                <w:sz w:val="18"/>
                <w:szCs w:val="18"/>
              </w:rPr>
            </w:pPr>
            <w:r w:rsidRPr="000A53C0">
              <w:rPr>
                <w:rFonts w:cs="Arial"/>
                <w:sz w:val="18"/>
                <w:szCs w:val="18"/>
              </w:rPr>
              <w:t xml:space="preserve">$1,000 to $1,750 per square metre finished/installed </w:t>
            </w:r>
          </w:p>
        </w:tc>
      </w:tr>
    </w:tbl>
    <w:p w14:paraId="69131056" w14:textId="77777777" w:rsidR="00425098" w:rsidRPr="000A53C0" w:rsidRDefault="00425098" w:rsidP="00425098">
      <w:pPr>
        <w:pStyle w:val="BodyText"/>
        <w:rPr>
          <w:rFonts w:cs="Arial"/>
          <w:sz w:val="16"/>
          <w:szCs w:val="16"/>
        </w:rPr>
      </w:pPr>
      <w:r w:rsidRPr="000A53C0">
        <w:rPr>
          <w:rFonts w:cs="Arial"/>
          <w:sz w:val="16"/>
          <w:szCs w:val="16"/>
        </w:rPr>
        <w:t>Sources: Jeffery 2023, Gibson 2023, Home Beautiful 2021, Vbathroom 2020, Webeck and Mathers2022</w:t>
      </w:r>
    </w:p>
    <w:p w14:paraId="1B66A8F5" w14:textId="77777777" w:rsidR="00425098" w:rsidRPr="000A53C0" w:rsidRDefault="00425098" w:rsidP="00425098">
      <w:pPr>
        <w:pStyle w:val="BodyText"/>
        <w:rPr>
          <w:rFonts w:cs="Arial"/>
        </w:rPr>
      </w:pPr>
      <w:r w:rsidRPr="000A53C0">
        <w:rPr>
          <w:rFonts w:cs="Arial"/>
        </w:rPr>
        <w:t>If a prohibition were to apply to all engineered stone (Option 1), submissions have raised potential for supply constraints on alternative products. For instance, it is suggested that the supply of particle board may prevent adequate supply of laminate benchtops to meet expected demand in the absence of engineered stone.</w:t>
      </w:r>
      <w:r w:rsidRPr="000A53C0">
        <w:rPr>
          <w:rFonts w:cs="Arial"/>
          <w:vertAlign w:val="superscript"/>
        </w:rPr>
        <w:footnoteReference w:id="44"/>
      </w:r>
      <w:r w:rsidRPr="000A53C0">
        <w:rPr>
          <w:rFonts w:cs="Arial"/>
        </w:rPr>
        <w:t xml:space="preserve"> Submissions have also noted that the implementation period for any prohibition should also allow engineered stone PCBUs to fulfil current orders and to enable the industry to source and transition to natural stone or alternative products.</w:t>
      </w:r>
    </w:p>
    <w:p w14:paraId="4C6C8031" w14:textId="30D837FF" w:rsidR="00425098" w:rsidRPr="000A53C0" w:rsidRDefault="002D500D" w:rsidP="00C84BAF">
      <w:pPr>
        <w:pStyle w:val="App2"/>
        <w:rPr>
          <w:rFonts w:cs="Arial"/>
        </w:rPr>
      </w:pPr>
      <w:bookmarkStart w:id="192" w:name="_Toc136327242"/>
      <w:bookmarkStart w:id="193" w:name="_Toc142991360"/>
      <w:r w:rsidRPr="000A53C0">
        <w:rPr>
          <w:rFonts w:cs="Arial"/>
        </w:rPr>
        <w:t>B.</w:t>
      </w:r>
      <w:r w:rsidR="00425098" w:rsidRPr="000A53C0">
        <w:rPr>
          <w:rFonts w:cs="Arial"/>
        </w:rPr>
        <w:t>2 Industries that work with engineered stone</w:t>
      </w:r>
      <w:bookmarkEnd w:id="192"/>
      <w:bookmarkEnd w:id="193"/>
      <w:r w:rsidR="00425098" w:rsidRPr="000A53C0">
        <w:rPr>
          <w:rFonts w:cs="Arial"/>
        </w:rPr>
        <w:t xml:space="preserve"> </w:t>
      </w:r>
    </w:p>
    <w:p w14:paraId="797EB2B0" w14:textId="77777777" w:rsidR="00425098" w:rsidRPr="000A53C0" w:rsidRDefault="00425098" w:rsidP="00425098">
      <w:pPr>
        <w:pStyle w:val="BodyText"/>
        <w:rPr>
          <w:rFonts w:cs="Arial"/>
        </w:rPr>
      </w:pPr>
      <w:r w:rsidRPr="000A53C0">
        <w:rPr>
          <w:rFonts w:cs="Arial"/>
        </w:rPr>
        <w:t>Two key industries work with engineered stone:</w:t>
      </w:r>
    </w:p>
    <w:p w14:paraId="0C99F071" w14:textId="17C76D73" w:rsidR="00425098" w:rsidRPr="000A53C0" w:rsidRDefault="49990F53" w:rsidP="001B44C4">
      <w:pPr>
        <w:pStyle w:val="IAListbullet2"/>
        <w:rPr>
          <w:rFonts w:cs="Arial"/>
        </w:rPr>
      </w:pPr>
      <w:r w:rsidRPr="000A53C0">
        <w:rPr>
          <w:rFonts w:cs="Arial"/>
        </w:rPr>
        <w:t>‘</w:t>
      </w:r>
      <w:r w:rsidRPr="000A53C0">
        <w:rPr>
          <w:rFonts w:cs="Arial"/>
          <w:b/>
          <w:bCs/>
        </w:rPr>
        <w:t>Engineered stone PCBUs’</w:t>
      </w:r>
      <w:r w:rsidRPr="000A53C0">
        <w:rPr>
          <w:rFonts w:cs="Arial"/>
        </w:rPr>
        <w:t xml:space="preserve"> are businesses that fabricate (cut, shape, polish) and install new engineered stone (discussed further in Section </w:t>
      </w:r>
      <w:r w:rsidR="00425098" w:rsidRPr="000A53C0">
        <w:rPr>
          <w:rFonts w:cs="Arial"/>
        </w:rPr>
        <w:fldChar w:fldCharType="begin" w:fldLock="1"/>
      </w:r>
      <w:r w:rsidR="00425098" w:rsidRPr="000A53C0">
        <w:rPr>
          <w:rFonts w:cs="Arial"/>
        </w:rPr>
        <w:instrText xml:space="preserve"> REF _Ref140676032 \r \h  \* MERGEFORMAT </w:instrText>
      </w:r>
      <w:r w:rsidR="00425098" w:rsidRPr="000A53C0">
        <w:rPr>
          <w:rFonts w:cs="Arial"/>
        </w:rPr>
      </w:r>
      <w:r w:rsidR="00425098" w:rsidRPr="000A53C0">
        <w:rPr>
          <w:rFonts w:cs="Arial"/>
        </w:rPr>
        <w:fldChar w:fldCharType="separate"/>
      </w:r>
      <w:r w:rsidR="00D16271">
        <w:rPr>
          <w:rFonts w:cs="Arial"/>
        </w:rPr>
        <w:t>4.2</w:t>
      </w:r>
      <w:r w:rsidR="00425098" w:rsidRPr="000A53C0">
        <w:rPr>
          <w:rFonts w:cs="Arial"/>
        </w:rPr>
        <w:fldChar w:fldCharType="end"/>
      </w:r>
      <w:r w:rsidRPr="000A53C0">
        <w:rPr>
          <w:rFonts w:cs="Arial"/>
        </w:rPr>
        <w:t>)</w:t>
      </w:r>
      <w:r w:rsidR="00A8613A">
        <w:rPr>
          <w:rFonts w:cs="Arial"/>
        </w:rPr>
        <w:t>, and</w:t>
      </w:r>
      <w:r w:rsidRPr="000A53C0">
        <w:rPr>
          <w:rFonts w:cs="Arial"/>
        </w:rPr>
        <w:t xml:space="preserve"> </w:t>
      </w:r>
    </w:p>
    <w:p w14:paraId="08A9E51D" w14:textId="20ABF538" w:rsidR="00425098" w:rsidRPr="000A53C0" w:rsidRDefault="49990F53" w:rsidP="001B44C4">
      <w:pPr>
        <w:pStyle w:val="IAListbullet2"/>
        <w:rPr>
          <w:rFonts w:cs="Arial"/>
        </w:rPr>
      </w:pPr>
      <w:r w:rsidRPr="000A53C0">
        <w:rPr>
          <w:rFonts w:cs="Arial"/>
        </w:rPr>
        <w:t>‘</w:t>
      </w:r>
      <w:r w:rsidRPr="000A53C0">
        <w:rPr>
          <w:rFonts w:cs="Arial"/>
          <w:b/>
          <w:bCs/>
        </w:rPr>
        <w:t>Other industry PCBUs’</w:t>
      </w:r>
      <w:r w:rsidRPr="000A53C0">
        <w:rPr>
          <w:rFonts w:cs="Arial"/>
        </w:rPr>
        <w:t xml:space="preserve"> are builders, electricians, tilers, carpenters, and other trade businesses that predominantly work with legacy engineered stone (already installed engineered stone) in the course of their primary activities (e.g. cutting an existing benchtop to fit an electrical outlet or repair plumbing) (discussed further in Section </w:t>
      </w:r>
      <w:r w:rsidR="004E67FE" w:rsidRPr="000A53C0">
        <w:rPr>
          <w:rFonts w:cs="Arial"/>
        </w:rPr>
        <w:fldChar w:fldCharType="begin" w:fldLock="1"/>
      </w:r>
      <w:r w:rsidR="004E67FE" w:rsidRPr="000A53C0">
        <w:rPr>
          <w:rFonts w:cs="Arial"/>
        </w:rPr>
        <w:instrText xml:space="preserve"> REF _Ref140676097 \r \h  \* MERGEFORMAT </w:instrText>
      </w:r>
      <w:r w:rsidR="004E67FE" w:rsidRPr="000A53C0">
        <w:rPr>
          <w:rFonts w:cs="Arial"/>
        </w:rPr>
      </w:r>
      <w:r w:rsidR="004E67FE" w:rsidRPr="000A53C0">
        <w:rPr>
          <w:rFonts w:cs="Arial"/>
        </w:rPr>
        <w:fldChar w:fldCharType="separate"/>
      </w:r>
      <w:r w:rsidR="00D16271">
        <w:rPr>
          <w:rFonts w:cs="Arial"/>
        </w:rPr>
        <w:t>4.2</w:t>
      </w:r>
      <w:r w:rsidR="004E67FE" w:rsidRPr="000A53C0">
        <w:rPr>
          <w:rFonts w:cs="Arial"/>
        </w:rPr>
        <w:fldChar w:fldCharType="end"/>
      </w:r>
      <w:r w:rsidRPr="000A53C0">
        <w:rPr>
          <w:rFonts w:cs="Arial"/>
        </w:rPr>
        <w:t>).</w:t>
      </w:r>
      <w:r w:rsidR="00425098" w:rsidRPr="000A53C0">
        <w:rPr>
          <w:rFonts w:cs="Arial"/>
          <w:vertAlign w:val="superscript"/>
        </w:rPr>
        <w:footnoteReference w:id="45"/>
      </w:r>
      <w:r w:rsidRPr="000A53C0">
        <w:rPr>
          <w:rFonts w:cs="Arial"/>
        </w:rPr>
        <w:t xml:space="preserve"> </w:t>
      </w:r>
    </w:p>
    <w:p w14:paraId="78C736A4" w14:textId="77777777" w:rsidR="00425098" w:rsidRPr="000A53C0" w:rsidRDefault="00425098" w:rsidP="00425098">
      <w:pPr>
        <w:pStyle w:val="BodyText"/>
        <w:rPr>
          <w:rFonts w:cs="Arial"/>
        </w:rPr>
      </w:pPr>
      <w:r w:rsidRPr="000A53C0">
        <w:rPr>
          <w:rFonts w:cs="Arial"/>
        </w:rPr>
        <w:t xml:space="preserve">Other cohorts involved in the engineered stone supply chain include: </w:t>
      </w:r>
    </w:p>
    <w:p w14:paraId="0D8818C2" w14:textId="5A1522A4" w:rsidR="00425098" w:rsidRPr="000A53C0" w:rsidRDefault="49990F53" w:rsidP="001B44C4">
      <w:pPr>
        <w:pStyle w:val="IAListbullet2"/>
        <w:rPr>
          <w:rFonts w:cs="Arial"/>
        </w:rPr>
      </w:pPr>
      <w:r w:rsidRPr="000A53C0">
        <w:rPr>
          <w:rFonts w:cs="Arial"/>
          <w:b/>
          <w:bCs/>
        </w:rPr>
        <w:t>Importers and wholesalers of engineered stone</w:t>
      </w:r>
      <w:r w:rsidRPr="000A53C0">
        <w:rPr>
          <w:rFonts w:cs="Arial"/>
        </w:rPr>
        <w:t xml:space="preserve"> – Caesarstone estimates there are about 12 importers of engineered stone in Australia including Caesarstone, Smartstone, and Cosentino. This is a concentrated market, with Caesarstone comprising about 40% of the engineered stone market in Australi</w:t>
      </w:r>
      <w:r w:rsidR="544BB510" w:rsidRPr="000A53C0">
        <w:rPr>
          <w:rFonts w:cs="Arial"/>
        </w:rPr>
        <w:t>a.</w:t>
      </w:r>
      <w:r w:rsidR="00425098" w:rsidRPr="000A53C0">
        <w:rPr>
          <w:rFonts w:cs="Arial"/>
          <w:vertAlign w:val="superscript"/>
        </w:rPr>
        <w:footnoteReference w:id="46"/>
      </w:r>
      <w:r w:rsidRPr="000A53C0">
        <w:rPr>
          <w:rFonts w:cs="Arial"/>
        </w:rPr>
        <w:t xml:space="preserve"> This cohort would be most impacted by a total prohibition on engineered stone (Option 1). However, it is assumed that with a sufficient implementation period, suppliers could still fulfil their existing commitments, move unsold engineered stone stock and leverage existing capital, supply and </w:t>
      </w:r>
      <w:r w:rsidRPr="000A53C0">
        <w:rPr>
          <w:rFonts w:cs="Arial"/>
        </w:rPr>
        <w:lastRenderedPageBreak/>
        <w:t xml:space="preserve">distribution networks to transition to alternative products. Suppliers have confirmed that the impacts of Option 2 and Option 3 would be relatively more manageable. Lower silica engineered stone already accounts for a significant proportion of the market (around 40% of market activity based on data from submissions). </w:t>
      </w:r>
    </w:p>
    <w:p w14:paraId="392A8299" w14:textId="6A3927BF" w:rsidR="00425098" w:rsidRPr="000A53C0" w:rsidRDefault="002D500D" w:rsidP="00C84BAF">
      <w:pPr>
        <w:pStyle w:val="App2"/>
        <w:rPr>
          <w:rFonts w:cs="Arial"/>
        </w:rPr>
      </w:pPr>
      <w:bookmarkStart w:id="194" w:name="_Toc136327243"/>
      <w:bookmarkStart w:id="195" w:name="_Toc142991361"/>
      <w:r w:rsidRPr="000A53C0">
        <w:rPr>
          <w:rFonts w:cs="Arial"/>
        </w:rPr>
        <w:t>B.</w:t>
      </w:r>
      <w:r w:rsidR="00425098" w:rsidRPr="000A53C0">
        <w:rPr>
          <w:rFonts w:cs="Arial"/>
        </w:rPr>
        <w:t xml:space="preserve">3 Defining engineered stone </w:t>
      </w:r>
      <w:bookmarkEnd w:id="194"/>
      <w:r w:rsidR="00425098" w:rsidRPr="000A53C0">
        <w:rPr>
          <w:rFonts w:cs="Arial"/>
        </w:rPr>
        <w:t>PCBUs</w:t>
      </w:r>
      <w:bookmarkEnd w:id="195"/>
    </w:p>
    <w:p w14:paraId="2EE1034C" w14:textId="77777777" w:rsidR="00425098" w:rsidRPr="000A53C0" w:rsidRDefault="00425098" w:rsidP="00425098">
      <w:pPr>
        <w:pStyle w:val="BodyText"/>
        <w:rPr>
          <w:rFonts w:cs="Arial"/>
        </w:rPr>
      </w:pPr>
      <w:r w:rsidRPr="000A53C0">
        <w:rPr>
          <w:rFonts w:cs="Arial"/>
        </w:rPr>
        <w:t>Engineered stone PCBUs</w:t>
      </w:r>
      <w:r w:rsidRPr="000A53C0" w:rsidDel="00340DA1">
        <w:rPr>
          <w:rFonts w:cs="Arial"/>
        </w:rPr>
        <w:t xml:space="preserve"> </w:t>
      </w:r>
      <w:r w:rsidRPr="000A53C0">
        <w:rPr>
          <w:rFonts w:cs="Arial"/>
        </w:rPr>
        <w:t xml:space="preserve">predominantly fabricate (cut, shape, polish) and install new engineered stone. Workers in this industry are at the greatest risk of exposure to engineered stone RCS as they cut, polish, and grind engineered stone "slabs" into the required shape and size. This can occur either in the fabrication workshop or during installation (Australian Engineered Stone Advisory Group, 2019). </w:t>
      </w:r>
    </w:p>
    <w:p w14:paraId="09483AAD" w14:textId="5EF0A959" w:rsidR="00425098" w:rsidRPr="000A53C0" w:rsidRDefault="000F64C7" w:rsidP="00425098">
      <w:pPr>
        <w:pStyle w:val="BodyText"/>
        <w:rPr>
          <w:rFonts w:cs="Arial"/>
        </w:rPr>
      </w:pPr>
      <w:r w:rsidRPr="000A53C0">
        <w:rPr>
          <w:rFonts w:cs="Arial"/>
        </w:rPr>
        <w:t>M</w:t>
      </w:r>
      <w:r w:rsidR="00425098" w:rsidRPr="000A53C0">
        <w:rPr>
          <w:rFonts w:cs="Arial"/>
        </w:rPr>
        <w:t>ost engineered stone workers are not required to obtain any formal qualifications or training. The requisite skills and techniques for working with engineered stone are learned through experience and "on the job training", which invariably differs between engineered stone PCBUs.</w:t>
      </w:r>
      <w:r w:rsidR="00425098" w:rsidRPr="000A53C0">
        <w:rPr>
          <w:rFonts w:cs="Arial"/>
          <w:vertAlign w:val="superscript"/>
        </w:rPr>
        <w:footnoteReference w:id="47"/>
      </w:r>
      <w:r w:rsidR="00425098" w:rsidRPr="000A53C0">
        <w:rPr>
          <w:rFonts w:cs="Arial"/>
        </w:rPr>
        <w:t xml:space="preserve"> Engineered stone workers can use a range of equipment to process engineered stone, ranging from computer controlled cutting devices to handheld tools such as electric blades and angle grinders for cutting and "pads" for polishing and shaping the surface.</w:t>
      </w:r>
      <w:r w:rsidR="00425098" w:rsidRPr="000A53C0">
        <w:rPr>
          <w:rStyle w:val="FootnoteReference"/>
          <w:rFonts w:cs="Arial"/>
        </w:rPr>
        <w:footnoteReference w:id="48"/>
      </w:r>
      <w:r w:rsidR="00425098" w:rsidRPr="000A53C0">
        <w:rPr>
          <w:rFonts w:cs="Arial"/>
        </w:rPr>
        <w:t xml:space="preserve"> </w:t>
      </w:r>
    </w:p>
    <w:p w14:paraId="32FFBDF0" w14:textId="54D23F34" w:rsidR="00425098" w:rsidRPr="000A53C0" w:rsidRDefault="002D500D" w:rsidP="00D657D6">
      <w:pPr>
        <w:pStyle w:val="App3"/>
        <w:rPr>
          <w:rFonts w:cs="Arial"/>
        </w:rPr>
      </w:pPr>
      <w:r w:rsidRPr="000A53C0">
        <w:rPr>
          <w:rFonts w:cs="Arial"/>
        </w:rPr>
        <w:t>B.</w:t>
      </w:r>
      <w:r w:rsidR="00425098" w:rsidRPr="000A53C0">
        <w:rPr>
          <w:rFonts w:cs="Arial"/>
        </w:rPr>
        <w:t xml:space="preserve">3.1 Number of engineered stone PCBUs </w:t>
      </w:r>
    </w:p>
    <w:p w14:paraId="182677C8" w14:textId="77777777" w:rsidR="00425098" w:rsidRPr="000A53C0" w:rsidRDefault="00425098" w:rsidP="00425098">
      <w:pPr>
        <w:pStyle w:val="BodyText"/>
        <w:rPr>
          <w:rFonts w:cs="Arial"/>
        </w:rPr>
      </w:pPr>
      <w:r w:rsidRPr="000A53C0">
        <w:rPr>
          <w:rFonts w:cs="Arial"/>
        </w:rPr>
        <w:t xml:space="preserve">There are an estimated 750 to 1,250 PCBUs working with engineered stone in </w:t>
      </w:r>
      <w:r w:rsidRPr="000A53C0" w:rsidDel="000E76A3">
        <w:rPr>
          <w:rFonts w:cs="Arial"/>
        </w:rPr>
        <w:t>Australia</w:t>
      </w:r>
      <w:r w:rsidRPr="000A53C0">
        <w:rPr>
          <w:rFonts w:cs="Arial"/>
        </w:rPr>
        <w:t xml:space="preserve"> (ASEAG, 2019). While data limitations prevent an accurate estimation of the number of PCBUs, feedback provided during consultation to inform this Decision RIS confirmed that 1,000 was a realistic estimation of the number of PCBUs working with engineered stone in Australia.</w:t>
      </w:r>
      <w:r w:rsidRPr="000A53C0">
        <w:rPr>
          <w:rFonts w:cs="Arial"/>
          <w:vertAlign w:val="superscript"/>
        </w:rPr>
        <w:footnoteReference w:id="49"/>
      </w:r>
      <w:r w:rsidRPr="000A53C0">
        <w:rPr>
          <w:rFonts w:cs="Arial"/>
        </w:rPr>
        <w:t xml:space="preserve"> </w:t>
      </w:r>
    </w:p>
    <w:p w14:paraId="16CDF419" w14:textId="5E5B65EB" w:rsidR="00425098" w:rsidRPr="000A53C0" w:rsidRDefault="00425098" w:rsidP="00425098">
      <w:pPr>
        <w:pStyle w:val="BodyText"/>
        <w:rPr>
          <w:rFonts w:cs="Arial"/>
        </w:rPr>
      </w:pPr>
      <w:r w:rsidRPr="000A53C0" w:rsidDel="00B036E9">
        <w:rPr>
          <w:rFonts w:cs="Arial"/>
        </w:rPr>
        <w:t xml:space="preserve">Victorian </w:t>
      </w:r>
      <w:r w:rsidRPr="000A53C0">
        <w:rPr>
          <w:rFonts w:cs="Arial"/>
        </w:rPr>
        <w:t xml:space="preserve">engineered stone PCBUs are excluded from consideration in this Decision RIS because Victoria has not adopted the model WHS laws . It is acknowledged that there is likely to be some cross border activity between Victorian engineered stone PCBUs and other states. For the purposes of this Decision RIS, we have assumed this cross border activity will cancel each other out. </w:t>
      </w:r>
    </w:p>
    <w:p w14:paraId="761A1EA6" w14:textId="77777777" w:rsidR="00425098" w:rsidRPr="000A53C0" w:rsidRDefault="00425098" w:rsidP="00425098">
      <w:pPr>
        <w:pStyle w:val="BodyText"/>
        <w:rPr>
          <w:rFonts w:cs="Arial"/>
        </w:rPr>
      </w:pPr>
      <w:r w:rsidRPr="000A53C0">
        <w:rPr>
          <w:rFonts w:cs="Arial"/>
        </w:rPr>
        <w:t xml:space="preserve">No growth has been assumed for the number of engineered stone PCBUs over the appraisal period, given no historical growth rates are available and reflecting that the industry will be going through a period of change. In addition, the proposed prohibition options primarily impact existing businesses. Future businesses will be able to decide to enter the industry or not given knowledge of the regulatory environment. Similarly, no growth has been assumed for the number of workers employed by engineered stone PCBUs. </w:t>
      </w:r>
    </w:p>
    <w:p w14:paraId="6316AFA7" w14:textId="571AC5A3" w:rsidR="00425098" w:rsidRPr="000A53C0" w:rsidRDefault="002D500D" w:rsidP="00D657D6">
      <w:pPr>
        <w:pStyle w:val="App3"/>
        <w:rPr>
          <w:rFonts w:cs="Arial"/>
        </w:rPr>
      </w:pPr>
      <w:r w:rsidRPr="000A53C0">
        <w:rPr>
          <w:rFonts w:cs="Arial"/>
        </w:rPr>
        <w:t>B.</w:t>
      </w:r>
      <w:r w:rsidR="00425098" w:rsidRPr="000A53C0">
        <w:rPr>
          <w:rFonts w:cs="Arial"/>
        </w:rPr>
        <w:t xml:space="preserve">3.2 Size of engineered stone PCBUs </w:t>
      </w:r>
    </w:p>
    <w:p w14:paraId="785D827D" w14:textId="77777777" w:rsidR="00425098" w:rsidRPr="000A53C0" w:rsidRDefault="00425098" w:rsidP="00425098">
      <w:pPr>
        <w:pStyle w:val="BodyText"/>
        <w:rPr>
          <w:rFonts w:cs="Arial"/>
        </w:rPr>
      </w:pPr>
      <w:r w:rsidRPr="000A53C0">
        <w:rPr>
          <w:rFonts w:cs="Arial"/>
        </w:rPr>
        <w:t>Market research commissioned by the National Dust Disease Taskforce indicates that sole traders and small businesses comprise most of the industry, while medium businesses have a smaller representation (Quantum Market Research, 2021).</w:t>
      </w:r>
    </w:p>
    <w:p w14:paraId="3663FA09" w14:textId="77777777" w:rsidR="00425098" w:rsidRPr="000A53C0" w:rsidRDefault="00425098" w:rsidP="00425098">
      <w:pPr>
        <w:pStyle w:val="BodyText"/>
        <w:rPr>
          <w:rFonts w:cs="Arial"/>
        </w:rPr>
      </w:pPr>
      <w:r w:rsidRPr="000A53C0">
        <w:rPr>
          <w:rFonts w:cs="Arial"/>
        </w:rPr>
        <w:t xml:space="preserve">For the purposes of this assessment, businesses have been classified into the categories shown in the table below, consistent with those used for the Silica Decision RIS. </w:t>
      </w:r>
    </w:p>
    <w:p w14:paraId="347BF23A" w14:textId="156203C3" w:rsidR="00425098" w:rsidRPr="000A53C0" w:rsidRDefault="00425098" w:rsidP="00030457">
      <w:pPr>
        <w:pStyle w:val="Caption"/>
        <w:rPr>
          <w:rFonts w:cs="Arial"/>
          <w:b/>
        </w:rPr>
      </w:pPr>
      <w:bookmarkStart w:id="196" w:name="_Ref124155388"/>
      <w:bookmarkStart w:id="197" w:name="_Ref125014095"/>
      <w:r w:rsidRPr="00FA58DF">
        <w:rPr>
          <w:rFonts w:cs="Arial"/>
          <w:b/>
          <w:bCs/>
        </w:rPr>
        <w:lastRenderedPageBreak/>
        <w:t xml:space="preserve">Table </w:t>
      </w:r>
      <w:r w:rsidRPr="00FA58DF">
        <w:rPr>
          <w:rFonts w:cs="Arial"/>
          <w:b/>
          <w:bCs/>
        </w:rPr>
        <w:fldChar w:fldCharType="begin"/>
      </w:r>
      <w:r w:rsidRPr="00FA58DF">
        <w:rPr>
          <w:rFonts w:cs="Arial"/>
          <w:b/>
          <w:bCs/>
        </w:rPr>
        <w:instrText>SEQ Table \* ARABIC</w:instrText>
      </w:r>
      <w:r w:rsidRPr="00FA58DF">
        <w:rPr>
          <w:rFonts w:cs="Arial"/>
          <w:b/>
          <w:bCs/>
        </w:rPr>
        <w:fldChar w:fldCharType="separate"/>
      </w:r>
      <w:r w:rsidR="00D16271">
        <w:rPr>
          <w:rFonts w:cs="Arial"/>
          <w:b/>
          <w:bCs/>
          <w:noProof/>
        </w:rPr>
        <w:t>18</w:t>
      </w:r>
      <w:r w:rsidRPr="00FA58DF">
        <w:rPr>
          <w:rFonts w:cs="Arial"/>
          <w:b/>
          <w:bCs/>
        </w:rPr>
        <w:fldChar w:fldCharType="end"/>
      </w:r>
      <w:bookmarkEnd w:id="196"/>
      <w:r w:rsidRPr="000A53C0">
        <w:rPr>
          <w:rFonts w:cs="Arial"/>
        </w:rPr>
        <w:t xml:space="preserve"> Size of engineered stone PCBUs </w:t>
      </w:r>
      <w:bookmarkEnd w:id="197"/>
      <w:r w:rsidRPr="000A53C0">
        <w:rPr>
          <w:rFonts w:cs="Arial"/>
        </w:rPr>
        <w:t>by employee size</w:t>
      </w: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UPSLIDE_TablePasted`_#[%£=+@*$*$UPSLIDE_TablePasted`_#[%£=+@*$*$UPSLIDE_TablePasted`_#[%£=+@"/>
      </w:tblPr>
      <w:tblGrid>
        <w:gridCol w:w="6510"/>
        <w:gridCol w:w="3684"/>
      </w:tblGrid>
      <w:tr w:rsidR="00425098" w:rsidRPr="000A53C0" w14:paraId="078C420E" w14:textId="77777777" w:rsidTr="00FA58DF">
        <w:trPr>
          <w:trHeight w:val="570"/>
          <w:tblHeader/>
        </w:trPr>
        <w:tc>
          <w:tcPr>
            <w:tcW w:w="3193" w:type="pct"/>
            <w:shd w:val="clear" w:color="auto" w:fill="E81D32"/>
            <w:vAlign w:val="center"/>
          </w:tcPr>
          <w:p w14:paraId="12087570" w14:textId="77777777" w:rsidR="00425098" w:rsidRPr="00FA58DF" w:rsidRDefault="00425098" w:rsidP="00FA58DF">
            <w:pPr>
              <w:pStyle w:val="TableHeading"/>
              <w:spacing w:before="0" w:after="0"/>
              <w:rPr>
                <w:rFonts w:ascii="Arial" w:hAnsi="Arial" w:cs="Arial"/>
                <w:color w:val="FFFFFF" w:themeColor="background1"/>
              </w:rPr>
            </w:pPr>
            <w:r w:rsidRPr="00FA58DF">
              <w:rPr>
                <w:rFonts w:ascii="Arial" w:hAnsi="Arial" w:cs="Arial"/>
                <w:color w:val="FFFFFF" w:themeColor="background1"/>
              </w:rPr>
              <w:t>Business size</w:t>
            </w:r>
          </w:p>
        </w:tc>
        <w:tc>
          <w:tcPr>
            <w:tcW w:w="1807" w:type="pct"/>
            <w:shd w:val="clear" w:color="auto" w:fill="E81D32"/>
            <w:vAlign w:val="center"/>
          </w:tcPr>
          <w:p w14:paraId="698DFF69" w14:textId="77777777" w:rsidR="00425098" w:rsidRPr="00FA58DF" w:rsidRDefault="00425098" w:rsidP="00FA58DF">
            <w:pPr>
              <w:pStyle w:val="TableHeading"/>
              <w:spacing w:before="0" w:after="0"/>
              <w:rPr>
                <w:rFonts w:ascii="Arial" w:hAnsi="Arial" w:cs="Arial"/>
                <w:color w:val="FFFFFF" w:themeColor="background1"/>
              </w:rPr>
            </w:pPr>
            <w:r w:rsidRPr="00FA58DF">
              <w:rPr>
                <w:rFonts w:ascii="Arial" w:hAnsi="Arial" w:cs="Arial"/>
                <w:color w:val="FFFFFF" w:themeColor="background1"/>
              </w:rPr>
              <w:t>Proportion of total businesses</w:t>
            </w:r>
          </w:p>
        </w:tc>
      </w:tr>
      <w:tr w:rsidR="00425098" w:rsidRPr="000A53C0" w14:paraId="5F35210E" w14:textId="77777777">
        <w:trPr>
          <w:trHeight w:val="315"/>
        </w:trPr>
        <w:tc>
          <w:tcPr>
            <w:tcW w:w="3193" w:type="pct"/>
            <w:shd w:val="clear" w:color="auto" w:fill="auto"/>
            <w:vAlign w:val="center"/>
          </w:tcPr>
          <w:p w14:paraId="2ACEBD92" w14:textId="77777777" w:rsidR="00425098" w:rsidRPr="000A53C0" w:rsidRDefault="00425098">
            <w:pPr>
              <w:pStyle w:val="TableBody"/>
              <w:rPr>
                <w:rFonts w:cs="Arial"/>
              </w:rPr>
            </w:pPr>
            <w:r w:rsidRPr="000A53C0">
              <w:rPr>
                <w:rFonts w:cs="Arial"/>
              </w:rPr>
              <w:t>Sole trader</w:t>
            </w:r>
          </w:p>
        </w:tc>
        <w:tc>
          <w:tcPr>
            <w:tcW w:w="1807" w:type="pct"/>
            <w:vAlign w:val="center"/>
          </w:tcPr>
          <w:p w14:paraId="584B6381" w14:textId="77777777" w:rsidR="00425098" w:rsidRPr="000A53C0" w:rsidRDefault="00425098">
            <w:pPr>
              <w:pStyle w:val="TableBody"/>
              <w:jc w:val="center"/>
              <w:rPr>
                <w:rFonts w:cs="Arial"/>
              </w:rPr>
            </w:pPr>
            <w:r w:rsidRPr="000A53C0">
              <w:rPr>
                <w:rFonts w:cs="Arial"/>
              </w:rPr>
              <w:t>44%</w:t>
            </w:r>
          </w:p>
        </w:tc>
      </w:tr>
      <w:tr w:rsidR="00425098" w:rsidRPr="000A53C0" w14:paraId="6E8C2B8B" w14:textId="77777777">
        <w:trPr>
          <w:trHeight w:val="315"/>
        </w:trPr>
        <w:tc>
          <w:tcPr>
            <w:tcW w:w="3193" w:type="pct"/>
            <w:shd w:val="clear" w:color="auto" w:fill="auto"/>
            <w:vAlign w:val="center"/>
          </w:tcPr>
          <w:p w14:paraId="14420415" w14:textId="77777777" w:rsidR="00425098" w:rsidRPr="000A53C0" w:rsidRDefault="00425098">
            <w:pPr>
              <w:pStyle w:val="TableBody"/>
              <w:rPr>
                <w:rFonts w:cs="Arial"/>
              </w:rPr>
            </w:pPr>
            <w:r w:rsidRPr="000A53C0">
              <w:rPr>
                <w:rFonts w:cs="Arial"/>
              </w:rPr>
              <w:t>Small (1 – 20 employees)</w:t>
            </w:r>
          </w:p>
        </w:tc>
        <w:tc>
          <w:tcPr>
            <w:tcW w:w="1807" w:type="pct"/>
            <w:vAlign w:val="center"/>
          </w:tcPr>
          <w:p w14:paraId="43A365FB" w14:textId="77777777" w:rsidR="00425098" w:rsidRPr="000A53C0" w:rsidRDefault="00425098">
            <w:pPr>
              <w:pStyle w:val="TableBody"/>
              <w:jc w:val="center"/>
              <w:rPr>
                <w:rFonts w:cs="Arial"/>
              </w:rPr>
            </w:pPr>
            <w:r w:rsidRPr="000A53C0">
              <w:rPr>
                <w:rFonts w:cs="Arial"/>
              </w:rPr>
              <w:t>42%</w:t>
            </w:r>
          </w:p>
        </w:tc>
      </w:tr>
      <w:tr w:rsidR="00425098" w:rsidRPr="000A53C0" w14:paraId="5E264D1E" w14:textId="77777777">
        <w:trPr>
          <w:trHeight w:val="315"/>
        </w:trPr>
        <w:tc>
          <w:tcPr>
            <w:tcW w:w="3193" w:type="pct"/>
            <w:shd w:val="clear" w:color="auto" w:fill="auto"/>
            <w:vAlign w:val="center"/>
          </w:tcPr>
          <w:p w14:paraId="126F59C7" w14:textId="77777777" w:rsidR="00425098" w:rsidRPr="000A53C0" w:rsidRDefault="00425098">
            <w:pPr>
              <w:pStyle w:val="TableBody"/>
              <w:rPr>
                <w:rFonts w:cs="Arial"/>
              </w:rPr>
            </w:pPr>
            <w:r w:rsidRPr="000A53C0">
              <w:rPr>
                <w:rFonts w:cs="Arial"/>
              </w:rPr>
              <w:t>Medium (21 – 200 employees)</w:t>
            </w:r>
          </w:p>
        </w:tc>
        <w:tc>
          <w:tcPr>
            <w:tcW w:w="1807" w:type="pct"/>
            <w:vAlign w:val="center"/>
          </w:tcPr>
          <w:p w14:paraId="54D3D885" w14:textId="77777777" w:rsidR="00425098" w:rsidRPr="000A53C0" w:rsidRDefault="00425098">
            <w:pPr>
              <w:pStyle w:val="TableBody"/>
              <w:jc w:val="center"/>
              <w:rPr>
                <w:rFonts w:cs="Arial"/>
              </w:rPr>
            </w:pPr>
            <w:r w:rsidRPr="000A53C0">
              <w:rPr>
                <w:rFonts w:cs="Arial"/>
              </w:rPr>
              <w:t>14%</w:t>
            </w:r>
          </w:p>
        </w:tc>
      </w:tr>
      <w:tr w:rsidR="00425098" w:rsidRPr="000A53C0" w14:paraId="0A95EF9D" w14:textId="77777777">
        <w:trPr>
          <w:trHeight w:val="315"/>
        </w:trPr>
        <w:tc>
          <w:tcPr>
            <w:tcW w:w="3193" w:type="pct"/>
            <w:shd w:val="clear" w:color="auto" w:fill="auto"/>
            <w:vAlign w:val="center"/>
          </w:tcPr>
          <w:p w14:paraId="7E6959D4" w14:textId="77777777" w:rsidR="00425098" w:rsidRPr="000A53C0" w:rsidRDefault="00425098">
            <w:pPr>
              <w:pStyle w:val="TableBody"/>
              <w:rPr>
                <w:rFonts w:cs="Arial"/>
                <w:b/>
              </w:rPr>
            </w:pPr>
            <w:r w:rsidRPr="000A53C0">
              <w:rPr>
                <w:rFonts w:cs="Arial"/>
                <w:b/>
              </w:rPr>
              <w:t>Total</w:t>
            </w:r>
          </w:p>
        </w:tc>
        <w:tc>
          <w:tcPr>
            <w:tcW w:w="1807" w:type="pct"/>
            <w:vAlign w:val="center"/>
          </w:tcPr>
          <w:p w14:paraId="2AA8035E" w14:textId="77777777" w:rsidR="00425098" w:rsidRPr="000A53C0" w:rsidRDefault="00425098">
            <w:pPr>
              <w:pStyle w:val="TableBody"/>
              <w:jc w:val="center"/>
              <w:rPr>
                <w:rFonts w:cs="Arial"/>
                <w:b/>
              </w:rPr>
            </w:pPr>
            <w:r w:rsidRPr="000A53C0">
              <w:rPr>
                <w:rFonts w:cs="Arial"/>
                <w:b/>
              </w:rPr>
              <w:t>100%</w:t>
            </w:r>
          </w:p>
        </w:tc>
      </w:tr>
    </w:tbl>
    <w:p w14:paraId="351611EF" w14:textId="77777777" w:rsidR="00425098" w:rsidRPr="000A53C0" w:rsidRDefault="00425098" w:rsidP="00425098">
      <w:pPr>
        <w:pStyle w:val="BodyText"/>
        <w:rPr>
          <w:rFonts w:cs="Arial"/>
          <w:color w:val="014463" w:themeColor="text2"/>
        </w:rPr>
      </w:pPr>
    </w:p>
    <w:p w14:paraId="2ABAC4A2" w14:textId="222C27AD" w:rsidR="00425098" w:rsidRPr="000A53C0" w:rsidRDefault="002D500D" w:rsidP="00D657D6">
      <w:pPr>
        <w:pStyle w:val="App3"/>
        <w:rPr>
          <w:rFonts w:cs="Arial"/>
        </w:rPr>
      </w:pPr>
      <w:r w:rsidRPr="000A53C0">
        <w:rPr>
          <w:rFonts w:cs="Arial"/>
        </w:rPr>
        <w:t>B.</w:t>
      </w:r>
      <w:r w:rsidR="00425098" w:rsidRPr="000A53C0">
        <w:rPr>
          <w:rFonts w:cs="Arial"/>
        </w:rPr>
        <w:t xml:space="preserve">3.3 Staff numbers </w:t>
      </w:r>
    </w:p>
    <w:p w14:paraId="5A164747" w14:textId="77777777" w:rsidR="00425098" w:rsidRPr="000A53C0" w:rsidRDefault="00425098" w:rsidP="00425098">
      <w:pPr>
        <w:pStyle w:val="NormalIndent"/>
        <w:spacing w:after="120" w:line="264" w:lineRule="auto"/>
        <w:ind w:left="0"/>
        <w:rPr>
          <w:rFonts w:cs="Arial"/>
        </w:rPr>
      </w:pPr>
      <w:r w:rsidRPr="000A53C0">
        <w:rPr>
          <w:rStyle w:val="BodyTextChar"/>
          <w:rFonts w:cs="Arial"/>
        </w:rPr>
        <w:t>Research undertaken by Australian Engineered Stone Advisory Group estimates that there are between 8,000 and 10,000 people working</w:t>
      </w:r>
      <w:r w:rsidRPr="000A53C0">
        <w:rPr>
          <w:rFonts w:cs="Arial"/>
        </w:rPr>
        <w:t xml:space="preserve"> with engineered stone in Australia (ASEAG, 2019). </w:t>
      </w:r>
    </w:p>
    <w:p w14:paraId="23B95320" w14:textId="6CF8F342" w:rsidR="00425098" w:rsidRPr="000A53C0" w:rsidRDefault="00425098" w:rsidP="00030457">
      <w:pPr>
        <w:pStyle w:val="Caption"/>
        <w:rPr>
          <w:rFonts w:cs="Arial"/>
          <w:b/>
        </w:rPr>
      </w:pPr>
      <w:bookmarkStart w:id="198" w:name="_Ref138662108"/>
      <w:bookmarkStart w:id="199" w:name="_Ref140679150"/>
      <w:r w:rsidRPr="00FA58DF">
        <w:rPr>
          <w:rFonts w:cs="Arial"/>
          <w:b/>
          <w:bCs/>
        </w:rPr>
        <w:t xml:space="preserve">Table </w:t>
      </w:r>
      <w:r w:rsidRPr="00FA58DF">
        <w:rPr>
          <w:rFonts w:cs="Arial"/>
          <w:b/>
          <w:bCs/>
        </w:rPr>
        <w:fldChar w:fldCharType="begin"/>
      </w:r>
      <w:r w:rsidRPr="00FA58DF">
        <w:rPr>
          <w:rFonts w:cs="Arial"/>
          <w:b/>
          <w:bCs/>
        </w:rPr>
        <w:instrText>SEQ Table \* ARABIC</w:instrText>
      </w:r>
      <w:r w:rsidRPr="00FA58DF">
        <w:rPr>
          <w:rFonts w:cs="Arial"/>
          <w:b/>
          <w:bCs/>
        </w:rPr>
        <w:fldChar w:fldCharType="separate"/>
      </w:r>
      <w:r w:rsidR="00D16271">
        <w:rPr>
          <w:rFonts w:cs="Arial"/>
          <w:b/>
          <w:bCs/>
          <w:noProof/>
        </w:rPr>
        <w:t>19</w:t>
      </w:r>
      <w:r w:rsidRPr="00FA58DF">
        <w:rPr>
          <w:rFonts w:cs="Arial"/>
          <w:b/>
          <w:bCs/>
        </w:rPr>
        <w:fldChar w:fldCharType="end"/>
      </w:r>
      <w:bookmarkEnd w:id="198"/>
      <w:r w:rsidR="00FA58DF">
        <w:rPr>
          <w:rFonts w:cs="Arial"/>
        </w:rPr>
        <w:t xml:space="preserve"> </w:t>
      </w:r>
      <w:r w:rsidRPr="000A53C0">
        <w:rPr>
          <w:rFonts w:cs="Arial"/>
        </w:rPr>
        <w:t>Average number of employees by business type</w:t>
      </w:r>
      <w:r w:rsidRPr="000A53C0">
        <w:rPr>
          <w:rStyle w:val="FootnoteReference"/>
          <w:rFonts w:cs="Arial"/>
        </w:rPr>
        <w:footnoteReference w:id="50"/>
      </w:r>
      <w:bookmarkEnd w:id="199"/>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UPSLIDE_TablePasted`_#[%£=+@*$*$UPSLIDE_TablePasted`_#[%£=+@*$*$UPSLIDE_TablePasted`_#[%£=+@"/>
      </w:tblPr>
      <w:tblGrid>
        <w:gridCol w:w="6510"/>
        <w:gridCol w:w="3684"/>
      </w:tblGrid>
      <w:tr w:rsidR="00425098" w:rsidRPr="000A53C0" w14:paraId="0CCC1328" w14:textId="77777777" w:rsidTr="00FA58DF">
        <w:trPr>
          <w:trHeight w:val="642"/>
          <w:tblHeader/>
        </w:trPr>
        <w:tc>
          <w:tcPr>
            <w:tcW w:w="3193" w:type="pct"/>
            <w:shd w:val="clear" w:color="auto" w:fill="E81D32"/>
            <w:vAlign w:val="center"/>
          </w:tcPr>
          <w:p w14:paraId="17B6AE6C" w14:textId="77777777" w:rsidR="00425098" w:rsidRPr="00FA58DF" w:rsidRDefault="00425098" w:rsidP="00FA58DF">
            <w:pPr>
              <w:pStyle w:val="TableHeading"/>
              <w:spacing w:before="0" w:after="0"/>
              <w:rPr>
                <w:rFonts w:ascii="Arial" w:hAnsi="Arial" w:cs="Arial"/>
                <w:color w:val="FFFFFF" w:themeColor="background1"/>
              </w:rPr>
            </w:pPr>
            <w:r w:rsidRPr="00FA58DF">
              <w:rPr>
                <w:rFonts w:ascii="Arial" w:hAnsi="Arial" w:cs="Arial"/>
                <w:color w:val="FFFFFF" w:themeColor="background1"/>
              </w:rPr>
              <w:t>Business size</w:t>
            </w:r>
          </w:p>
        </w:tc>
        <w:tc>
          <w:tcPr>
            <w:tcW w:w="1807" w:type="pct"/>
            <w:shd w:val="clear" w:color="auto" w:fill="E81D32"/>
            <w:vAlign w:val="center"/>
          </w:tcPr>
          <w:p w14:paraId="564E16C3" w14:textId="77777777" w:rsidR="00425098" w:rsidRPr="00FA58DF" w:rsidRDefault="00425098" w:rsidP="00FA58DF">
            <w:pPr>
              <w:pStyle w:val="TableHeading"/>
              <w:spacing w:before="0" w:after="0"/>
              <w:rPr>
                <w:rFonts w:ascii="Arial" w:hAnsi="Arial" w:cs="Arial"/>
                <w:color w:val="FFFFFF" w:themeColor="background1"/>
              </w:rPr>
            </w:pPr>
            <w:r w:rsidRPr="00FA58DF">
              <w:rPr>
                <w:rFonts w:ascii="Arial" w:hAnsi="Arial" w:cs="Arial"/>
                <w:color w:val="FFFFFF" w:themeColor="background1"/>
              </w:rPr>
              <w:t xml:space="preserve">Average number of workers </w:t>
            </w:r>
          </w:p>
        </w:tc>
      </w:tr>
      <w:tr w:rsidR="00425098" w:rsidRPr="000A53C0" w14:paraId="5771D5B0" w14:textId="77777777">
        <w:trPr>
          <w:trHeight w:val="315"/>
        </w:trPr>
        <w:tc>
          <w:tcPr>
            <w:tcW w:w="3193" w:type="pct"/>
            <w:shd w:val="clear" w:color="auto" w:fill="auto"/>
            <w:vAlign w:val="center"/>
          </w:tcPr>
          <w:p w14:paraId="0C07909E" w14:textId="77777777" w:rsidR="00425098" w:rsidRPr="000A53C0" w:rsidRDefault="00425098">
            <w:pPr>
              <w:pStyle w:val="TableBody"/>
              <w:rPr>
                <w:rFonts w:cs="Arial"/>
              </w:rPr>
            </w:pPr>
            <w:r w:rsidRPr="000A53C0">
              <w:rPr>
                <w:rFonts w:cs="Arial"/>
              </w:rPr>
              <w:t>Sole trader</w:t>
            </w:r>
          </w:p>
        </w:tc>
        <w:tc>
          <w:tcPr>
            <w:tcW w:w="1807" w:type="pct"/>
            <w:vAlign w:val="center"/>
          </w:tcPr>
          <w:p w14:paraId="1943C1E3" w14:textId="77777777" w:rsidR="00425098" w:rsidRPr="000A53C0" w:rsidRDefault="00425098">
            <w:pPr>
              <w:pStyle w:val="TableBody"/>
              <w:jc w:val="center"/>
              <w:rPr>
                <w:rFonts w:cs="Arial"/>
              </w:rPr>
            </w:pPr>
            <w:r w:rsidRPr="000A53C0">
              <w:rPr>
                <w:rFonts w:cs="Arial"/>
              </w:rPr>
              <w:t>1</w:t>
            </w:r>
          </w:p>
        </w:tc>
      </w:tr>
      <w:tr w:rsidR="00425098" w:rsidRPr="000A53C0" w14:paraId="6960CE55" w14:textId="77777777">
        <w:trPr>
          <w:trHeight w:val="315"/>
        </w:trPr>
        <w:tc>
          <w:tcPr>
            <w:tcW w:w="3193" w:type="pct"/>
            <w:shd w:val="clear" w:color="auto" w:fill="auto"/>
            <w:vAlign w:val="center"/>
          </w:tcPr>
          <w:p w14:paraId="451FB1EE" w14:textId="77777777" w:rsidR="00425098" w:rsidRPr="000A53C0" w:rsidRDefault="00425098">
            <w:pPr>
              <w:pStyle w:val="TableBody"/>
              <w:rPr>
                <w:rFonts w:cs="Arial"/>
              </w:rPr>
            </w:pPr>
            <w:r w:rsidRPr="000A53C0">
              <w:rPr>
                <w:rFonts w:cs="Arial"/>
              </w:rPr>
              <w:t>Small (1 – 20 employees)</w:t>
            </w:r>
          </w:p>
        </w:tc>
        <w:tc>
          <w:tcPr>
            <w:tcW w:w="1807" w:type="pct"/>
            <w:vAlign w:val="center"/>
          </w:tcPr>
          <w:p w14:paraId="6BF9CE00" w14:textId="77777777" w:rsidR="00425098" w:rsidRPr="000A53C0" w:rsidRDefault="00425098">
            <w:pPr>
              <w:pStyle w:val="TableBody"/>
              <w:jc w:val="center"/>
              <w:rPr>
                <w:rFonts w:cs="Arial"/>
              </w:rPr>
            </w:pPr>
            <w:r w:rsidRPr="000A53C0">
              <w:rPr>
                <w:rFonts w:cs="Arial"/>
              </w:rPr>
              <w:t>5</w:t>
            </w:r>
          </w:p>
        </w:tc>
      </w:tr>
      <w:tr w:rsidR="00425098" w:rsidRPr="000A53C0" w14:paraId="0B85F91C" w14:textId="77777777">
        <w:trPr>
          <w:trHeight w:val="315"/>
        </w:trPr>
        <w:tc>
          <w:tcPr>
            <w:tcW w:w="3193" w:type="pct"/>
            <w:shd w:val="clear" w:color="auto" w:fill="auto"/>
            <w:vAlign w:val="center"/>
          </w:tcPr>
          <w:p w14:paraId="41D8884B" w14:textId="77777777" w:rsidR="00425098" w:rsidRPr="000A53C0" w:rsidRDefault="00425098">
            <w:pPr>
              <w:pStyle w:val="TableBody"/>
              <w:rPr>
                <w:rFonts w:cs="Arial"/>
              </w:rPr>
            </w:pPr>
            <w:r w:rsidRPr="000A53C0">
              <w:rPr>
                <w:rFonts w:cs="Arial"/>
              </w:rPr>
              <w:t>Medium (21 – 200 employees)</w:t>
            </w:r>
          </w:p>
        </w:tc>
        <w:tc>
          <w:tcPr>
            <w:tcW w:w="1807" w:type="pct"/>
            <w:vAlign w:val="center"/>
          </w:tcPr>
          <w:p w14:paraId="2AF170ED" w14:textId="77777777" w:rsidR="00425098" w:rsidRPr="000A53C0" w:rsidRDefault="00425098">
            <w:pPr>
              <w:pStyle w:val="TableBody"/>
              <w:jc w:val="center"/>
              <w:rPr>
                <w:rFonts w:cs="Arial"/>
              </w:rPr>
            </w:pPr>
            <w:r w:rsidRPr="000A53C0">
              <w:rPr>
                <w:rFonts w:cs="Arial"/>
              </w:rPr>
              <w:t>44</w:t>
            </w:r>
          </w:p>
        </w:tc>
      </w:tr>
    </w:tbl>
    <w:p w14:paraId="2DB265D0" w14:textId="77777777" w:rsidR="00425098" w:rsidRPr="000A53C0" w:rsidRDefault="00425098" w:rsidP="00425098">
      <w:pPr>
        <w:pStyle w:val="BodyText"/>
        <w:rPr>
          <w:rFonts w:cs="Arial"/>
        </w:rPr>
      </w:pPr>
    </w:p>
    <w:p w14:paraId="2FF8B0B5" w14:textId="3ABE7C2B" w:rsidR="00425098" w:rsidRPr="000A53C0" w:rsidRDefault="002D500D" w:rsidP="00D657D6">
      <w:pPr>
        <w:pStyle w:val="App3"/>
        <w:rPr>
          <w:rFonts w:cs="Arial"/>
        </w:rPr>
      </w:pPr>
      <w:r w:rsidRPr="000A53C0">
        <w:rPr>
          <w:rFonts w:cs="Arial"/>
        </w:rPr>
        <w:t>B.</w:t>
      </w:r>
      <w:r w:rsidR="00425098" w:rsidRPr="000A53C0">
        <w:rPr>
          <w:rFonts w:cs="Arial"/>
        </w:rPr>
        <w:t>3.4 Proportion of engineered stone PBCUs that also work with natural stone</w:t>
      </w:r>
    </w:p>
    <w:p w14:paraId="729FE8EA" w14:textId="77777777" w:rsidR="00425098" w:rsidRPr="000A53C0" w:rsidRDefault="00425098" w:rsidP="00425098">
      <w:pPr>
        <w:pStyle w:val="BodyText"/>
        <w:rPr>
          <w:rFonts w:cs="Arial"/>
        </w:rPr>
      </w:pPr>
      <w:r w:rsidRPr="000A53C0">
        <w:rPr>
          <w:rFonts w:cs="Arial"/>
        </w:rPr>
        <w:t>The number of PCBUs working with engineered stone has increased as the material has become more popular among home renovators and developers – engineered stone currently occupies about 55% of the Australian market by volume</w:t>
      </w:r>
      <w:r w:rsidRPr="000A53C0">
        <w:rPr>
          <w:rFonts w:cs="Arial"/>
          <w:vertAlign w:val="superscript"/>
        </w:rPr>
        <w:footnoteReference w:id="51"/>
      </w:r>
      <w:r w:rsidRPr="000A53C0">
        <w:rPr>
          <w:rFonts w:cs="Arial"/>
        </w:rPr>
        <w:t xml:space="preserve">. Data received through the consultation to inform this Decision RIS indicated that 95% of engineered stone PCBUs work with both natural stone and engineered stone. </w:t>
      </w:r>
    </w:p>
    <w:p w14:paraId="7BB75F0D" w14:textId="14105386" w:rsidR="00425098" w:rsidRPr="000A53C0" w:rsidRDefault="002D500D" w:rsidP="00D657D6">
      <w:pPr>
        <w:pStyle w:val="App3"/>
        <w:rPr>
          <w:rFonts w:cs="Arial"/>
        </w:rPr>
      </w:pPr>
      <w:bookmarkStart w:id="200" w:name="_Ref134110524"/>
      <w:r w:rsidRPr="000A53C0">
        <w:rPr>
          <w:rFonts w:cs="Arial"/>
        </w:rPr>
        <w:t>B.</w:t>
      </w:r>
      <w:r w:rsidR="00425098" w:rsidRPr="000A53C0">
        <w:rPr>
          <w:rFonts w:cs="Arial"/>
        </w:rPr>
        <w:t>3.5 Proportion of business activity by crystalline silica content</w:t>
      </w:r>
      <w:bookmarkEnd w:id="200"/>
    </w:p>
    <w:p w14:paraId="44C67447" w14:textId="77777777" w:rsidR="00425098" w:rsidRPr="000A53C0" w:rsidRDefault="00425098" w:rsidP="00425098">
      <w:pPr>
        <w:pStyle w:val="BodyText"/>
        <w:rPr>
          <w:rFonts w:cs="Arial"/>
        </w:rPr>
      </w:pPr>
      <w:r w:rsidRPr="000A53C0">
        <w:rPr>
          <w:rFonts w:cs="Arial"/>
        </w:rPr>
        <w:t xml:space="preserve">Option 2 and 3 would seek to prohibit work with engineered stone containing 40% or more crystalline silica content. The impacts of these options are dependent on the availability of engineered stone with less than 40% crystalline silica content. </w:t>
      </w:r>
    </w:p>
    <w:p w14:paraId="0C6799B1" w14:textId="20F9DB2F" w:rsidR="00425098" w:rsidRPr="000A53C0" w:rsidRDefault="00425098" w:rsidP="00425098">
      <w:pPr>
        <w:pStyle w:val="BodyText"/>
        <w:rPr>
          <w:rFonts w:cs="Arial"/>
        </w:rPr>
      </w:pPr>
      <w:r w:rsidRPr="000A53C0">
        <w:rPr>
          <w:rFonts w:cs="Arial"/>
        </w:rPr>
        <w:t>Research indicates that there is already a sizeable market of engineered stone with less than 40% crystalline silica content in Australia. An estimated 40% of business activity among engineered stone PCBUs is currently engineered stone with less than 40% crystalline silica content</w:t>
      </w:r>
      <w:r w:rsidR="00C44B74" w:rsidRPr="000A53C0">
        <w:rPr>
          <w:rFonts w:cs="Arial"/>
        </w:rPr>
        <w:t>.</w:t>
      </w:r>
      <w:r w:rsidRPr="000A53C0">
        <w:rPr>
          <w:rFonts w:cs="Arial"/>
        </w:rPr>
        <w:t xml:space="preserve"> </w:t>
      </w:r>
    </w:p>
    <w:p w14:paraId="7D7FE33B" w14:textId="77777777" w:rsidR="00425098" w:rsidRPr="000A53C0" w:rsidRDefault="00425098" w:rsidP="00425098">
      <w:pPr>
        <w:pStyle w:val="BodyText"/>
        <w:rPr>
          <w:rFonts w:cs="Arial"/>
        </w:rPr>
      </w:pPr>
      <w:r w:rsidRPr="000A53C0">
        <w:rPr>
          <w:rFonts w:cs="Arial"/>
        </w:rPr>
        <w:t>Moreover, the industry is increasingly offering lower silica engineered stone products, for example:</w:t>
      </w:r>
    </w:p>
    <w:p w14:paraId="2E3D36A9" w14:textId="05224D94" w:rsidR="00425098" w:rsidRPr="000A53C0" w:rsidRDefault="49990F53" w:rsidP="001B44C4">
      <w:pPr>
        <w:pStyle w:val="IAListbullet2"/>
        <w:rPr>
          <w:rFonts w:cs="Arial"/>
        </w:rPr>
      </w:pPr>
      <w:r w:rsidRPr="000A53C0">
        <w:rPr>
          <w:rFonts w:cs="Arial"/>
        </w:rPr>
        <w:lastRenderedPageBreak/>
        <w:t xml:space="preserve">Smartstone has launched a new product range, the Ibrido Collection, with 28% silica content. It is planning </w:t>
      </w:r>
      <w:r w:rsidR="007037C5">
        <w:rPr>
          <w:rFonts w:cs="Arial"/>
        </w:rPr>
        <w:t xml:space="preserve">to </w:t>
      </w:r>
      <w:r w:rsidRPr="000A53C0">
        <w:rPr>
          <w:rFonts w:cs="Arial"/>
        </w:rPr>
        <w:t>replace its entire range by mid-2023</w:t>
      </w:r>
      <w:r w:rsidR="4DE8FA4C" w:rsidRPr="000A53C0">
        <w:rPr>
          <w:rFonts w:cs="Arial"/>
        </w:rPr>
        <w:t xml:space="preserve"> (Smartstone, 2023)</w:t>
      </w:r>
      <w:r w:rsidR="00425098" w:rsidRPr="000A53C0">
        <w:rPr>
          <w:rFonts w:cs="Arial"/>
          <w:vertAlign w:val="superscript"/>
        </w:rPr>
        <w:footnoteReference w:id="52"/>
      </w:r>
    </w:p>
    <w:p w14:paraId="7D66BE58" w14:textId="3046436F" w:rsidR="00425098" w:rsidRPr="000A53C0" w:rsidRDefault="49990F53" w:rsidP="001B44C4">
      <w:pPr>
        <w:pStyle w:val="IAListbullet2"/>
        <w:rPr>
          <w:rFonts w:cs="Arial"/>
        </w:rPr>
      </w:pPr>
      <w:r w:rsidRPr="000A53C0">
        <w:rPr>
          <w:rFonts w:cs="Arial"/>
        </w:rPr>
        <w:t>Caesarstone launched a lower silica product (less than 40% silica) in 2022 and by mid-2024 expects that all of its products sold in Australia will contain less than 40% silica</w:t>
      </w:r>
      <w:r w:rsidR="00425098" w:rsidRPr="000A53C0">
        <w:rPr>
          <w:rFonts w:cs="Arial"/>
          <w:vertAlign w:val="superscript"/>
        </w:rPr>
        <w:footnoteReference w:id="53"/>
      </w:r>
      <w:r w:rsidR="00F73F8B">
        <w:rPr>
          <w:rFonts w:cs="Arial"/>
        </w:rPr>
        <w:t>, and</w:t>
      </w:r>
    </w:p>
    <w:p w14:paraId="69A124B6" w14:textId="77777777" w:rsidR="00425098" w:rsidRPr="000A53C0" w:rsidRDefault="49990F53" w:rsidP="001B44C4">
      <w:pPr>
        <w:pStyle w:val="IAListbullet2"/>
        <w:rPr>
          <w:rFonts w:cs="Arial"/>
        </w:rPr>
      </w:pPr>
      <w:r w:rsidRPr="000A53C0">
        <w:rPr>
          <w:rFonts w:cs="Arial"/>
        </w:rPr>
        <w:t>Cosentino engineered stone products Silestone Q10 and Q40 contain less than 10% and 40% crystalline silica respectively (Cosentino Global, S.L.U., 2023).</w:t>
      </w:r>
    </w:p>
    <w:p w14:paraId="660A45F0" w14:textId="7490297B" w:rsidR="00425098" w:rsidRPr="000A53C0" w:rsidRDefault="00425098" w:rsidP="00425098">
      <w:pPr>
        <w:pStyle w:val="BodyText"/>
        <w:rPr>
          <w:rFonts w:cs="Arial"/>
        </w:rPr>
      </w:pPr>
      <w:r w:rsidRPr="000A53C0">
        <w:rPr>
          <w:rFonts w:cs="Arial"/>
        </w:rPr>
        <w:t xml:space="preserve">While stakeholders have indicated that engineered stone with less than 40% crystalline silica is currently more expensive, they have also indicated that they should be able to meet demand within the next 12-18 months, should higher silica content products be prohibited. </w:t>
      </w:r>
    </w:p>
    <w:p w14:paraId="3329F0A3" w14:textId="10A68D7B" w:rsidR="00425098" w:rsidRPr="000A53C0" w:rsidRDefault="002D500D" w:rsidP="00C84BAF">
      <w:pPr>
        <w:pStyle w:val="App2"/>
        <w:rPr>
          <w:rFonts w:cs="Arial"/>
        </w:rPr>
      </w:pPr>
      <w:bookmarkStart w:id="201" w:name="_Toc136327244"/>
      <w:bookmarkStart w:id="202" w:name="_Toc142991362"/>
      <w:r w:rsidRPr="000A53C0">
        <w:rPr>
          <w:rFonts w:cs="Arial"/>
        </w:rPr>
        <w:t>B.</w:t>
      </w:r>
      <w:r w:rsidR="00425098" w:rsidRPr="000A53C0">
        <w:rPr>
          <w:rFonts w:cs="Arial"/>
        </w:rPr>
        <w:t>4 Defining other industry PCBUs</w:t>
      </w:r>
      <w:bookmarkEnd w:id="201"/>
      <w:bookmarkEnd w:id="202"/>
    </w:p>
    <w:p w14:paraId="6B017EFE" w14:textId="4FF5C972" w:rsidR="00425098" w:rsidRPr="000A53C0" w:rsidRDefault="002D500D" w:rsidP="00D657D6">
      <w:pPr>
        <w:pStyle w:val="App3"/>
        <w:rPr>
          <w:rFonts w:cs="Arial"/>
        </w:rPr>
      </w:pPr>
      <w:r w:rsidRPr="000A53C0">
        <w:rPr>
          <w:rFonts w:cs="Arial"/>
        </w:rPr>
        <w:t>B.</w:t>
      </w:r>
      <w:r w:rsidR="00425098" w:rsidRPr="000A53C0">
        <w:rPr>
          <w:rFonts w:cs="Arial"/>
        </w:rPr>
        <w:t>4.1 Other PCBUs working with engineered stone</w:t>
      </w:r>
    </w:p>
    <w:p w14:paraId="3371D80D" w14:textId="77777777" w:rsidR="00425098" w:rsidRPr="000A53C0" w:rsidRDefault="00425098" w:rsidP="00425098">
      <w:pPr>
        <w:pStyle w:val="BodyText"/>
        <w:rPr>
          <w:rFonts w:cs="Arial"/>
        </w:rPr>
      </w:pPr>
      <w:r w:rsidRPr="000A53C0">
        <w:rPr>
          <w:rFonts w:cs="Arial"/>
        </w:rPr>
        <w:t>‘Other industry PCBUs’ are the trades who work with engineered stone in the course of their primary activities. An example provided during consultation to inform the Prohibition Decision RIS is that of a homeowner buying a new electrical cooktop (stovetop) and requiring an electrician to rewire and fit the new cooktop, which will likely require the electrician to cut into the engineered stone benchtop to fit the new appliance. This same scenario could also apply to sinks and power points.</w:t>
      </w:r>
      <w:r w:rsidRPr="000A53C0">
        <w:rPr>
          <w:rStyle w:val="FootnoteReference"/>
          <w:rFonts w:cs="Arial"/>
        </w:rPr>
        <w:footnoteReference w:id="54"/>
      </w:r>
    </w:p>
    <w:p w14:paraId="317A3547" w14:textId="2C388C17" w:rsidR="00425098" w:rsidRPr="000A53C0" w:rsidRDefault="00425098" w:rsidP="00425098">
      <w:pPr>
        <w:pStyle w:val="BodyText"/>
        <w:rPr>
          <w:rFonts w:cs="Arial"/>
        </w:rPr>
      </w:pPr>
      <w:r w:rsidRPr="000A53C0">
        <w:rPr>
          <w:rFonts w:cs="Arial"/>
        </w:rPr>
        <w:t>A licensing framework is proposed across all options for work on engineered stone already installed, where other industry PCBUs will need to obtain a licence to undertake certain activities such as removal, repair, and minor modification</w:t>
      </w:r>
      <w:r w:rsidR="006F56BD" w:rsidRPr="000A53C0">
        <w:rPr>
          <w:rFonts w:cs="Arial"/>
        </w:rPr>
        <w:t xml:space="preserve"> of pre-installed engineered stone</w:t>
      </w:r>
      <w:r w:rsidRPr="000A53C0">
        <w:rPr>
          <w:rFonts w:cs="Arial"/>
        </w:rPr>
        <w:t xml:space="preserve">. </w:t>
      </w:r>
    </w:p>
    <w:p w14:paraId="385AB45E" w14:textId="1C06A552" w:rsidR="00425098" w:rsidRPr="000A53C0" w:rsidRDefault="002D500D" w:rsidP="00D657D6">
      <w:pPr>
        <w:pStyle w:val="App3"/>
        <w:rPr>
          <w:rFonts w:cs="Arial"/>
        </w:rPr>
      </w:pPr>
      <w:r w:rsidRPr="000A53C0">
        <w:rPr>
          <w:rFonts w:cs="Arial"/>
        </w:rPr>
        <w:t>B.</w:t>
      </w:r>
      <w:r w:rsidR="00425098" w:rsidRPr="000A53C0">
        <w:rPr>
          <w:rFonts w:cs="Arial"/>
        </w:rPr>
        <w:t>4.2 Number of other industry PCBUs</w:t>
      </w:r>
    </w:p>
    <w:p w14:paraId="0AC6503F" w14:textId="2C292E2F" w:rsidR="00425098" w:rsidRPr="000A53C0" w:rsidRDefault="00425098" w:rsidP="00425098">
      <w:pPr>
        <w:pStyle w:val="BodyText"/>
        <w:rPr>
          <w:rFonts w:cs="Arial"/>
        </w:rPr>
      </w:pPr>
      <w:r w:rsidRPr="000A53C0">
        <w:rPr>
          <w:rFonts w:cs="Arial"/>
        </w:rPr>
        <w:t xml:space="preserve">The number of businesses within the construction sector that would handle previously installed engineered stone has been estimated using </w:t>
      </w:r>
      <w:r w:rsidRPr="000A53C0">
        <w:rPr>
          <w:rFonts w:cs="Arial"/>
          <w:i/>
        </w:rPr>
        <w:t>Counts of Australian Businesses</w:t>
      </w:r>
      <w:r w:rsidRPr="000A53C0">
        <w:rPr>
          <w:rFonts w:cs="Arial"/>
        </w:rPr>
        <w:t xml:space="preserve"> data published by the Australian Bureau of Statistics (ABS) for June 2022. This data shows the total number of businesses at the four-digit ANZSIC industry classification level for each jurisdiction. An assessment of all four-digit ANZSIC categories was undertaken to determine which industries would work with legacy engineered stone (refer to </w:t>
      </w:r>
      <w:r w:rsidRPr="000A53C0">
        <w:rPr>
          <w:rFonts w:cs="Arial"/>
        </w:rPr>
        <w:fldChar w:fldCharType="begin" w:fldLock="1"/>
      </w:r>
      <w:r w:rsidRPr="000A53C0">
        <w:rPr>
          <w:rFonts w:cs="Arial"/>
        </w:rPr>
        <w:instrText xml:space="preserve"> REF _Ref134050955 \h  \* MERGEFORMAT </w:instrText>
      </w:r>
      <w:r w:rsidRPr="000A53C0">
        <w:rPr>
          <w:rFonts w:cs="Arial"/>
        </w:rPr>
      </w:r>
      <w:r w:rsidRPr="000A53C0">
        <w:rPr>
          <w:rFonts w:cs="Arial"/>
        </w:rPr>
        <w:fldChar w:fldCharType="separate"/>
      </w:r>
      <w:r w:rsidR="00D16271" w:rsidRPr="00D16271">
        <w:rPr>
          <w:rFonts w:cs="Arial"/>
        </w:rPr>
        <w:t>Table 20</w:t>
      </w:r>
      <w:r w:rsidRPr="000A53C0">
        <w:rPr>
          <w:rFonts w:cs="Arial"/>
        </w:rPr>
        <w:fldChar w:fldCharType="end"/>
      </w:r>
      <w:r w:rsidRPr="000A53C0">
        <w:rPr>
          <w:rFonts w:cs="Arial"/>
        </w:rPr>
        <w:t xml:space="preserve">). </w:t>
      </w:r>
    </w:p>
    <w:p w14:paraId="7501290C" w14:textId="77777777" w:rsidR="00425098" w:rsidRPr="000A53C0" w:rsidRDefault="00425098" w:rsidP="00425098">
      <w:pPr>
        <w:pStyle w:val="BodyText"/>
        <w:rPr>
          <w:rFonts w:cs="Arial"/>
        </w:rPr>
      </w:pPr>
      <w:r w:rsidRPr="000A53C0">
        <w:rPr>
          <w:rFonts w:cs="Arial"/>
        </w:rPr>
        <w:t xml:space="preserve">As Victoria has not adopted the model WHS laws, PCBUs in Victoria have not been included in this analysis, with an acknowledgement that there will be some cross border activity. </w:t>
      </w:r>
    </w:p>
    <w:p w14:paraId="489098FC" w14:textId="77777777" w:rsidR="00425098" w:rsidRPr="000A53C0" w:rsidRDefault="00425098" w:rsidP="00425098">
      <w:pPr>
        <w:pStyle w:val="BodyText"/>
        <w:rPr>
          <w:rFonts w:cs="Arial"/>
        </w:rPr>
      </w:pPr>
      <w:r w:rsidRPr="000A53C0">
        <w:rPr>
          <w:rFonts w:cs="Arial"/>
        </w:rPr>
        <w:t xml:space="preserve">Not all PCBUs in each industry category would work with engineered stone. Given the high degree of uncertainty about the proportion of PCBUs in each category that would work with engineered stone at some point over the time period, a very conservative 100% of businesses have been included in the analysis, to provide an indicative upper cost estimation. </w:t>
      </w:r>
    </w:p>
    <w:p w14:paraId="6E49DD7A" w14:textId="2E51587B" w:rsidR="00425098" w:rsidRPr="000A53C0" w:rsidRDefault="00425098" w:rsidP="00425098">
      <w:pPr>
        <w:spacing w:after="120" w:line="264" w:lineRule="auto"/>
        <w:rPr>
          <w:rFonts w:cs="Arial"/>
        </w:rPr>
      </w:pPr>
      <w:r w:rsidRPr="000A53C0">
        <w:rPr>
          <w:rFonts w:cs="Arial"/>
        </w:rPr>
        <w:t>There is an estimated 179,750 other industry PCBUs currently assumed to do some work with engineered stone in the course of their primary activities (</w:t>
      </w:r>
      <w:r w:rsidRPr="000A53C0">
        <w:rPr>
          <w:rStyle w:val="BodyTextChar"/>
          <w:rFonts w:cs="Arial"/>
          <w:highlight w:val="yellow"/>
        </w:rPr>
        <w:fldChar w:fldCharType="begin" w:fldLock="1"/>
      </w:r>
      <w:r w:rsidRPr="000A53C0">
        <w:rPr>
          <w:rStyle w:val="BodyTextChar"/>
          <w:rFonts w:cs="Arial"/>
        </w:rPr>
        <w:instrText xml:space="preserve"> REF _Ref138661957 \h </w:instrText>
      </w:r>
      <w:r w:rsidRPr="000A53C0">
        <w:rPr>
          <w:rStyle w:val="BodyTextChar"/>
          <w:rFonts w:cs="Arial"/>
          <w:highlight w:val="yellow"/>
        </w:rPr>
        <w:instrText xml:space="preserve"> \* MERGEFORMAT </w:instrText>
      </w:r>
      <w:r w:rsidRPr="000A53C0">
        <w:rPr>
          <w:rStyle w:val="BodyTextChar"/>
          <w:rFonts w:cs="Arial"/>
          <w:highlight w:val="yellow"/>
        </w:rPr>
      </w:r>
      <w:r w:rsidRPr="000A53C0">
        <w:rPr>
          <w:rStyle w:val="BodyTextChar"/>
          <w:rFonts w:cs="Arial"/>
          <w:highlight w:val="yellow"/>
        </w:rPr>
        <w:fldChar w:fldCharType="separate"/>
      </w:r>
      <w:r w:rsidR="00D16271" w:rsidRPr="00D16271">
        <w:rPr>
          <w:rStyle w:val="BodyTextChar"/>
        </w:rPr>
        <w:t>Table 21</w:t>
      </w:r>
      <w:r w:rsidRPr="000A53C0">
        <w:rPr>
          <w:rStyle w:val="BodyTextChar"/>
          <w:rFonts w:cs="Arial"/>
          <w:highlight w:val="yellow"/>
        </w:rPr>
        <w:fldChar w:fldCharType="end"/>
      </w:r>
      <w:r w:rsidRPr="000A53C0">
        <w:rPr>
          <w:rStyle w:val="BodyTextChar"/>
          <w:rFonts w:cs="Arial"/>
        </w:rPr>
        <w:t>).</w:t>
      </w:r>
      <w:r w:rsidRPr="000A53C0">
        <w:rPr>
          <w:rFonts w:cs="Arial"/>
        </w:rPr>
        <w:t xml:space="preserve"> The number of PCBUs who may choose to continue to undertake work with engineered stone through a licensing framework for work with legacy products is considered in section </w:t>
      </w:r>
      <w:r w:rsidR="00496406" w:rsidRPr="000A53C0">
        <w:rPr>
          <w:rFonts w:cs="Arial"/>
        </w:rPr>
        <w:t>B</w:t>
      </w:r>
      <w:r w:rsidRPr="000A53C0">
        <w:rPr>
          <w:rFonts w:cs="Arial"/>
        </w:rPr>
        <w:t xml:space="preserve">.7, and is expected to be a fraction of this total number. </w:t>
      </w:r>
    </w:p>
    <w:p w14:paraId="22C27AAC" w14:textId="0A3DC83C" w:rsidR="00425098" w:rsidRPr="000A53C0" w:rsidRDefault="00425098" w:rsidP="00030457">
      <w:pPr>
        <w:pStyle w:val="Caption"/>
        <w:rPr>
          <w:rFonts w:cs="Arial"/>
          <w:b/>
          <w:szCs w:val="16"/>
        </w:rPr>
      </w:pPr>
      <w:bookmarkStart w:id="203" w:name="_Ref134050955"/>
      <w:r w:rsidRPr="006573BF">
        <w:rPr>
          <w:rFonts w:cs="Arial"/>
          <w:b/>
          <w:bCs/>
        </w:rPr>
        <w:lastRenderedPageBreak/>
        <w:t xml:space="preserve">Table </w:t>
      </w:r>
      <w:r w:rsidRPr="006573BF">
        <w:rPr>
          <w:rFonts w:cs="Arial"/>
          <w:b/>
          <w:bCs/>
        </w:rPr>
        <w:fldChar w:fldCharType="begin"/>
      </w:r>
      <w:r w:rsidRPr="006573BF">
        <w:rPr>
          <w:rFonts w:cs="Arial"/>
          <w:b/>
          <w:bCs/>
        </w:rPr>
        <w:instrText xml:space="preserve"> SEQ Table \* ARABIC </w:instrText>
      </w:r>
      <w:r w:rsidRPr="006573BF">
        <w:rPr>
          <w:rFonts w:cs="Arial"/>
          <w:b/>
          <w:bCs/>
        </w:rPr>
        <w:fldChar w:fldCharType="separate"/>
      </w:r>
      <w:r w:rsidR="00D16271">
        <w:rPr>
          <w:rFonts w:cs="Arial"/>
          <w:b/>
          <w:bCs/>
          <w:noProof/>
        </w:rPr>
        <w:t>20</w:t>
      </w:r>
      <w:r w:rsidRPr="006573BF">
        <w:rPr>
          <w:rFonts w:cs="Arial"/>
          <w:b/>
          <w:bCs/>
        </w:rPr>
        <w:fldChar w:fldCharType="end"/>
      </w:r>
      <w:bookmarkEnd w:id="203"/>
      <w:r w:rsidRPr="000A53C0">
        <w:rPr>
          <w:rFonts w:cs="Arial"/>
        </w:rPr>
        <w:t xml:space="preserve"> </w:t>
      </w:r>
      <w:r w:rsidR="00496406" w:rsidRPr="000A53C0">
        <w:rPr>
          <w:rFonts w:cs="Arial"/>
        </w:rPr>
        <w:t>P</w:t>
      </w:r>
      <w:r w:rsidRPr="000A53C0">
        <w:rPr>
          <w:rFonts w:cs="Arial"/>
        </w:rPr>
        <w:t>otential total number of other industry PCBUs who may work with engineered stone</w:t>
      </w:r>
    </w:p>
    <w:tbl>
      <w:tblPr>
        <w:tblW w:w="4169"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
      </w:tblPr>
      <w:tblGrid>
        <w:gridCol w:w="1547"/>
        <w:gridCol w:w="5251"/>
        <w:gridCol w:w="1702"/>
      </w:tblGrid>
      <w:tr w:rsidR="00425098" w:rsidRPr="000A53C0" w14:paraId="6E720FF5" w14:textId="77777777" w:rsidTr="006573BF">
        <w:trPr>
          <w:trHeight w:val="56"/>
          <w:tblHeader/>
        </w:trPr>
        <w:tc>
          <w:tcPr>
            <w:tcW w:w="910" w:type="pct"/>
            <w:shd w:val="clear" w:color="auto" w:fill="E81D32"/>
            <w:tcMar>
              <w:top w:w="72" w:type="dxa"/>
              <w:left w:w="144" w:type="dxa"/>
              <w:bottom w:w="72" w:type="dxa"/>
              <w:right w:w="144" w:type="dxa"/>
            </w:tcMar>
            <w:vAlign w:val="center"/>
            <w:hideMark/>
          </w:tcPr>
          <w:p w14:paraId="19E8DAF3" w14:textId="77777777" w:rsidR="00425098" w:rsidRPr="006573BF" w:rsidRDefault="00425098">
            <w:pPr>
              <w:pStyle w:val="TableHeading"/>
              <w:rPr>
                <w:rFonts w:ascii="Arial" w:hAnsi="Arial" w:cs="Arial"/>
                <w:color w:val="FFFFFF" w:themeColor="background1"/>
              </w:rPr>
            </w:pPr>
            <w:r w:rsidRPr="006573BF">
              <w:rPr>
                <w:rFonts w:ascii="Arial" w:hAnsi="Arial" w:cs="Arial"/>
                <w:color w:val="FFFFFF" w:themeColor="background1"/>
              </w:rPr>
              <w:t>Industry category</w:t>
            </w:r>
          </w:p>
        </w:tc>
        <w:tc>
          <w:tcPr>
            <w:tcW w:w="3089" w:type="pct"/>
            <w:shd w:val="clear" w:color="auto" w:fill="E81D32"/>
            <w:vAlign w:val="center"/>
          </w:tcPr>
          <w:p w14:paraId="1524542D" w14:textId="77777777" w:rsidR="00425098" w:rsidRPr="006573BF" w:rsidRDefault="00425098">
            <w:pPr>
              <w:pStyle w:val="TableHeading"/>
              <w:rPr>
                <w:rFonts w:ascii="Arial" w:hAnsi="Arial" w:cs="Arial"/>
                <w:color w:val="FFFFFF" w:themeColor="background1"/>
              </w:rPr>
            </w:pPr>
            <w:r w:rsidRPr="006573BF">
              <w:rPr>
                <w:rFonts w:ascii="Arial" w:hAnsi="Arial" w:cs="Arial"/>
                <w:color w:val="FFFFFF" w:themeColor="background1"/>
              </w:rPr>
              <w:t>Relevant ANZSIC categories</w:t>
            </w:r>
          </w:p>
        </w:tc>
        <w:tc>
          <w:tcPr>
            <w:tcW w:w="1001" w:type="pct"/>
            <w:shd w:val="clear" w:color="auto" w:fill="E81D32"/>
            <w:vAlign w:val="center"/>
          </w:tcPr>
          <w:p w14:paraId="2DBE0928" w14:textId="77777777" w:rsidR="00425098" w:rsidRPr="006573BF" w:rsidRDefault="00425098">
            <w:pPr>
              <w:pStyle w:val="TableHeading"/>
              <w:rPr>
                <w:rFonts w:ascii="Arial" w:hAnsi="Arial" w:cs="Arial"/>
                <w:color w:val="FFFFFF" w:themeColor="background1"/>
              </w:rPr>
            </w:pPr>
            <w:r w:rsidRPr="006573BF">
              <w:rPr>
                <w:rFonts w:ascii="Arial" w:hAnsi="Arial" w:cs="Arial"/>
                <w:color w:val="FFFFFF" w:themeColor="background1"/>
              </w:rPr>
              <w:t>Total PCBUs</w:t>
            </w:r>
          </w:p>
        </w:tc>
      </w:tr>
      <w:tr w:rsidR="00425098" w:rsidRPr="000A53C0" w14:paraId="72FB34A7" w14:textId="77777777">
        <w:trPr>
          <w:trHeight w:val="56"/>
        </w:trPr>
        <w:tc>
          <w:tcPr>
            <w:tcW w:w="910" w:type="pct"/>
            <w:shd w:val="clear" w:color="auto" w:fill="F2F2F2" w:themeFill="background1" w:themeFillShade="F2"/>
            <w:tcMar>
              <w:top w:w="72" w:type="dxa"/>
              <w:left w:w="144" w:type="dxa"/>
              <w:bottom w:w="72" w:type="dxa"/>
              <w:right w:w="144" w:type="dxa"/>
            </w:tcMar>
            <w:vAlign w:val="center"/>
            <w:hideMark/>
          </w:tcPr>
          <w:p w14:paraId="28DB0E56" w14:textId="77777777" w:rsidR="00425098" w:rsidRPr="000A53C0" w:rsidRDefault="00425098">
            <w:pPr>
              <w:pStyle w:val="TableBody"/>
              <w:rPr>
                <w:rFonts w:cs="Arial"/>
                <w:i/>
              </w:rPr>
            </w:pPr>
            <w:r w:rsidRPr="000A53C0">
              <w:rPr>
                <w:rFonts w:cs="Arial"/>
                <w:i/>
              </w:rPr>
              <w:t>Construction</w:t>
            </w:r>
          </w:p>
        </w:tc>
        <w:tc>
          <w:tcPr>
            <w:tcW w:w="3089" w:type="pct"/>
            <w:shd w:val="clear" w:color="auto" w:fill="FFFFFF" w:themeFill="background1"/>
          </w:tcPr>
          <w:p w14:paraId="76C1B51B"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House Construction (renovation)</w:t>
            </w:r>
          </w:p>
          <w:p w14:paraId="004DD209"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Other Residential Building Construction (renovation)</w:t>
            </w:r>
          </w:p>
          <w:p w14:paraId="447F553F"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Non-Residential Building Construction (renovation)</w:t>
            </w:r>
          </w:p>
          <w:p w14:paraId="63F631A5"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Carpentry Services (working around engineered stone)</w:t>
            </w:r>
          </w:p>
          <w:p w14:paraId="76DB7469"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Tiling and Carpeting Services (working around engineered stone)</w:t>
            </w:r>
          </w:p>
          <w:p w14:paraId="5C0DC871"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Plumbing Services (working around engineered stone)</w:t>
            </w:r>
          </w:p>
          <w:p w14:paraId="17CF9143" w14:textId="77777777" w:rsidR="00425098" w:rsidRPr="000A53C0" w:rsidRDefault="00425098" w:rsidP="00766916">
            <w:pPr>
              <w:pStyle w:val="TableBody"/>
              <w:numPr>
                <w:ilvl w:val="0"/>
                <w:numId w:val="40"/>
              </w:numPr>
              <w:rPr>
                <w:rFonts w:cs="Arial"/>
                <w:color w:val="262626" w:themeColor="text1" w:themeTint="D9"/>
              </w:rPr>
            </w:pPr>
            <w:r w:rsidRPr="000A53C0">
              <w:rPr>
                <w:rFonts w:cs="Arial"/>
                <w:color w:val="262626" w:themeColor="text1" w:themeTint="D9"/>
              </w:rPr>
              <w:t>Electrical Services (working around engineered stone)</w:t>
            </w:r>
          </w:p>
        </w:tc>
        <w:tc>
          <w:tcPr>
            <w:tcW w:w="1001" w:type="pct"/>
            <w:shd w:val="clear" w:color="auto" w:fill="FFFFFF" w:themeFill="background1"/>
            <w:vAlign w:val="center"/>
          </w:tcPr>
          <w:p w14:paraId="110474A2" w14:textId="77777777" w:rsidR="00425098" w:rsidRPr="000A53C0" w:rsidRDefault="00425098">
            <w:pPr>
              <w:pStyle w:val="TableBody"/>
              <w:rPr>
                <w:rFonts w:cs="Arial"/>
                <w:color w:val="262626" w:themeColor="text1" w:themeTint="D9"/>
              </w:rPr>
            </w:pPr>
            <w:r w:rsidRPr="000A53C0">
              <w:rPr>
                <w:rFonts w:cs="Arial"/>
                <w:color w:val="262626" w:themeColor="text1" w:themeTint="D9"/>
              </w:rPr>
              <w:t>179,750</w:t>
            </w:r>
          </w:p>
        </w:tc>
      </w:tr>
    </w:tbl>
    <w:p w14:paraId="2A1FE7A6" w14:textId="77777777" w:rsidR="00425098" w:rsidRPr="000A53C0" w:rsidRDefault="00425098" w:rsidP="00425098">
      <w:pPr>
        <w:pStyle w:val="BodyText"/>
        <w:rPr>
          <w:rFonts w:cs="Arial"/>
        </w:rPr>
      </w:pPr>
    </w:p>
    <w:p w14:paraId="2506A43F" w14:textId="77777777" w:rsidR="00425098" w:rsidRPr="000A53C0" w:rsidRDefault="00425098" w:rsidP="00425098">
      <w:pPr>
        <w:pStyle w:val="BodyText"/>
        <w:rPr>
          <w:rFonts w:cs="Arial"/>
        </w:rPr>
      </w:pPr>
      <w:r w:rsidRPr="000A53C0">
        <w:rPr>
          <w:rFonts w:cs="Arial"/>
        </w:rPr>
        <w:t xml:space="preserve">The business counts data used for the number of other industry PCBUs represents a point in time estimate using historical data. No analysis has been undertaken to determine the growth in the number of other industry PCBUs over the implementation period or 10-year implementation period. </w:t>
      </w:r>
    </w:p>
    <w:p w14:paraId="0AD7CFAB" w14:textId="7417355D" w:rsidR="00425098" w:rsidRPr="000A53C0" w:rsidRDefault="00425098" w:rsidP="00425098">
      <w:pPr>
        <w:pStyle w:val="BodyText"/>
        <w:rPr>
          <w:rFonts w:cs="Arial"/>
        </w:rPr>
      </w:pPr>
      <w:r w:rsidRPr="000A53C0">
        <w:rPr>
          <w:rFonts w:cs="Arial"/>
        </w:rPr>
        <w:t>ABS data (ABS, 2022) indicates that the identified ANZSIC categories are comprised of 55% sole traders, 44% small businesses (1–19 employees), and 1% of medium to large businesses (&gt;20</w:t>
      </w:r>
      <w:r w:rsidR="007037C5">
        <w:rPr>
          <w:rFonts w:cs="Arial"/>
        </w:rPr>
        <w:t> </w:t>
      </w:r>
      <w:r w:rsidRPr="000A53C0">
        <w:rPr>
          <w:rFonts w:cs="Arial"/>
        </w:rPr>
        <w:t xml:space="preserve">employees) as shown in the following table. </w:t>
      </w:r>
    </w:p>
    <w:p w14:paraId="1446913D" w14:textId="165C2652" w:rsidR="00425098" w:rsidRPr="000A53C0" w:rsidRDefault="00425098" w:rsidP="00030457">
      <w:pPr>
        <w:pStyle w:val="Caption"/>
        <w:rPr>
          <w:rFonts w:cs="Arial"/>
          <w:b/>
        </w:rPr>
      </w:pPr>
      <w:bookmarkStart w:id="204" w:name="_Ref138661957"/>
      <w:r w:rsidRPr="004F76FD">
        <w:rPr>
          <w:rFonts w:cs="Arial"/>
          <w:b/>
          <w:bCs/>
        </w:rPr>
        <w:t xml:space="preserve">Table </w:t>
      </w:r>
      <w:r w:rsidRPr="004F76FD">
        <w:rPr>
          <w:rFonts w:cs="Arial"/>
          <w:b/>
          <w:bCs/>
        </w:rPr>
        <w:fldChar w:fldCharType="begin"/>
      </w:r>
      <w:r w:rsidRPr="004F76FD">
        <w:rPr>
          <w:rFonts w:cs="Arial"/>
          <w:b/>
          <w:bCs/>
        </w:rPr>
        <w:instrText>SEQ Table \* ARABIC</w:instrText>
      </w:r>
      <w:r w:rsidRPr="004F76FD">
        <w:rPr>
          <w:rFonts w:cs="Arial"/>
          <w:b/>
          <w:bCs/>
        </w:rPr>
        <w:fldChar w:fldCharType="separate"/>
      </w:r>
      <w:r w:rsidR="00D16271">
        <w:rPr>
          <w:rFonts w:cs="Arial"/>
          <w:b/>
          <w:bCs/>
          <w:noProof/>
        </w:rPr>
        <w:t>21</w:t>
      </w:r>
      <w:r w:rsidRPr="004F76FD">
        <w:rPr>
          <w:rFonts w:cs="Arial"/>
          <w:b/>
          <w:bCs/>
        </w:rPr>
        <w:fldChar w:fldCharType="end"/>
      </w:r>
      <w:bookmarkEnd w:id="204"/>
      <w:r w:rsidRPr="000A53C0">
        <w:rPr>
          <w:rFonts w:cs="Arial"/>
        </w:rPr>
        <w:t xml:space="preserve"> Size of other industry businesses by employee size</w:t>
      </w: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UPSLIDE_TablePasted`_#[%£=+@*$*$UPSLIDE_TablePasted`_#[%£=+@*$*$UPSLIDE_TablePasted`_#[%£=+@"/>
      </w:tblPr>
      <w:tblGrid>
        <w:gridCol w:w="4782"/>
        <w:gridCol w:w="2706"/>
        <w:gridCol w:w="2706"/>
      </w:tblGrid>
      <w:tr w:rsidR="00425098" w:rsidRPr="000A53C0" w14:paraId="32EA16E1" w14:textId="77777777" w:rsidTr="004F76FD">
        <w:trPr>
          <w:trHeight w:val="315"/>
          <w:tblHeader/>
        </w:trPr>
        <w:tc>
          <w:tcPr>
            <w:tcW w:w="2345" w:type="pct"/>
            <w:shd w:val="clear" w:color="auto" w:fill="E81D32"/>
            <w:vAlign w:val="center"/>
          </w:tcPr>
          <w:p w14:paraId="723E9AE3" w14:textId="77777777" w:rsidR="00425098" w:rsidRPr="004F76FD" w:rsidRDefault="00425098">
            <w:pPr>
              <w:pStyle w:val="TableHeading"/>
              <w:rPr>
                <w:rFonts w:ascii="Arial" w:hAnsi="Arial" w:cs="Arial"/>
                <w:color w:val="FFFFFF" w:themeColor="background1"/>
              </w:rPr>
            </w:pPr>
            <w:r w:rsidRPr="004F76FD">
              <w:rPr>
                <w:rFonts w:ascii="Arial" w:hAnsi="Arial" w:cs="Arial"/>
                <w:color w:val="FFFFFF" w:themeColor="background1"/>
              </w:rPr>
              <w:t>Business size</w:t>
            </w:r>
          </w:p>
        </w:tc>
        <w:tc>
          <w:tcPr>
            <w:tcW w:w="1327" w:type="pct"/>
            <w:shd w:val="clear" w:color="auto" w:fill="E81D32"/>
            <w:vAlign w:val="center"/>
          </w:tcPr>
          <w:p w14:paraId="66C8EC7A" w14:textId="77777777" w:rsidR="00425098" w:rsidRPr="004F76FD" w:rsidRDefault="00425098" w:rsidP="004F76FD">
            <w:pPr>
              <w:pStyle w:val="TableHeading"/>
              <w:jc w:val="center"/>
              <w:rPr>
                <w:rFonts w:ascii="Arial" w:hAnsi="Arial" w:cs="Arial"/>
                <w:color w:val="FFFFFF" w:themeColor="background1"/>
              </w:rPr>
            </w:pPr>
            <w:r w:rsidRPr="004F76FD">
              <w:rPr>
                <w:rFonts w:ascii="Arial" w:hAnsi="Arial" w:cs="Arial"/>
                <w:color w:val="FFFFFF" w:themeColor="background1"/>
              </w:rPr>
              <w:t>Proportion of total businesses</w:t>
            </w:r>
          </w:p>
        </w:tc>
        <w:tc>
          <w:tcPr>
            <w:tcW w:w="1327" w:type="pct"/>
            <w:shd w:val="clear" w:color="auto" w:fill="E81D32"/>
            <w:vAlign w:val="center"/>
          </w:tcPr>
          <w:p w14:paraId="4524E175" w14:textId="6D074908" w:rsidR="00425098" w:rsidRPr="004F76FD" w:rsidRDefault="00425098" w:rsidP="004F76FD">
            <w:pPr>
              <w:pStyle w:val="TableHeading"/>
              <w:jc w:val="center"/>
              <w:rPr>
                <w:rFonts w:ascii="Arial" w:hAnsi="Arial" w:cs="Arial"/>
                <w:color w:val="FFFFFF" w:themeColor="background1"/>
              </w:rPr>
            </w:pPr>
            <w:r w:rsidRPr="004F76FD">
              <w:rPr>
                <w:rFonts w:ascii="Arial" w:hAnsi="Arial" w:cs="Arial"/>
                <w:color w:val="FFFFFF" w:themeColor="background1"/>
              </w:rPr>
              <w:t>Number of total businesses</w:t>
            </w:r>
          </w:p>
        </w:tc>
      </w:tr>
      <w:tr w:rsidR="00425098" w:rsidRPr="000A53C0" w14:paraId="4E153CD8" w14:textId="77777777">
        <w:trPr>
          <w:trHeight w:val="315"/>
        </w:trPr>
        <w:tc>
          <w:tcPr>
            <w:tcW w:w="2345" w:type="pct"/>
            <w:shd w:val="clear" w:color="auto" w:fill="auto"/>
            <w:vAlign w:val="center"/>
          </w:tcPr>
          <w:p w14:paraId="597C7341" w14:textId="77777777" w:rsidR="00425098" w:rsidRPr="000A53C0" w:rsidRDefault="00425098">
            <w:pPr>
              <w:pStyle w:val="TableBody"/>
              <w:rPr>
                <w:rFonts w:cs="Arial"/>
              </w:rPr>
            </w:pPr>
            <w:r w:rsidRPr="000A53C0">
              <w:rPr>
                <w:rFonts w:cs="Arial"/>
              </w:rPr>
              <w:t>Sole trader</w:t>
            </w:r>
          </w:p>
        </w:tc>
        <w:tc>
          <w:tcPr>
            <w:tcW w:w="1327" w:type="pct"/>
            <w:vAlign w:val="center"/>
          </w:tcPr>
          <w:p w14:paraId="165E6353" w14:textId="77777777" w:rsidR="00425098" w:rsidRPr="000A53C0" w:rsidRDefault="00425098">
            <w:pPr>
              <w:pStyle w:val="TableBody"/>
              <w:jc w:val="center"/>
              <w:rPr>
                <w:rFonts w:cs="Arial"/>
              </w:rPr>
            </w:pPr>
            <w:r w:rsidRPr="000A53C0">
              <w:rPr>
                <w:rFonts w:cs="Arial"/>
              </w:rPr>
              <w:t>55%</w:t>
            </w:r>
          </w:p>
        </w:tc>
        <w:tc>
          <w:tcPr>
            <w:tcW w:w="1327" w:type="pct"/>
          </w:tcPr>
          <w:p w14:paraId="3E153168" w14:textId="77777777" w:rsidR="00425098" w:rsidRPr="000A53C0" w:rsidRDefault="00425098">
            <w:pPr>
              <w:pStyle w:val="TableBody"/>
              <w:jc w:val="center"/>
              <w:rPr>
                <w:rFonts w:cs="Arial"/>
              </w:rPr>
            </w:pPr>
            <w:r w:rsidRPr="000A53C0">
              <w:rPr>
                <w:rFonts w:cs="Arial"/>
              </w:rPr>
              <w:t>99,205</w:t>
            </w:r>
          </w:p>
        </w:tc>
      </w:tr>
      <w:tr w:rsidR="00425098" w:rsidRPr="000A53C0" w14:paraId="4A514BB0" w14:textId="77777777">
        <w:trPr>
          <w:trHeight w:val="315"/>
        </w:trPr>
        <w:tc>
          <w:tcPr>
            <w:tcW w:w="2345" w:type="pct"/>
            <w:shd w:val="clear" w:color="auto" w:fill="auto"/>
            <w:vAlign w:val="center"/>
          </w:tcPr>
          <w:p w14:paraId="1FCC110C" w14:textId="77777777" w:rsidR="00425098" w:rsidRPr="000A53C0" w:rsidRDefault="00425098">
            <w:pPr>
              <w:pStyle w:val="TableBody"/>
              <w:rPr>
                <w:rFonts w:cs="Arial"/>
              </w:rPr>
            </w:pPr>
            <w:r w:rsidRPr="000A53C0">
              <w:rPr>
                <w:rFonts w:cs="Arial"/>
              </w:rPr>
              <w:t>Small (1 – 19 employees)</w:t>
            </w:r>
          </w:p>
        </w:tc>
        <w:tc>
          <w:tcPr>
            <w:tcW w:w="1327" w:type="pct"/>
            <w:vAlign w:val="center"/>
          </w:tcPr>
          <w:p w14:paraId="72B6C662" w14:textId="77777777" w:rsidR="00425098" w:rsidRPr="000A53C0" w:rsidRDefault="00425098">
            <w:pPr>
              <w:pStyle w:val="TableBody"/>
              <w:jc w:val="center"/>
              <w:rPr>
                <w:rFonts w:cs="Arial"/>
              </w:rPr>
            </w:pPr>
            <w:r w:rsidRPr="000A53C0">
              <w:rPr>
                <w:rFonts w:cs="Arial"/>
              </w:rPr>
              <w:t>44%</w:t>
            </w:r>
          </w:p>
        </w:tc>
        <w:tc>
          <w:tcPr>
            <w:tcW w:w="1327" w:type="pct"/>
          </w:tcPr>
          <w:p w14:paraId="68E59350" w14:textId="77777777" w:rsidR="00425098" w:rsidRPr="000A53C0" w:rsidRDefault="00425098">
            <w:pPr>
              <w:pStyle w:val="TableBody"/>
              <w:jc w:val="center"/>
              <w:rPr>
                <w:rFonts w:cs="Arial"/>
              </w:rPr>
            </w:pPr>
            <w:r w:rsidRPr="000A53C0">
              <w:rPr>
                <w:rFonts w:cs="Arial"/>
              </w:rPr>
              <w:t>78,569</w:t>
            </w:r>
          </w:p>
        </w:tc>
      </w:tr>
      <w:tr w:rsidR="00425098" w:rsidRPr="000A53C0" w14:paraId="188A9530" w14:textId="77777777">
        <w:trPr>
          <w:trHeight w:val="315"/>
        </w:trPr>
        <w:tc>
          <w:tcPr>
            <w:tcW w:w="2345" w:type="pct"/>
            <w:shd w:val="clear" w:color="auto" w:fill="auto"/>
            <w:vAlign w:val="center"/>
          </w:tcPr>
          <w:p w14:paraId="2BD180CC" w14:textId="77777777" w:rsidR="00425098" w:rsidRPr="000A53C0" w:rsidRDefault="00425098">
            <w:pPr>
              <w:pStyle w:val="TableBody"/>
              <w:rPr>
                <w:rFonts w:cs="Arial"/>
              </w:rPr>
            </w:pPr>
            <w:r w:rsidRPr="000A53C0">
              <w:rPr>
                <w:rFonts w:cs="Arial"/>
              </w:rPr>
              <w:t>Medium-large (20 employees or more)</w:t>
            </w:r>
          </w:p>
        </w:tc>
        <w:tc>
          <w:tcPr>
            <w:tcW w:w="1327" w:type="pct"/>
            <w:vAlign w:val="center"/>
          </w:tcPr>
          <w:p w14:paraId="1F46CE21" w14:textId="77777777" w:rsidR="00425098" w:rsidRPr="000A53C0" w:rsidRDefault="00425098">
            <w:pPr>
              <w:pStyle w:val="TableBody"/>
              <w:jc w:val="center"/>
              <w:rPr>
                <w:rFonts w:cs="Arial"/>
              </w:rPr>
            </w:pPr>
            <w:r w:rsidRPr="000A53C0">
              <w:rPr>
                <w:rFonts w:cs="Arial"/>
              </w:rPr>
              <w:t>1%</w:t>
            </w:r>
          </w:p>
        </w:tc>
        <w:tc>
          <w:tcPr>
            <w:tcW w:w="1327" w:type="pct"/>
          </w:tcPr>
          <w:p w14:paraId="7A5E8E6B" w14:textId="77777777" w:rsidR="00425098" w:rsidRPr="000A53C0" w:rsidRDefault="00425098">
            <w:pPr>
              <w:pStyle w:val="TableBody"/>
              <w:jc w:val="center"/>
              <w:rPr>
                <w:rFonts w:cs="Arial"/>
              </w:rPr>
            </w:pPr>
            <w:r w:rsidRPr="000A53C0">
              <w:rPr>
                <w:rFonts w:cs="Arial"/>
              </w:rPr>
              <w:t>1,976</w:t>
            </w:r>
          </w:p>
        </w:tc>
      </w:tr>
      <w:tr w:rsidR="00425098" w:rsidRPr="000A53C0" w14:paraId="3BBE15B5" w14:textId="77777777">
        <w:trPr>
          <w:trHeight w:val="315"/>
        </w:trPr>
        <w:tc>
          <w:tcPr>
            <w:tcW w:w="2345" w:type="pct"/>
            <w:shd w:val="clear" w:color="auto" w:fill="auto"/>
            <w:vAlign w:val="center"/>
          </w:tcPr>
          <w:p w14:paraId="1789FEB9" w14:textId="77777777" w:rsidR="00425098" w:rsidRPr="000A53C0" w:rsidRDefault="00425098">
            <w:pPr>
              <w:pStyle w:val="TableBody"/>
              <w:rPr>
                <w:rFonts w:cs="Arial"/>
                <w:b/>
              </w:rPr>
            </w:pPr>
            <w:r w:rsidRPr="000A53C0">
              <w:rPr>
                <w:rFonts w:cs="Arial"/>
                <w:b/>
              </w:rPr>
              <w:t>Total</w:t>
            </w:r>
          </w:p>
        </w:tc>
        <w:tc>
          <w:tcPr>
            <w:tcW w:w="1327" w:type="pct"/>
            <w:vAlign w:val="center"/>
          </w:tcPr>
          <w:p w14:paraId="23FDC019" w14:textId="77777777" w:rsidR="00425098" w:rsidRPr="000A53C0" w:rsidRDefault="00425098">
            <w:pPr>
              <w:pStyle w:val="TableBody"/>
              <w:jc w:val="center"/>
              <w:rPr>
                <w:rFonts w:cs="Arial"/>
                <w:b/>
              </w:rPr>
            </w:pPr>
            <w:r w:rsidRPr="000A53C0">
              <w:rPr>
                <w:rFonts w:cs="Arial"/>
                <w:b/>
              </w:rPr>
              <w:t>100%</w:t>
            </w:r>
          </w:p>
        </w:tc>
        <w:tc>
          <w:tcPr>
            <w:tcW w:w="1327" w:type="pct"/>
          </w:tcPr>
          <w:p w14:paraId="58BF3E18" w14:textId="77777777" w:rsidR="00425098" w:rsidRPr="000A53C0" w:rsidRDefault="00425098">
            <w:pPr>
              <w:pStyle w:val="TableBody"/>
              <w:jc w:val="center"/>
              <w:rPr>
                <w:rFonts w:cs="Arial"/>
                <w:b/>
              </w:rPr>
            </w:pPr>
            <w:r w:rsidRPr="000A53C0">
              <w:rPr>
                <w:rFonts w:cs="Arial"/>
                <w:b/>
              </w:rPr>
              <w:t>179,750</w:t>
            </w:r>
          </w:p>
        </w:tc>
      </w:tr>
    </w:tbl>
    <w:p w14:paraId="06538551" w14:textId="77777777" w:rsidR="00425098" w:rsidRPr="000A53C0" w:rsidRDefault="00425098" w:rsidP="00425098">
      <w:pPr>
        <w:pStyle w:val="CommentText"/>
        <w:rPr>
          <w:rFonts w:cs="Arial"/>
        </w:rPr>
        <w:sectPr w:rsidR="00425098" w:rsidRPr="000A53C0" w:rsidSect="003A4F85">
          <w:headerReference w:type="even" r:id="rId22"/>
          <w:headerReference w:type="default" r:id="rId23"/>
          <w:footerReference w:type="default" r:id="rId24"/>
          <w:headerReference w:type="first" r:id="rId25"/>
          <w:footerReference w:type="first" r:id="rId26"/>
          <w:pgSz w:w="11906" w:h="16838"/>
          <w:pgMar w:top="1559" w:right="851" w:bottom="1701" w:left="851" w:header="567" w:footer="258" w:gutter="0"/>
          <w:cols w:space="708"/>
          <w:docGrid w:linePitch="360"/>
        </w:sectPr>
      </w:pPr>
    </w:p>
    <w:p w14:paraId="4D2E2F9E" w14:textId="1923438C" w:rsidR="00425098" w:rsidRPr="000A53C0" w:rsidRDefault="002D500D" w:rsidP="00C84BAF">
      <w:pPr>
        <w:pStyle w:val="App2"/>
        <w:rPr>
          <w:rFonts w:cs="Arial"/>
        </w:rPr>
      </w:pPr>
      <w:bookmarkStart w:id="205" w:name="_Ref134617011"/>
      <w:bookmarkStart w:id="206" w:name="_Toc136327245"/>
      <w:bookmarkStart w:id="207" w:name="_Toc142991363"/>
      <w:r w:rsidRPr="000A53C0">
        <w:rPr>
          <w:rFonts w:cs="Arial"/>
        </w:rPr>
        <w:lastRenderedPageBreak/>
        <w:t>B.</w:t>
      </w:r>
      <w:r w:rsidR="00425098" w:rsidRPr="000A53C0">
        <w:rPr>
          <w:rFonts w:cs="Arial"/>
        </w:rPr>
        <w:t xml:space="preserve">5 Identifying decisions </w:t>
      </w:r>
      <w:r w:rsidR="00CD63CC">
        <w:rPr>
          <w:rFonts w:cs="Arial"/>
        </w:rPr>
        <w:t>and</w:t>
      </w:r>
      <w:r w:rsidR="00425098" w:rsidRPr="000A53C0">
        <w:rPr>
          <w:rFonts w:cs="Arial"/>
        </w:rPr>
        <w:t xml:space="preserve"> monetisable impacts to industry</w:t>
      </w:r>
      <w:bookmarkEnd w:id="205"/>
      <w:bookmarkEnd w:id="206"/>
      <w:bookmarkEnd w:id="207"/>
    </w:p>
    <w:p w14:paraId="7FE5AD44" w14:textId="77777777" w:rsidR="00425098" w:rsidRPr="000A53C0" w:rsidRDefault="00425098" w:rsidP="00425098">
      <w:pPr>
        <w:pStyle w:val="BodyText"/>
        <w:rPr>
          <w:rFonts w:cs="Arial"/>
        </w:rPr>
      </w:pPr>
      <w:r w:rsidRPr="000A53C0">
        <w:rPr>
          <w:rFonts w:cs="Arial"/>
        </w:rPr>
        <w:t xml:space="preserve">This section outlines the business decisions engineered stone PCBUs and other industry PCBUs may make in response to the three prohibition options (e.g., switch to alternative products, cease trading etc.) and the respective monetisable costs of these decisions. </w:t>
      </w:r>
    </w:p>
    <w:p w14:paraId="293506FC" w14:textId="0D690B14" w:rsidR="00425098" w:rsidRPr="000A53C0" w:rsidRDefault="002D500D" w:rsidP="00D657D6">
      <w:pPr>
        <w:pStyle w:val="App3"/>
        <w:rPr>
          <w:rFonts w:cs="Arial"/>
        </w:rPr>
      </w:pPr>
      <w:bookmarkStart w:id="208" w:name="_Toc136327246"/>
      <w:r w:rsidRPr="000A53C0">
        <w:rPr>
          <w:rFonts w:cs="Arial"/>
        </w:rPr>
        <w:t>B.</w:t>
      </w:r>
      <w:r w:rsidR="00425098" w:rsidRPr="000A53C0">
        <w:rPr>
          <w:rFonts w:cs="Arial"/>
        </w:rPr>
        <w:t>5.1 Engineered stone PBCUs</w:t>
      </w:r>
      <w:bookmarkEnd w:id="208"/>
    </w:p>
    <w:p w14:paraId="7259BFFE" w14:textId="1CA58121" w:rsidR="00425098" w:rsidRPr="000A53C0" w:rsidRDefault="00425098" w:rsidP="00030457">
      <w:pPr>
        <w:pStyle w:val="Caption"/>
        <w:rPr>
          <w:rFonts w:cs="Arial"/>
          <w:b/>
        </w:rPr>
      </w:pPr>
      <w:bookmarkStart w:id="209" w:name="_Ref140678183"/>
      <w:bookmarkStart w:id="210" w:name="_Toc141694449"/>
      <w:r w:rsidRPr="00711719">
        <w:rPr>
          <w:rFonts w:cs="Arial"/>
          <w:b/>
          <w:bCs/>
        </w:rPr>
        <w:t xml:space="preserve">Figure </w:t>
      </w:r>
      <w:r w:rsidRPr="00711719">
        <w:rPr>
          <w:rFonts w:cs="Arial"/>
          <w:b/>
          <w:bCs/>
        </w:rPr>
        <w:fldChar w:fldCharType="begin"/>
      </w:r>
      <w:r w:rsidRPr="00711719">
        <w:rPr>
          <w:rFonts w:eastAsiaTheme="majorEastAsia" w:cs="Arial"/>
          <w:b/>
          <w:bCs/>
        </w:rPr>
        <w:instrText xml:space="preserve"> SEQ Figure \* ARABIC </w:instrText>
      </w:r>
      <w:r w:rsidRPr="00711719">
        <w:rPr>
          <w:rFonts w:cs="Arial"/>
          <w:b/>
          <w:bCs/>
        </w:rPr>
        <w:fldChar w:fldCharType="separate"/>
      </w:r>
      <w:r w:rsidR="00D16271">
        <w:rPr>
          <w:rFonts w:eastAsiaTheme="majorEastAsia" w:cs="Arial"/>
          <w:b/>
          <w:bCs/>
          <w:noProof/>
        </w:rPr>
        <w:t>5</w:t>
      </w:r>
      <w:r w:rsidRPr="00711719">
        <w:rPr>
          <w:rFonts w:cs="Arial"/>
          <w:b/>
          <w:bCs/>
        </w:rPr>
        <w:fldChar w:fldCharType="end"/>
      </w:r>
      <w:bookmarkEnd w:id="209"/>
      <w:r w:rsidRPr="000A53C0">
        <w:rPr>
          <w:rFonts w:cs="Arial"/>
        </w:rPr>
        <w:t xml:space="preserve"> Decision tree – Option 1 – engineered stone PCBUs</w:t>
      </w:r>
      <w:bookmarkEnd w:id="210"/>
      <w:r w:rsidRPr="000A53C0">
        <w:rPr>
          <w:rFonts w:cs="Arial"/>
        </w:rPr>
        <w:t xml:space="preserve"> </w:t>
      </w:r>
    </w:p>
    <w:p w14:paraId="78277A4B" w14:textId="77777777" w:rsidR="00425098" w:rsidRPr="000A53C0" w:rsidRDefault="00425098" w:rsidP="00425098">
      <w:pPr>
        <w:pStyle w:val="BodyText"/>
        <w:rPr>
          <w:rFonts w:cs="Arial"/>
        </w:rPr>
      </w:pPr>
      <w:r w:rsidRPr="000A53C0">
        <w:rPr>
          <w:rFonts w:cs="Arial"/>
          <w:noProof/>
          <w:lang w:eastAsia="en-AU"/>
        </w:rPr>
        <w:drawing>
          <wp:inline distT="0" distB="0" distL="0" distR="0" wp14:anchorId="365A4DC2" wp14:editId="4165D6A1">
            <wp:extent cx="6774939" cy="3302956"/>
            <wp:effectExtent l="0" t="0" r="6985" b="0"/>
            <wp:docPr id="12" name="Picture 1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74939" cy="3302956"/>
                    </a:xfrm>
                    <a:prstGeom prst="rect">
                      <a:avLst/>
                    </a:prstGeom>
                  </pic:spPr>
                </pic:pic>
              </a:graphicData>
            </a:graphic>
          </wp:inline>
        </w:drawing>
      </w:r>
    </w:p>
    <w:p w14:paraId="1D8B7560" w14:textId="1146DC5F" w:rsidR="00425098" w:rsidRPr="000A53C0" w:rsidRDefault="00425098" w:rsidP="00030457">
      <w:pPr>
        <w:pStyle w:val="Caption"/>
        <w:rPr>
          <w:rFonts w:cs="Arial"/>
          <w:b/>
        </w:rPr>
      </w:pPr>
      <w:bookmarkStart w:id="211" w:name="_Ref140676484"/>
      <w:bookmarkStart w:id="212" w:name="_Ref140676477"/>
      <w:bookmarkStart w:id="213" w:name="_Toc141694450"/>
      <w:r w:rsidRPr="00711719">
        <w:rPr>
          <w:rFonts w:cs="Arial"/>
          <w:b/>
          <w:bCs/>
        </w:rPr>
        <w:lastRenderedPageBreak/>
        <w:t xml:space="preserve">Figure </w:t>
      </w:r>
      <w:r w:rsidRPr="00711719">
        <w:rPr>
          <w:rFonts w:cs="Arial"/>
          <w:b/>
          <w:bCs/>
        </w:rPr>
        <w:fldChar w:fldCharType="begin"/>
      </w:r>
      <w:r w:rsidRPr="00711719">
        <w:rPr>
          <w:rFonts w:eastAsiaTheme="majorEastAsia" w:cs="Arial"/>
          <w:b/>
          <w:bCs/>
          <w:szCs w:val="20"/>
        </w:rPr>
        <w:instrText xml:space="preserve"> SEQ Figure \* ARABIC </w:instrText>
      </w:r>
      <w:r w:rsidRPr="00711719">
        <w:rPr>
          <w:rFonts w:cs="Arial"/>
          <w:b/>
          <w:bCs/>
        </w:rPr>
        <w:fldChar w:fldCharType="separate"/>
      </w:r>
      <w:r w:rsidR="00D16271">
        <w:rPr>
          <w:rFonts w:eastAsiaTheme="majorEastAsia" w:cs="Arial"/>
          <w:b/>
          <w:bCs/>
          <w:noProof/>
          <w:szCs w:val="20"/>
        </w:rPr>
        <w:t>6</w:t>
      </w:r>
      <w:r w:rsidRPr="00711719">
        <w:rPr>
          <w:rFonts w:cs="Arial"/>
          <w:b/>
          <w:bCs/>
        </w:rPr>
        <w:fldChar w:fldCharType="end"/>
      </w:r>
      <w:bookmarkEnd w:id="211"/>
      <w:r w:rsidRPr="000A53C0">
        <w:rPr>
          <w:rFonts w:cs="Arial"/>
        </w:rPr>
        <w:t xml:space="preserve"> Decision tree </w:t>
      </w:r>
      <w:r w:rsidR="00711719">
        <w:rPr>
          <w:rFonts w:cs="Arial"/>
        </w:rPr>
        <w:t>–</w:t>
      </w:r>
      <w:r w:rsidRPr="000A53C0">
        <w:rPr>
          <w:rFonts w:cs="Arial"/>
        </w:rPr>
        <w:t xml:space="preserve"> Option 2 – engineered stone PCBUs</w:t>
      </w:r>
      <w:bookmarkEnd w:id="212"/>
      <w:bookmarkEnd w:id="213"/>
    </w:p>
    <w:p w14:paraId="10DB4A0D" w14:textId="02D00E1A" w:rsidR="000F3580" w:rsidRPr="000A53C0" w:rsidRDefault="00DD3880" w:rsidP="00425098">
      <w:pPr>
        <w:pStyle w:val="BodyText"/>
        <w:rPr>
          <w:rFonts w:cs="Arial"/>
        </w:rPr>
      </w:pPr>
      <w:r w:rsidRPr="000A53C0">
        <w:rPr>
          <w:rFonts w:cs="Arial"/>
          <w:noProof/>
          <w:lang w:eastAsia="en-AU"/>
        </w:rPr>
        <w:drawing>
          <wp:inline distT="0" distB="0" distL="0" distR="0" wp14:anchorId="02B9B13F" wp14:editId="51B3CAF9">
            <wp:extent cx="7608990" cy="3302956"/>
            <wp:effectExtent l="0" t="0" r="0" b="0"/>
            <wp:docPr id="23" name="Picture 2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08990" cy="3302956"/>
                    </a:xfrm>
                    <a:prstGeom prst="rect">
                      <a:avLst/>
                    </a:prstGeom>
                  </pic:spPr>
                </pic:pic>
              </a:graphicData>
            </a:graphic>
          </wp:inline>
        </w:drawing>
      </w:r>
    </w:p>
    <w:p w14:paraId="6F680316" w14:textId="5A2AD1AE" w:rsidR="00425098" w:rsidRPr="000A53C0" w:rsidRDefault="00425098" w:rsidP="00030457">
      <w:pPr>
        <w:pStyle w:val="Caption"/>
        <w:rPr>
          <w:rFonts w:cs="Arial"/>
          <w:b/>
        </w:rPr>
      </w:pPr>
      <w:bookmarkStart w:id="214" w:name="_Toc141694451"/>
      <w:r w:rsidRPr="00711719">
        <w:rPr>
          <w:rFonts w:cs="Arial"/>
          <w:b/>
          <w:bCs/>
        </w:rPr>
        <w:lastRenderedPageBreak/>
        <w:t xml:space="preserve">Figure </w:t>
      </w:r>
      <w:r w:rsidRPr="00711719">
        <w:rPr>
          <w:rFonts w:cs="Arial"/>
          <w:b/>
          <w:bCs/>
        </w:rPr>
        <w:fldChar w:fldCharType="begin"/>
      </w:r>
      <w:r w:rsidRPr="00711719">
        <w:rPr>
          <w:rFonts w:eastAsiaTheme="majorEastAsia" w:cs="Arial"/>
          <w:b/>
          <w:bCs/>
          <w:szCs w:val="30"/>
        </w:rPr>
        <w:instrText xml:space="preserve"> SEQ Figure \* ARABIC </w:instrText>
      </w:r>
      <w:r w:rsidRPr="00711719">
        <w:rPr>
          <w:rFonts w:cs="Arial"/>
          <w:b/>
          <w:bCs/>
        </w:rPr>
        <w:fldChar w:fldCharType="separate"/>
      </w:r>
      <w:r w:rsidR="00D16271">
        <w:rPr>
          <w:rFonts w:eastAsiaTheme="majorEastAsia" w:cs="Arial"/>
          <w:b/>
          <w:bCs/>
          <w:noProof/>
          <w:szCs w:val="30"/>
        </w:rPr>
        <w:t>7</w:t>
      </w:r>
      <w:r w:rsidRPr="00711719">
        <w:rPr>
          <w:rFonts w:cs="Arial"/>
          <w:b/>
          <w:bCs/>
        </w:rPr>
        <w:fldChar w:fldCharType="end"/>
      </w:r>
      <w:r w:rsidRPr="000A53C0">
        <w:rPr>
          <w:rFonts w:cs="Arial"/>
        </w:rPr>
        <w:t xml:space="preserve"> Decision tree – Option 3 – engineered stone PCBUs</w:t>
      </w:r>
      <w:bookmarkEnd w:id="214"/>
      <w:r w:rsidRPr="000A53C0">
        <w:rPr>
          <w:rFonts w:cs="Arial"/>
        </w:rPr>
        <w:t xml:space="preserve"> </w:t>
      </w:r>
    </w:p>
    <w:p w14:paraId="044B442E" w14:textId="77777777" w:rsidR="00425098" w:rsidRPr="000A53C0" w:rsidRDefault="00425098" w:rsidP="00425098">
      <w:pPr>
        <w:pStyle w:val="BodyText"/>
        <w:rPr>
          <w:rFonts w:cs="Arial"/>
        </w:rPr>
      </w:pPr>
      <w:r w:rsidRPr="000A53C0">
        <w:rPr>
          <w:rFonts w:cs="Arial"/>
          <w:noProof/>
          <w:lang w:eastAsia="en-AU"/>
        </w:rPr>
        <w:drawing>
          <wp:inline distT="0" distB="0" distL="0" distR="0" wp14:anchorId="7FA79683" wp14:editId="5B46185F">
            <wp:extent cx="8622030" cy="3136265"/>
            <wp:effectExtent l="0" t="0" r="7620" b="6985"/>
            <wp:docPr id="8"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an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22030" cy="3136265"/>
                    </a:xfrm>
                    <a:prstGeom prst="rect">
                      <a:avLst/>
                    </a:prstGeom>
                  </pic:spPr>
                </pic:pic>
              </a:graphicData>
            </a:graphic>
          </wp:inline>
        </w:drawing>
      </w:r>
    </w:p>
    <w:p w14:paraId="56833C73" w14:textId="77777777" w:rsidR="00425098" w:rsidRPr="000A53C0" w:rsidRDefault="00425098" w:rsidP="00425098">
      <w:pPr>
        <w:pStyle w:val="BodyText"/>
        <w:rPr>
          <w:rFonts w:cs="Arial"/>
          <w:color w:val="014463" w:themeColor="text2"/>
          <w:sz w:val="24"/>
          <w:szCs w:val="24"/>
        </w:rPr>
      </w:pPr>
      <w:bookmarkStart w:id="215" w:name="_Toc136327247"/>
    </w:p>
    <w:p w14:paraId="03B2FA46" w14:textId="10823970" w:rsidR="00425098" w:rsidRPr="000A53C0" w:rsidRDefault="002D500D" w:rsidP="00D657D6">
      <w:pPr>
        <w:pStyle w:val="App3"/>
        <w:rPr>
          <w:rFonts w:cs="Arial"/>
        </w:rPr>
      </w:pPr>
      <w:r w:rsidRPr="000A53C0">
        <w:rPr>
          <w:rFonts w:cs="Arial"/>
        </w:rPr>
        <w:lastRenderedPageBreak/>
        <w:t>B.</w:t>
      </w:r>
      <w:r w:rsidR="00425098" w:rsidRPr="000A53C0">
        <w:rPr>
          <w:rFonts w:cs="Arial"/>
        </w:rPr>
        <w:t>5.2 Other Industry PBCUs</w:t>
      </w:r>
      <w:bookmarkEnd w:id="215"/>
    </w:p>
    <w:p w14:paraId="0437F187" w14:textId="52CF9E9C" w:rsidR="00425098" w:rsidRPr="000A53C0" w:rsidRDefault="00425098" w:rsidP="00030457">
      <w:pPr>
        <w:pStyle w:val="Caption"/>
        <w:rPr>
          <w:rFonts w:cs="Arial"/>
        </w:rPr>
      </w:pPr>
      <w:bookmarkStart w:id="216" w:name="_Toc141694452"/>
      <w:r w:rsidRPr="00711719">
        <w:rPr>
          <w:rFonts w:cs="Arial"/>
          <w:b/>
          <w:bCs/>
        </w:rPr>
        <w:t xml:space="preserve">Figure </w:t>
      </w:r>
      <w:r w:rsidRPr="00711719">
        <w:rPr>
          <w:rFonts w:cs="Arial"/>
          <w:b/>
          <w:bCs/>
        </w:rPr>
        <w:fldChar w:fldCharType="begin"/>
      </w:r>
      <w:r w:rsidRPr="00711719">
        <w:rPr>
          <w:rFonts w:cs="Arial"/>
          <w:b/>
          <w:bCs/>
        </w:rPr>
        <w:instrText>SEQ Figure \* ARABIC</w:instrText>
      </w:r>
      <w:r w:rsidRPr="00711719">
        <w:rPr>
          <w:rFonts w:cs="Arial"/>
          <w:b/>
          <w:bCs/>
        </w:rPr>
        <w:fldChar w:fldCharType="separate"/>
      </w:r>
      <w:r w:rsidR="00D16271">
        <w:rPr>
          <w:rFonts w:cs="Arial"/>
          <w:b/>
          <w:bCs/>
          <w:noProof/>
        </w:rPr>
        <w:t>8</w:t>
      </w:r>
      <w:r w:rsidRPr="00711719">
        <w:rPr>
          <w:rFonts w:cs="Arial"/>
          <w:b/>
          <w:bCs/>
        </w:rPr>
        <w:fldChar w:fldCharType="end"/>
      </w:r>
      <w:r w:rsidRPr="000A53C0">
        <w:rPr>
          <w:rFonts w:cs="Arial"/>
        </w:rPr>
        <w:t xml:space="preserve"> Decision tree – other industry PCBUs</w:t>
      </w:r>
      <w:bookmarkEnd w:id="216"/>
    </w:p>
    <w:p w14:paraId="71396DF4" w14:textId="77777777" w:rsidR="00425098" w:rsidRPr="000A53C0" w:rsidRDefault="00425098" w:rsidP="00425098">
      <w:pPr>
        <w:pStyle w:val="BodyText"/>
        <w:rPr>
          <w:rFonts w:cs="Arial"/>
        </w:rPr>
      </w:pPr>
      <w:r w:rsidRPr="000A53C0">
        <w:rPr>
          <w:rFonts w:cs="Arial"/>
          <w:noProof/>
          <w:lang w:eastAsia="en-AU"/>
        </w:rPr>
        <w:drawing>
          <wp:inline distT="0" distB="0" distL="0" distR="0" wp14:anchorId="2B21ED39" wp14:editId="556D005D">
            <wp:extent cx="5059729" cy="3241995"/>
            <wp:effectExtent l="0" t="0" r="7620" b="0"/>
            <wp:docPr id="13" name="Picture 1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compan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59729" cy="3241995"/>
                    </a:xfrm>
                    <a:prstGeom prst="rect">
                      <a:avLst/>
                    </a:prstGeom>
                  </pic:spPr>
                </pic:pic>
              </a:graphicData>
            </a:graphic>
          </wp:inline>
        </w:drawing>
      </w:r>
    </w:p>
    <w:p w14:paraId="433C2665" w14:textId="77777777" w:rsidR="00425098" w:rsidRPr="000A53C0" w:rsidRDefault="00425098" w:rsidP="00425098">
      <w:pPr>
        <w:spacing w:after="120" w:line="264" w:lineRule="auto"/>
        <w:rPr>
          <w:rFonts w:cs="Arial"/>
        </w:rPr>
      </w:pPr>
      <w:r w:rsidRPr="000A53C0">
        <w:rPr>
          <w:rFonts w:cs="Arial"/>
        </w:rPr>
        <w:br w:type="page"/>
      </w:r>
    </w:p>
    <w:p w14:paraId="7599DB29" w14:textId="75AA73C1" w:rsidR="00425098" w:rsidRPr="000A53C0" w:rsidRDefault="002D500D" w:rsidP="00C84BAF">
      <w:pPr>
        <w:pStyle w:val="App2"/>
        <w:rPr>
          <w:rFonts w:cs="Arial"/>
        </w:rPr>
      </w:pPr>
      <w:bookmarkStart w:id="217" w:name="_Ref134617017"/>
      <w:bookmarkStart w:id="218" w:name="_Toc136327248"/>
      <w:bookmarkStart w:id="219" w:name="_Toc142991364"/>
      <w:r w:rsidRPr="000A53C0">
        <w:rPr>
          <w:rFonts w:cs="Arial"/>
        </w:rPr>
        <w:lastRenderedPageBreak/>
        <w:t>B.</w:t>
      </w:r>
      <w:r w:rsidR="00425098" w:rsidRPr="000A53C0">
        <w:rPr>
          <w:rFonts w:cs="Arial"/>
        </w:rPr>
        <w:t>6 Identifying monetisable costs to government</w:t>
      </w:r>
      <w:bookmarkEnd w:id="217"/>
      <w:bookmarkEnd w:id="218"/>
      <w:bookmarkEnd w:id="219"/>
    </w:p>
    <w:p w14:paraId="2A79B85F" w14:textId="77777777" w:rsidR="00425098" w:rsidRPr="000A53C0" w:rsidRDefault="00425098" w:rsidP="00425098">
      <w:pPr>
        <w:pStyle w:val="BodyText"/>
        <w:rPr>
          <w:rFonts w:cs="Arial"/>
        </w:rPr>
      </w:pPr>
      <w:r w:rsidRPr="000A53C0">
        <w:rPr>
          <w:rFonts w:cs="Arial"/>
        </w:rPr>
        <w:t>This section outlines the likely cost to government for each option, based on decisions made by PCBUs.</w:t>
      </w:r>
    </w:p>
    <w:p w14:paraId="1AA2CD63" w14:textId="5497EF26" w:rsidR="00425098" w:rsidRPr="000A53C0" w:rsidRDefault="002D500D" w:rsidP="00D657D6">
      <w:pPr>
        <w:pStyle w:val="App3"/>
        <w:rPr>
          <w:rFonts w:cs="Arial"/>
        </w:rPr>
      </w:pPr>
      <w:bookmarkStart w:id="220" w:name="_Toc136327249"/>
      <w:r w:rsidRPr="000A53C0">
        <w:rPr>
          <w:rFonts w:cs="Arial"/>
        </w:rPr>
        <w:t>B.</w:t>
      </w:r>
      <w:r w:rsidR="00425098" w:rsidRPr="000A53C0">
        <w:rPr>
          <w:rFonts w:cs="Arial"/>
        </w:rPr>
        <w:t xml:space="preserve">6.1 Implementation </w:t>
      </w:r>
      <w:r w:rsidR="00711719">
        <w:rPr>
          <w:rFonts w:cs="Arial"/>
        </w:rPr>
        <w:t>c</w:t>
      </w:r>
      <w:r w:rsidR="00425098" w:rsidRPr="000A53C0">
        <w:rPr>
          <w:rFonts w:cs="Arial"/>
        </w:rPr>
        <w:t>osts</w:t>
      </w:r>
      <w:bookmarkEnd w:id="220"/>
    </w:p>
    <w:p w14:paraId="72ADFD45" w14:textId="205CF003" w:rsidR="00425098" w:rsidRPr="000A53C0" w:rsidRDefault="00425098" w:rsidP="00030457">
      <w:pPr>
        <w:pStyle w:val="Caption"/>
        <w:rPr>
          <w:rFonts w:cs="Arial"/>
        </w:rPr>
      </w:pPr>
      <w:bookmarkStart w:id="221" w:name="_Ref140678159"/>
      <w:bookmarkStart w:id="222" w:name="_Toc141694453"/>
      <w:r w:rsidRPr="00711719">
        <w:rPr>
          <w:rFonts w:cs="Arial"/>
          <w:b/>
          <w:bCs/>
        </w:rPr>
        <w:t xml:space="preserve">Figure </w:t>
      </w:r>
      <w:r w:rsidRPr="00711719">
        <w:rPr>
          <w:rFonts w:cs="Arial"/>
          <w:b/>
          <w:bCs/>
        </w:rPr>
        <w:fldChar w:fldCharType="begin"/>
      </w:r>
      <w:r w:rsidRPr="00711719">
        <w:rPr>
          <w:rFonts w:cs="Arial"/>
          <w:b/>
          <w:bCs/>
        </w:rPr>
        <w:instrText>SEQ Figure \* ARABIC</w:instrText>
      </w:r>
      <w:r w:rsidRPr="00711719">
        <w:rPr>
          <w:rFonts w:cs="Arial"/>
          <w:b/>
          <w:bCs/>
        </w:rPr>
        <w:fldChar w:fldCharType="separate"/>
      </w:r>
      <w:r w:rsidR="00D16271">
        <w:rPr>
          <w:rFonts w:cs="Arial"/>
          <w:b/>
          <w:bCs/>
          <w:noProof/>
        </w:rPr>
        <w:t>9</w:t>
      </w:r>
      <w:r w:rsidRPr="00711719">
        <w:rPr>
          <w:rFonts w:cs="Arial"/>
          <w:b/>
          <w:bCs/>
        </w:rPr>
        <w:fldChar w:fldCharType="end"/>
      </w:r>
      <w:bookmarkEnd w:id="221"/>
      <w:r w:rsidRPr="000A53C0">
        <w:rPr>
          <w:rFonts w:cs="Arial"/>
        </w:rPr>
        <w:t xml:space="preserve"> Decision tree </w:t>
      </w:r>
      <w:r w:rsidR="00711719">
        <w:rPr>
          <w:rFonts w:cs="Arial"/>
        </w:rPr>
        <w:t xml:space="preserve">– </w:t>
      </w:r>
      <w:r w:rsidRPr="000A53C0">
        <w:rPr>
          <w:rFonts w:cs="Arial"/>
        </w:rPr>
        <w:t xml:space="preserve">implementation cost </w:t>
      </w:r>
      <w:r w:rsidR="00711719">
        <w:rPr>
          <w:rFonts w:cs="Arial"/>
        </w:rPr>
        <w:t>–</w:t>
      </w:r>
      <w:r w:rsidRPr="000A53C0">
        <w:rPr>
          <w:rFonts w:cs="Arial"/>
        </w:rPr>
        <w:t xml:space="preserve"> government</w:t>
      </w:r>
      <w:bookmarkEnd w:id="222"/>
    </w:p>
    <w:p w14:paraId="17DA23A6" w14:textId="77777777" w:rsidR="00425098" w:rsidRPr="000A53C0" w:rsidRDefault="00425098" w:rsidP="00425098">
      <w:pPr>
        <w:pStyle w:val="BodyText"/>
        <w:rPr>
          <w:rFonts w:cs="Arial"/>
        </w:rPr>
      </w:pPr>
      <w:r w:rsidRPr="000A53C0">
        <w:rPr>
          <w:rFonts w:cs="Arial"/>
          <w:noProof/>
          <w:lang w:eastAsia="en-AU"/>
        </w:rPr>
        <w:drawing>
          <wp:inline distT="0" distB="0" distL="0" distR="0" wp14:anchorId="59306E7D" wp14:editId="7BB121DC">
            <wp:extent cx="8188116" cy="4175801"/>
            <wp:effectExtent l="0" t="0" r="3810" b="0"/>
            <wp:docPr id="9"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88116" cy="4175801"/>
                    </a:xfrm>
                    <a:prstGeom prst="rect">
                      <a:avLst/>
                    </a:prstGeom>
                  </pic:spPr>
                </pic:pic>
              </a:graphicData>
            </a:graphic>
          </wp:inline>
        </w:drawing>
      </w:r>
    </w:p>
    <w:p w14:paraId="26965A38" w14:textId="77777777" w:rsidR="00425098" w:rsidRPr="000A53C0" w:rsidRDefault="00425098" w:rsidP="00425098">
      <w:pPr>
        <w:pStyle w:val="BodyText"/>
        <w:rPr>
          <w:rFonts w:cs="Arial"/>
          <w:color w:val="014463" w:themeColor="text2"/>
          <w:sz w:val="24"/>
          <w:szCs w:val="24"/>
        </w:rPr>
      </w:pPr>
      <w:bookmarkStart w:id="223" w:name="_Toc136327250"/>
    </w:p>
    <w:p w14:paraId="710FD1AF" w14:textId="2BED7E4C" w:rsidR="00425098" w:rsidRPr="000A53C0" w:rsidRDefault="002D500D" w:rsidP="00D657D6">
      <w:pPr>
        <w:pStyle w:val="App3"/>
        <w:rPr>
          <w:rFonts w:cs="Arial"/>
        </w:rPr>
      </w:pPr>
      <w:r w:rsidRPr="000A53C0">
        <w:rPr>
          <w:rFonts w:cs="Arial"/>
        </w:rPr>
        <w:lastRenderedPageBreak/>
        <w:t>B.</w:t>
      </w:r>
      <w:r w:rsidR="00425098" w:rsidRPr="000A53C0">
        <w:rPr>
          <w:rFonts w:cs="Arial"/>
        </w:rPr>
        <w:t>6.2 Costs of displaced workers</w:t>
      </w:r>
      <w:bookmarkEnd w:id="223"/>
    </w:p>
    <w:p w14:paraId="06EC2163" w14:textId="13DD245D" w:rsidR="00425098" w:rsidRPr="000A53C0" w:rsidRDefault="00425098" w:rsidP="00030457">
      <w:pPr>
        <w:pStyle w:val="Caption"/>
        <w:rPr>
          <w:rFonts w:cs="Arial"/>
        </w:rPr>
      </w:pPr>
      <w:bookmarkStart w:id="224" w:name="_Toc141694454"/>
      <w:r w:rsidRPr="00AA4653">
        <w:rPr>
          <w:rFonts w:cs="Arial"/>
          <w:b/>
          <w:bCs/>
        </w:rPr>
        <w:t xml:space="preserve">Figure </w:t>
      </w:r>
      <w:r w:rsidRPr="00AA4653">
        <w:rPr>
          <w:rFonts w:cs="Arial"/>
          <w:b/>
          <w:bCs/>
        </w:rPr>
        <w:fldChar w:fldCharType="begin"/>
      </w:r>
      <w:r w:rsidRPr="00AA4653">
        <w:rPr>
          <w:rFonts w:cs="Arial"/>
          <w:b/>
          <w:bCs/>
        </w:rPr>
        <w:instrText>SEQ Figure \* ARABIC</w:instrText>
      </w:r>
      <w:r w:rsidRPr="00AA4653">
        <w:rPr>
          <w:rFonts w:cs="Arial"/>
          <w:b/>
          <w:bCs/>
        </w:rPr>
        <w:fldChar w:fldCharType="separate"/>
      </w:r>
      <w:r w:rsidR="00D16271">
        <w:rPr>
          <w:rFonts w:cs="Arial"/>
          <w:b/>
          <w:bCs/>
          <w:noProof/>
        </w:rPr>
        <w:t>10</w:t>
      </w:r>
      <w:r w:rsidRPr="00AA4653">
        <w:rPr>
          <w:rFonts w:cs="Arial"/>
          <w:b/>
          <w:bCs/>
        </w:rPr>
        <w:fldChar w:fldCharType="end"/>
      </w:r>
      <w:r w:rsidRPr="000A53C0">
        <w:rPr>
          <w:rFonts w:cs="Arial"/>
        </w:rPr>
        <w:t xml:space="preserve"> Costs of displaced workers</w:t>
      </w:r>
      <w:bookmarkEnd w:id="224"/>
    </w:p>
    <w:p w14:paraId="2BC97B5A" w14:textId="77777777" w:rsidR="00425098" w:rsidRPr="000A53C0" w:rsidRDefault="00425098" w:rsidP="00425098">
      <w:pPr>
        <w:rPr>
          <w:rFonts w:cs="Arial"/>
        </w:rPr>
      </w:pPr>
      <w:r w:rsidRPr="000A53C0">
        <w:rPr>
          <w:rFonts w:cs="Arial"/>
          <w:noProof/>
          <w:lang w:eastAsia="en-AU"/>
        </w:rPr>
        <w:drawing>
          <wp:inline distT="0" distB="0" distL="0" distR="0" wp14:anchorId="040E9834" wp14:editId="3EF1C3C7">
            <wp:extent cx="4447352" cy="4292180"/>
            <wp:effectExtent l="0" t="0" r="0" b="0"/>
            <wp:docPr id="11" name="Picture 11" descr="A diagram of a business clo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business closur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7352" cy="4292180"/>
                    </a:xfrm>
                    <a:prstGeom prst="rect">
                      <a:avLst/>
                    </a:prstGeom>
                  </pic:spPr>
                </pic:pic>
              </a:graphicData>
            </a:graphic>
          </wp:inline>
        </w:drawing>
      </w:r>
    </w:p>
    <w:p w14:paraId="6B8E01DC" w14:textId="77777777" w:rsidR="00425098" w:rsidRPr="000A53C0" w:rsidRDefault="00425098" w:rsidP="00425098">
      <w:pPr>
        <w:pStyle w:val="BodyText"/>
        <w:rPr>
          <w:rFonts w:cs="Arial"/>
        </w:rPr>
      </w:pPr>
    </w:p>
    <w:p w14:paraId="41EA50C7" w14:textId="77777777" w:rsidR="00425098" w:rsidRPr="000A53C0" w:rsidRDefault="00425098" w:rsidP="00425098">
      <w:pPr>
        <w:spacing w:after="120" w:line="264" w:lineRule="auto"/>
        <w:rPr>
          <w:rFonts w:cs="Arial"/>
        </w:rPr>
        <w:sectPr w:rsidR="00425098" w:rsidRPr="000A53C0">
          <w:footerReference w:type="default" r:id="rId33"/>
          <w:pgSz w:w="16838" w:h="11906" w:orient="landscape"/>
          <w:pgMar w:top="851" w:right="1559" w:bottom="851" w:left="1701" w:header="567" w:footer="57" w:gutter="0"/>
          <w:cols w:space="708"/>
          <w:docGrid w:linePitch="360"/>
        </w:sectPr>
      </w:pPr>
    </w:p>
    <w:p w14:paraId="5529C5DF" w14:textId="5D7032E0" w:rsidR="00425098" w:rsidRPr="000A53C0" w:rsidRDefault="002D500D" w:rsidP="00C84BAF">
      <w:pPr>
        <w:pStyle w:val="App2"/>
        <w:rPr>
          <w:rFonts w:cs="Arial"/>
        </w:rPr>
      </w:pPr>
      <w:bookmarkStart w:id="225" w:name="_Toc142991365"/>
      <w:r w:rsidRPr="000A53C0">
        <w:rPr>
          <w:rFonts w:cs="Arial"/>
        </w:rPr>
        <w:lastRenderedPageBreak/>
        <w:t>B.</w:t>
      </w:r>
      <w:r w:rsidR="00425098" w:rsidRPr="000A53C0">
        <w:rPr>
          <w:rFonts w:cs="Arial"/>
        </w:rPr>
        <w:t>7 Applying decision trees</w:t>
      </w:r>
      <w:bookmarkEnd w:id="225"/>
    </w:p>
    <w:p w14:paraId="3E98E536" w14:textId="5CDDCE76" w:rsidR="00425098" w:rsidRPr="000A53C0" w:rsidRDefault="00425098" w:rsidP="00425098">
      <w:pPr>
        <w:pStyle w:val="BodyText"/>
        <w:rPr>
          <w:rFonts w:cs="Arial"/>
        </w:rPr>
      </w:pPr>
      <w:r w:rsidRPr="000A53C0">
        <w:rPr>
          <w:rFonts w:cs="Arial"/>
        </w:rPr>
        <w:t xml:space="preserve">The decision trees in </w:t>
      </w:r>
      <w:r w:rsidR="00F97239" w:rsidRPr="000A53C0">
        <w:rPr>
          <w:rFonts w:cs="Arial"/>
        </w:rPr>
        <w:fldChar w:fldCharType="begin" w:fldLock="1"/>
      </w:r>
      <w:r w:rsidR="00F97239" w:rsidRPr="000A53C0">
        <w:rPr>
          <w:rFonts w:cs="Arial"/>
        </w:rPr>
        <w:instrText xml:space="preserve"> REF _Ref140678183 \h </w:instrText>
      </w:r>
      <w:r w:rsidR="000A53C0">
        <w:rPr>
          <w:rFonts w:cs="Arial"/>
        </w:rPr>
        <w:instrText xml:space="preserve"> \* MERGEFORMAT </w:instrText>
      </w:r>
      <w:r w:rsidR="00F97239" w:rsidRPr="000A53C0">
        <w:rPr>
          <w:rFonts w:cs="Arial"/>
        </w:rPr>
      </w:r>
      <w:r w:rsidR="00F97239" w:rsidRPr="000A53C0">
        <w:rPr>
          <w:rFonts w:cs="Arial"/>
        </w:rPr>
        <w:fldChar w:fldCharType="separate"/>
      </w:r>
      <w:r w:rsidR="00D16271" w:rsidRPr="00D16271">
        <w:rPr>
          <w:rFonts w:cs="Arial"/>
        </w:rPr>
        <w:t xml:space="preserve">Figure </w:t>
      </w:r>
      <w:r w:rsidR="00D16271" w:rsidRPr="00D16271">
        <w:rPr>
          <w:rFonts w:eastAsiaTheme="majorEastAsia" w:cs="Arial"/>
          <w:noProof/>
        </w:rPr>
        <w:t>5</w:t>
      </w:r>
      <w:r w:rsidR="00F97239" w:rsidRPr="000A53C0">
        <w:rPr>
          <w:rFonts w:cs="Arial"/>
        </w:rPr>
        <w:fldChar w:fldCharType="end"/>
      </w:r>
      <w:r w:rsidRPr="000A53C0">
        <w:rPr>
          <w:rFonts w:cs="Arial"/>
        </w:rPr>
        <w:t xml:space="preserve"> to </w:t>
      </w:r>
      <w:r w:rsidR="00F97239" w:rsidRPr="000A53C0">
        <w:rPr>
          <w:rFonts w:cs="Arial"/>
        </w:rPr>
        <w:fldChar w:fldCharType="begin" w:fldLock="1"/>
      </w:r>
      <w:r w:rsidR="00F97239" w:rsidRPr="000A53C0">
        <w:rPr>
          <w:rFonts w:cs="Arial"/>
        </w:rPr>
        <w:instrText xml:space="preserve"> REF _Ref140678159 \h </w:instrText>
      </w:r>
      <w:r w:rsidR="000A53C0">
        <w:rPr>
          <w:rFonts w:cs="Arial"/>
        </w:rPr>
        <w:instrText xml:space="preserve"> \* MERGEFORMAT </w:instrText>
      </w:r>
      <w:r w:rsidR="00F97239" w:rsidRPr="000A53C0">
        <w:rPr>
          <w:rFonts w:cs="Arial"/>
        </w:rPr>
      </w:r>
      <w:r w:rsidR="00F97239" w:rsidRPr="000A53C0">
        <w:rPr>
          <w:rFonts w:cs="Arial"/>
        </w:rPr>
        <w:fldChar w:fldCharType="separate"/>
      </w:r>
      <w:r w:rsidR="00D16271" w:rsidRPr="00D16271">
        <w:rPr>
          <w:rFonts w:cs="Arial"/>
        </w:rPr>
        <w:t xml:space="preserve">Figure </w:t>
      </w:r>
      <w:r w:rsidR="00D16271" w:rsidRPr="00D16271">
        <w:rPr>
          <w:rFonts w:cs="Arial"/>
          <w:noProof/>
        </w:rPr>
        <w:t>9</w:t>
      </w:r>
      <w:r w:rsidR="00F97239" w:rsidRPr="000A53C0">
        <w:rPr>
          <w:rFonts w:cs="Arial"/>
        </w:rPr>
        <w:fldChar w:fldCharType="end"/>
      </w:r>
      <w:r w:rsidRPr="000A53C0">
        <w:rPr>
          <w:rFonts w:cs="Arial"/>
        </w:rPr>
        <w:t xml:space="preserve"> were considered in determining the number of PCBUs that may follow each option described. This informed the modelling undertaken to arrive at the costs to PCBUs, governments and workers described in this document. </w:t>
      </w:r>
    </w:p>
    <w:p w14:paraId="0A9E235C" w14:textId="77777777" w:rsidR="00425098" w:rsidRPr="000A53C0" w:rsidRDefault="00425098" w:rsidP="00425098">
      <w:pPr>
        <w:pStyle w:val="BodyText"/>
        <w:rPr>
          <w:rFonts w:cs="Arial"/>
        </w:rPr>
      </w:pPr>
      <w:r w:rsidRPr="000A53C0">
        <w:rPr>
          <w:rFonts w:cs="Arial"/>
        </w:rPr>
        <w:t xml:space="preserve">This section lists key assumptions that informed this process. </w:t>
      </w:r>
    </w:p>
    <w:p w14:paraId="6FBF329F" w14:textId="6202AC0D" w:rsidR="00425098" w:rsidRPr="000A53C0" w:rsidRDefault="002D500D" w:rsidP="00D657D6">
      <w:pPr>
        <w:pStyle w:val="App3"/>
        <w:rPr>
          <w:rFonts w:cs="Arial"/>
        </w:rPr>
      </w:pPr>
      <w:bookmarkStart w:id="226" w:name="_Toc136327252"/>
      <w:r w:rsidRPr="000A53C0">
        <w:rPr>
          <w:rFonts w:cs="Arial"/>
        </w:rPr>
        <w:t>B.</w:t>
      </w:r>
      <w:r w:rsidR="00425098" w:rsidRPr="000A53C0">
        <w:rPr>
          <w:rFonts w:cs="Arial"/>
        </w:rPr>
        <w:t>7.1 Global assumptions</w:t>
      </w:r>
      <w:bookmarkEnd w:id="226"/>
    </w:p>
    <w:p w14:paraId="1505F26E" w14:textId="6640C70E" w:rsidR="00425098" w:rsidRPr="000A53C0" w:rsidRDefault="002D500D" w:rsidP="00030457">
      <w:pPr>
        <w:pStyle w:val="App4"/>
        <w:rPr>
          <w:rFonts w:cs="Arial"/>
        </w:rPr>
      </w:pPr>
      <w:r w:rsidRPr="000A53C0">
        <w:rPr>
          <w:rFonts w:cs="Arial"/>
        </w:rPr>
        <w:t>B.</w:t>
      </w:r>
      <w:r w:rsidR="00425098" w:rsidRPr="000A53C0">
        <w:rPr>
          <w:rFonts w:cs="Arial"/>
        </w:rPr>
        <w:t>7.1.1 Engineered stone PCBU assumptions</w:t>
      </w:r>
    </w:p>
    <w:p w14:paraId="20321265" w14:textId="77777777" w:rsidR="00425098" w:rsidRPr="000A53C0" w:rsidRDefault="49990F53" w:rsidP="001B44C4">
      <w:pPr>
        <w:pStyle w:val="IAListbullet2"/>
        <w:rPr>
          <w:rFonts w:cs="Arial"/>
        </w:rPr>
      </w:pPr>
      <w:r w:rsidRPr="000A53C0">
        <w:rPr>
          <w:rFonts w:cs="Arial"/>
        </w:rPr>
        <w:t xml:space="preserve">Engineered stone PCBUs are currently either working with engineered stone only or engineered stone and natural stone. </w:t>
      </w:r>
    </w:p>
    <w:p w14:paraId="3BF87B84" w14:textId="77777777" w:rsidR="00425098" w:rsidRPr="000A53C0" w:rsidRDefault="49990F53" w:rsidP="001B44C4">
      <w:pPr>
        <w:pStyle w:val="IAListbullet2"/>
        <w:rPr>
          <w:rFonts w:cs="Arial"/>
        </w:rPr>
      </w:pPr>
      <w:r w:rsidRPr="000A53C0">
        <w:rPr>
          <w:rFonts w:cs="Arial"/>
        </w:rPr>
        <w:t xml:space="preserve">Engineered stone PCBUs predominantly fabricate and install new engineered stone. </w:t>
      </w:r>
    </w:p>
    <w:p w14:paraId="46A75417" w14:textId="77777777" w:rsidR="00425098" w:rsidRPr="000A53C0" w:rsidRDefault="49990F53" w:rsidP="001B44C4">
      <w:pPr>
        <w:pStyle w:val="IAListbullet2"/>
        <w:rPr>
          <w:rFonts w:cs="Arial"/>
        </w:rPr>
      </w:pPr>
      <w:r w:rsidRPr="000A53C0">
        <w:rPr>
          <w:rFonts w:cs="Arial"/>
        </w:rPr>
        <w:t xml:space="preserve">For the purposes of the model, it has been assumed that a very small number of engineered stone PCBUs would remove, repair or modify previously installed engineered stone, i.e. it is assumed for this model that no engineered stone PCBUs would have need to participate in a licensing framework for work with legacy products. </w:t>
      </w:r>
    </w:p>
    <w:p w14:paraId="1C51C7BB" w14:textId="77777777" w:rsidR="00425098" w:rsidRPr="000A53C0" w:rsidRDefault="49990F53" w:rsidP="001B44C4">
      <w:pPr>
        <w:pStyle w:val="IAListbullet2"/>
        <w:rPr>
          <w:rFonts w:cs="Arial"/>
        </w:rPr>
      </w:pPr>
      <w:r w:rsidRPr="000A53C0">
        <w:rPr>
          <w:rFonts w:cs="Arial"/>
        </w:rPr>
        <w:t xml:space="preserve">Given most engineered stone PCBUs already work with both natural stone and engineered stone, a decision to switch to natural stone is not expected to incur significant costs. </w:t>
      </w:r>
    </w:p>
    <w:p w14:paraId="08680E74" w14:textId="77777777" w:rsidR="00425098" w:rsidRPr="000A53C0" w:rsidRDefault="49990F53" w:rsidP="001B44C4">
      <w:pPr>
        <w:pStyle w:val="IAListbullet2"/>
        <w:rPr>
          <w:rFonts w:cs="Arial"/>
        </w:rPr>
      </w:pPr>
      <w:r w:rsidRPr="000A53C0">
        <w:rPr>
          <w:rFonts w:cs="Arial"/>
        </w:rPr>
        <w:t xml:space="preserve">A decision to switch to non-stone products will require investment in new equipment and processes. </w:t>
      </w:r>
    </w:p>
    <w:p w14:paraId="1AFF307D" w14:textId="77777777" w:rsidR="00425098" w:rsidRPr="000A53C0" w:rsidRDefault="49990F53" w:rsidP="001B44C4">
      <w:pPr>
        <w:pStyle w:val="IAListbullet2"/>
        <w:rPr>
          <w:rFonts w:cs="Arial"/>
        </w:rPr>
      </w:pPr>
      <w:r w:rsidRPr="000A53C0">
        <w:rPr>
          <w:rFonts w:cs="Arial"/>
        </w:rPr>
        <w:t xml:space="preserve">Worker displacement would only occur when PCBUs cease operating. </w:t>
      </w:r>
    </w:p>
    <w:p w14:paraId="4AF3F5AA" w14:textId="77777777" w:rsidR="00425098" w:rsidRPr="000A53C0" w:rsidRDefault="49990F53" w:rsidP="001B44C4">
      <w:pPr>
        <w:pStyle w:val="IAListbullet2"/>
        <w:rPr>
          <w:rFonts w:cs="Arial"/>
        </w:rPr>
      </w:pPr>
      <w:r w:rsidRPr="000A53C0">
        <w:rPr>
          <w:rFonts w:cs="Arial"/>
        </w:rPr>
        <w:t xml:space="preserve">Workers are expected to behave similarly, irrespective of whether they work for small, medium or large businesses. </w:t>
      </w:r>
    </w:p>
    <w:p w14:paraId="0C2454D3" w14:textId="40147372" w:rsidR="00425098" w:rsidRPr="000A53C0" w:rsidRDefault="002D500D" w:rsidP="00030457">
      <w:pPr>
        <w:pStyle w:val="App4"/>
        <w:rPr>
          <w:rFonts w:cs="Arial"/>
        </w:rPr>
      </w:pPr>
      <w:r w:rsidRPr="000A53C0">
        <w:rPr>
          <w:rFonts w:cs="Arial"/>
        </w:rPr>
        <w:t>B.</w:t>
      </w:r>
      <w:r w:rsidR="00425098" w:rsidRPr="000A53C0">
        <w:rPr>
          <w:rFonts w:cs="Arial"/>
        </w:rPr>
        <w:t>7.1.2 Other industry PCBU assumptions</w:t>
      </w:r>
    </w:p>
    <w:p w14:paraId="68D6E2DD" w14:textId="77777777" w:rsidR="00425098" w:rsidRPr="000A53C0" w:rsidRDefault="49990F53" w:rsidP="001B44C4">
      <w:pPr>
        <w:pStyle w:val="IAListbullet2"/>
        <w:rPr>
          <w:rFonts w:cs="Arial"/>
        </w:rPr>
      </w:pPr>
      <w:r w:rsidRPr="000A53C0">
        <w:rPr>
          <w:rFonts w:cs="Arial"/>
        </w:rPr>
        <w:t>For the purposes of this model it has been assumed that other industry PCBUs are not involved in the fabrication or installation of new engineered stone products.</w:t>
      </w:r>
    </w:p>
    <w:p w14:paraId="16CA2BAD" w14:textId="77777777" w:rsidR="00425098" w:rsidRPr="000A53C0" w:rsidRDefault="49990F53" w:rsidP="001B44C4">
      <w:pPr>
        <w:pStyle w:val="IAListbullet2"/>
        <w:rPr>
          <w:rFonts w:cs="Arial"/>
        </w:rPr>
      </w:pPr>
      <w:r w:rsidRPr="000A53C0">
        <w:rPr>
          <w:rFonts w:cs="Arial"/>
        </w:rPr>
        <w:t>For the purpose of this model it is assumed that other industry PCBUs work with (remove, repair or modify) engineered stone as part of the primary activity and as such the impact on their business is solely related to how they work with legacy product.</w:t>
      </w:r>
    </w:p>
    <w:p w14:paraId="64FA5B32" w14:textId="77777777" w:rsidR="00425098" w:rsidRPr="000A53C0" w:rsidRDefault="49990F53" w:rsidP="001B44C4">
      <w:pPr>
        <w:pStyle w:val="IAListbullet2"/>
        <w:rPr>
          <w:rFonts w:cs="Arial"/>
        </w:rPr>
      </w:pPr>
      <w:r w:rsidRPr="000A53C0">
        <w:rPr>
          <w:rFonts w:cs="Arial"/>
        </w:rPr>
        <w:t>For these reasons it is assumed that the impact on other industry PCBUs will not be dependent on the three proposed options (but will be impacted solely by the licensing framework for work with legacy products).</w:t>
      </w:r>
    </w:p>
    <w:p w14:paraId="738974B6" w14:textId="77777777" w:rsidR="00425098" w:rsidRPr="000A53C0" w:rsidRDefault="49990F53" w:rsidP="001B44C4">
      <w:pPr>
        <w:pStyle w:val="IAListbullet2"/>
        <w:rPr>
          <w:rFonts w:cs="Arial"/>
        </w:rPr>
      </w:pPr>
      <w:r w:rsidRPr="000A53C0">
        <w:rPr>
          <w:rFonts w:cs="Arial"/>
        </w:rPr>
        <w:t xml:space="preserve">As such, it is assumed no PCBUs in this group will exit the industry or make employees redundant as a result of the prohibition options, given working with engineered stone is not their primary activity and overall demand levels have not changed for their services. </w:t>
      </w:r>
    </w:p>
    <w:p w14:paraId="7B4F6B5D" w14:textId="77777777" w:rsidR="00425098" w:rsidRPr="000A53C0" w:rsidRDefault="49990F53" w:rsidP="001B44C4">
      <w:pPr>
        <w:pStyle w:val="IAListbullet2"/>
        <w:rPr>
          <w:rFonts w:cs="Arial"/>
        </w:rPr>
        <w:sectPr w:rsidR="00425098" w:rsidRPr="000A53C0">
          <w:pgSz w:w="11906" w:h="16838"/>
          <w:pgMar w:top="1559" w:right="851" w:bottom="1701" w:left="851" w:header="567" w:footer="57" w:gutter="0"/>
          <w:cols w:space="708"/>
          <w:docGrid w:linePitch="360"/>
        </w:sectPr>
      </w:pPr>
      <w:r w:rsidRPr="000A53C0">
        <w:rPr>
          <w:rFonts w:cs="Arial"/>
        </w:rPr>
        <w:t>A licence under the licensing framework for work with legacy products is expected to cover all work with previously installed engineered stone regardless of crystalline silica content.</w:t>
      </w:r>
    </w:p>
    <w:p w14:paraId="30D6DBBA" w14:textId="280F553B" w:rsidR="00425098" w:rsidRPr="000A53C0" w:rsidRDefault="002D500D" w:rsidP="00D657D6">
      <w:pPr>
        <w:pStyle w:val="App3"/>
        <w:rPr>
          <w:rFonts w:cs="Arial"/>
        </w:rPr>
      </w:pPr>
      <w:r w:rsidRPr="000A53C0">
        <w:rPr>
          <w:rFonts w:cs="Arial"/>
        </w:rPr>
        <w:lastRenderedPageBreak/>
        <w:t>B.</w:t>
      </w:r>
      <w:r w:rsidR="00425098" w:rsidRPr="000A53C0">
        <w:rPr>
          <w:rFonts w:cs="Arial"/>
        </w:rPr>
        <w:t>7.2 Decision tree outcomes</w:t>
      </w:r>
      <w:r w:rsidR="00716B06">
        <w:rPr>
          <w:rFonts w:cs="Arial"/>
        </w:rPr>
        <w:t xml:space="preserve">: </w:t>
      </w:r>
      <w:r w:rsidR="00425098" w:rsidRPr="000A53C0">
        <w:rPr>
          <w:rFonts w:cs="Arial"/>
        </w:rPr>
        <w:t>Option 1</w:t>
      </w:r>
    </w:p>
    <w:p w14:paraId="3DB83BAC" w14:textId="40E09CD3" w:rsidR="00425098" w:rsidRPr="000A53C0" w:rsidRDefault="00425098" w:rsidP="00030457">
      <w:pPr>
        <w:pStyle w:val="Caption"/>
        <w:rPr>
          <w:rFonts w:cs="Arial"/>
        </w:rPr>
      </w:pPr>
      <w:r w:rsidRPr="00445EB6">
        <w:rPr>
          <w:rFonts w:cs="Arial"/>
          <w:b/>
          <w:bCs/>
        </w:rPr>
        <w:t xml:space="preserve">Table </w:t>
      </w:r>
      <w:r w:rsidRPr="00445EB6">
        <w:rPr>
          <w:rFonts w:cs="Arial"/>
          <w:b/>
          <w:bCs/>
        </w:rPr>
        <w:fldChar w:fldCharType="begin"/>
      </w:r>
      <w:r w:rsidRPr="00445EB6">
        <w:rPr>
          <w:rFonts w:cs="Arial"/>
          <w:b/>
          <w:bCs/>
        </w:rPr>
        <w:instrText>SEQ Table \* ARABIC</w:instrText>
      </w:r>
      <w:r w:rsidRPr="00445EB6">
        <w:rPr>
          <w:rFonts w:cs="Arial"/>
          <w:b/>
          <w:bCs/>
        </w:rPr>
        <w:fldChar w:fldCharType="separate"/>
      </w:r>
      <w:r w:rsidR="00D16271">
        <w:rPr>
          <w:rFonts w:cs="Arial"/>
          <w:b/>
          <w:bCs/>
          <w:noProof/>
        </w:rPr>
        <w:t>22</w:t>
      </w:r>
      <w:r w:rsidRPr="00445EB6">
        <w:rPr>
          <w:rFonts w:cs="Arial"/>
          <w:b/>
          <w:bCs/>
        </w:rPr>
        <w:fldChar w:fldCharType="end"/>
      </w:r>
      <w:r w:rsidRPr="000A53C0">
        <w:rPr>
          <w:rFonts w:cs="Arial"/>
        </w:rPr>
        <w:t xml:space="preserve"> Decision Tree Outcomes – Option 1 – engineered stone PCBUs </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413"/>
        <w:gridCol w:w="1623"/>
        <w:gridCol w:w="1452"/>
        <w:gridCol w:w="35"/>
        <w:gridCol w:w="1419"/>
        <w:gridCol w:w="141"/>
        <w:gridCol w:w="1313"/>
        <w:gridCol w:w="5172"/>
      </w:tblGrid>
      <w:tr w:rsidR="00425098" w:rsidRPr="000A53C0" w14:paraId="2299AC32" w14:textId="77777777" w:rsidTr="00445EB6">
        <w:trPr>
          <w:tblHeader/>
        </w:trPr>
        <w:tc>
          <w:tcPr>
            <w:tcW w:w="889" w:type="pct"/>
            <w:vMerge w:val="restart"/>
            <w:shd w:val="clear" w:color="auto" w:fill="E81D32"/>
            <w:vAlign w:val="center"/>
          </w:tcPr>
          <w:p w14:paraId="5FD60BCD"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Decision</w:t>
            </w:r>
          </w:p>
        </w:tc>
        <w:tc>
          <w:tcPr>
            <w:tcW w:w="598" w:type="pct"/>
            <w:vMerge w:val="restart"/>
            <w:shd w:val="clear" w:color="auto" w:fill="E81D32"/>
            <w:vAlign w:val="center"/>
          </w:tcPr>
          <w:p w14:paraId="318F9AE7"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Impact</w:t>
            </w:r>
          </w:p>
        </w:tc>
        <w:tc>
          <w:tcPr>
            <w:tcW w:w="1607" w:type="pct"/>
            <w:gridSpan w:val="5"/>
            <w:shd w:val="clear" w:color="auto" w:fill="E81D32"/>
            <w:vAlign w:val="center"/>
          </w:tcPr>
          <w:p w14:paraId="6D366B2E"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Proportion of population</w:t>
            </w:r>
          </w:p>
        </w:tc>
        <w:tc>
          <w:tcPr>
            <w:tcW w:w="1906" w:type="pct"/>
            <w:vMerge w:val="restart"/>
            <w:shd w:val="clear" w:color="auto" w:fill="E81D32"/>
            <w:vAlign w:val="center"/>
          </w:tcPr>
          <w:p w14:paraId="5BBAA6B1"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Rationale</w:t>
            </w:r>
          </w:p>
        </w:tc>
      </w:tr>
      <w:tr w:rsidR="00425098" w:rsidRPr="000A53C0" w14:paraId="36DEAD82" w14:textId="77777777" w:rsidTr="00445EB6">
        <w:trPr>
          <w:tblHeader/>
        </w:trPr>
        <w:tc>
          <w:tcPr>
            <w:tcW w:w="889" w:type="pct"/>
            <w:vMerge/>
          </w:tcPr>
          <w:p w14:paraId="7C6FB01C" w14:textId="77777777" w:rsidR="00425098" w:rsidRPr="000A53C0" w:rsidRDefault="00425098">
            <w:pPr>
              <w:pStyle w:val="TableBody"/>
              <w:rPr>
                <w:rFonts w:cs="Arial"/>
                <w:i/>
              </w:rPr>
            </w:pPr>
          </w:p>
        </w:tc>
        <w:tc>
          <w:tcPr>
            <w:tcW w:w="598" w:type="pct"/>
            <w:vMerge/>
          </w:tcPr>
          <w:p w14:paraId="63C419FB" w14:textId="77777777" w:rsidR="00425098" w:rsidRPr="000A53C0" w:rsidRDefault="00425098">
            <w:pPr>
              <w:pStyle w:val="TableBody"/>
              <w:rPr>
                <w:rFonts w:cs="Arial"/>
              </w:rPr>
            </w:pPr>
          </w:p>
        </w:tc>
        <w:tc>
          <w:tcPr>
            <w:tcW w:w="535" w:type="pct"/>
            <w:shd w:val="clear" w:color="auto" w:fill="E81D32"/>
            <w:vAlign w:val="center"/>
          </w:tcPr>
          <w:p w14:paraId="75259D1A" w14:textId="77777777" w:rsidR="00425098" w:rsidRPr="00445EB6" w:rsidRDefault="00425098">
            <w:pPr>
              <w:pStyle w:val="TableBody"/>
              <w:jc w:val="center"/>
              <w:rPr>
                <w:rFonts w:cs="Arial"/>
                <w:b/>
                <w:color w:val="FFFFFF" w:themeColor="background1"/>
                <w:sz w:val="20"/>
                <w:szCs w:val="20"/>
                <w:lang w:val="en-US"/>
              </w:rPr>
            </w:pPr>
            <w:r w:rsidRPr="00445EB6">
              <w:rPr>
                <w:rFonts w:cs="Arial"/>
                <w:b/>
                <w:color w:val="FFFFFF" w:themeColor="background1"/>
                <w:sz w:val="20"/>
                <w:szCs w:val="20"/>
                <w:lang w:val="en-US"/>
              </w:rPr>
              <w:t>Sole trader</w:t>
            </w:r>
          </w:p>
        </w:tc>
        <w:tc>
          <w:tcPr>
            <w:tcW w:w="536" w:type="pct"/>
            <w:gridSpan w:val="2"/>
            <w:shd w:val="clear" w:color="auto" w:fill="E81D32"/>
            <w:vAlign w:val="center"/>
          </w:tcPr>
          <w:p w14:paraId="3F08F65E" w14:textId="77777777" w:rsidR="00425098" w:rsidRPr="00445EB6" w:rsidRDefault="00425098">
            <w:pPr>
              <w:pStyle w:val="TableBody"/>
              <w:jc w:val="center"/>
              <w:rPr>
                <w:rFonts w:cs="Arial"/>
                <w:b/>
                <w:color w:val="FFFFFF" w:themeColor="background1"/>
                <w:sz w:val="20"/>
                <w:szCs w:val="20"/>
                <w:lang w:val="en-US"/>
              </w:rPr>
            </w:pPr>
            <w:r w:rsidRPr="00445EB6">
              <w:rPr>
                <w:rFonts w:cs="Arial"/>
                <w:b/>
                <w:color w:val="FFFFFF" w:themeColor="background1"/>
                <w:sz w:val="20"/>
                <w:szCs w:val="20"/>
                <w:lang w:val="en-US"/>
              </w:rPr>
              <w:t>Small</w:t>
            </w:r>
          </w:p>
        </w:tc>
        <w:tc>
          <w:tcPr>
            <w:tcW w:w="536" w:type="pct"/>
            <w:gridSpan w:val="2"/>
            <w:shd w:val="clear" w:color="auto" w:fill="E81D32"/>
            <w:vAlign w:val="center"/>
          </w:tcPr>
          <w:p w14:paraId="55E03ACE" w14:textId="77777777" w:rsidR="00425098" w:rsidRPr="00445EB6" w:rsidRDefault="00425098">
            <w:pPr>
              <w:pStyle w:val="TableBody"/>
              <w:jc w:val="center"/>
              <w:rPr>
                <w:rFonts w:cs="Arial"/>
                <w:b/>
                <w:color w:val="FFFFFF" w:themeColor="background1"/>
                <w:sz w:val="20"/>
                <w:szCs w:val="20"/>
                <w:lang w:val="en-US"/>
              </w:rPr>
            </w:pPr>
            <w:r w:rsidRPr="00445EB6">
              <w:rPr>
                <w:rFonts w:cs="Arial"/>
                <w:b/>
                <w:color w:val="FFFFFF" w:themeColor="background1"/>
                <w:sz w:val="20"/>
                <w:szCs w:val="20"/>
                <w:lang w:val="en-US"/>
              </w:rPr>
              <w:t>Medium</w:t>
            </w:r>
          </w:p>
        </w:tc>
        <w:tc>
          <w:tcPr>
            <w:tcW w:w="1906" w:type="pct"/>
            <w:vMerge/>
          </w:tcPr>
          <w:p w14:paraId="163CD5B1" w14:textId="77777777" w:rsidR="00425098" w:rsidRPr="000A53C0" w:rsidRDefault="00425098">
            <w:pPr>
              <w:pStyle w:val="BodyText"/>
              <w:rPr>
                <w:rFonts w:cs="Arial"/>
              </w:rPr>
            </w:pPr>
          </w:p>
        </w:tc>
      </w:tr>
      <w:tr w:rsidR="00425098" w:rsidRPr="000A53C0" w14:paraId="1D4D1075" w14:textId="77777777">
        <w:trPr>
          <w:trHeight w:val="275"/>
        </w:trPr>
        <w:tc>
          <w:tcPr>
            <w:tcW w:w="889" w:type="pct"/>
            <w:vMerge w:val="restart"/>
          </w:tcPr>
          <w:p w14:paraId="17B335A3" w14:textId="77777777" w:rsidR="00425098" w:rsidRPr="000A53C0" w:rsidRDefault="00425098">
            <w:pPr>
              <w:pStyle w:val="TableBody"/>
              <w:rPr>
                <w:rFonts w:cs="Arial"/>
                <w:i/>
              </w:rPr>
            </w:pPr>
            <w:r w:rsidRPr="000A53C0">
              <w:rPr>
                <w:rFonts w:cs="Arial"/>
                <w:i/>
              </w:rPr>
              <w:t xml:space="preserve">Continue operating </w:t>
            </w:r>
            <w:r w:rsidRPr="000A53C0">
              <w:rPr>
                <w:rFonts w:cs="Arial"/>
                <w:i/>
                <w:szCs w:val="18"/>
              </w:rPr>
              <w:t>with</w:t>
            </w:r>
            <w:r w:rsidRPr="000A53C0">
              <w:rPr>
                <w:rFonts w:cs="Arial"/>
                <w:i/>
              </w:rPr>
              <w:t xml:space="preserve"> alternative products </w:t>
            </w:r>
          </w:p>
        </w:tc>
        <w:tc>
          <w:tcPr>
            <w:tcW w:w="598" w:type="pct"/>
          </w:tcPr>
          <w:p w14:paraId="511D66C9" w14:textId="77777777" w:rsidR="00425098" w:rsidRPr="000A53C0" w:rsidRDefault="00425098">
            <w:pPr>
              <w:pStyle w:val="TableBody"/>
              <w:rPr>
                <w:rFonts w:cs="Arial"/>
              </w:rPr>
            </w:pPr>
            <w:r w:rsidRPr="000A53C0">
              <w:rPr>
                <w:rFonts w:cs="Arial"/>
              </w:rPr>
              <w:t>Purchase new equipment to switch to non-stone product (e.g. laminate</w:t>
            </w:r>
            <w:r w:rsidRPr="000A53C0">
              <w:rPr>
                <w:rStyle w:val="FootnoteReference"/>
                <w:rFonts w:cs="Arial"/>
                <w:szCs w:val="18"/>
              </w:rPr>
              <w:footnoteReference w:id="55"/>
            </w:r>
            <w:r w:rsidRPr="000A53C0">
              <w:rPr>
                <w:rFonts w:cs="Arial"/>
              </w:rPr>
              <w:t>)</w:t>
            </w:r>
          </w:p>
        </w:tc>
        <w:tc>
          <w:tcPr>
            <w:tcW w:w="548" w:type="pct"/>
            <w:gridSpan w:val="2"/>
          </w:tcPr>
          <w:p w14:paraId="6FFD0C2D" w14:textId="77777777" w:rsidR="00425098" w:rsidRPr="000A53C0" w:rsidRDefault="00425098">
            <w:pPr>
              <w:pStyle w:val="TableBody"/>
              <w:jc w:val="center"/>
              <w:rPr>
                <w:rFonts w:cs="Arial"/>
              </w:rPr>
            </w:pPr>
            <w:r w:rsidRPr="000A53C0">
              <w:rPr>
                <w:rFonts w:cs="Arial"/>
              </w:rPr>
              <w:t>0%</w:t>
            </w:r>
          </w:p>
        </w:tc>
        <w:tc>
          <w:tcPr>
            <w:tcW w:w="575" w:type="pct"/>
            <w:gridSpan w:val="2"/>
          </w:tcPr>
          <w:p w14:paraId="59C90E69" w14:textId="77777777" w:rsidR="00425098" w:rsidRPr="000A53C0" w:rsidRDefault="00425098">
            <w:pPr>
              <w:pStyle w:val="TableBody"/>
              <w:jc w:val="center"/>
              <w:rPr>
                <w:rFonts w:cs="Arial"/>
              </w:rPr>
            </w:pPr>
            <w:r w:rsidRPr="000A53C0">
              <w:rPr>
                <w:rFonts w:cs="Arial"/>
              </w:rPr>
              <w:t>0%</w:t>
            </w:r>
          </w:p>
        </w:tc>
        <w:tc>
          <w:tcPr>
            <w:tcW w:w="484" w:type="pct"/>
          </w:tcPr>
          <w:p w14:paraId="113AB9EC" w14:textId="77777777" w:rsidR="00425098" w:rsidRPr="000A53C0" w:rsidRDefault="00425098">
            <w:pPr>
              <w:pStyle w:val="TableBody"/>
              <w:jc w:val="center"/>
              <w:rPr>
                <w:rFonts w:cs="Arial"/>
              </w:rPr>
            </w:pPr>
            <w:r w:rsidRPr="000A53C0">
              <w:rPr>
                <w:rFonts w:cs="Arial"/>
              </w:rPr>
              <w:t>5%</w:t>
            </w:r>
          </w:p>
        </w:tc>
        <w:tc>
          <w:tcPr>
            <w:tcW w:w="1906" w:type="pct"/>
          </w:tcPr>
          <w:p w14:paraId="14FB5C2B" w14:textId="77777777" w:rsidR="00425098" w:rsidRPr="000A53C0" w:rsidRDefault="00425098" w:rsidP="00766916">
            <w:pPr>
              <w:pStyle w:val="BodyText"/>
              <w:widowControl w:val="0"/>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Almost all engineered stone PCBUs (95%) that responded to the consultation on the Prohibition Decision RIS indicated that they worked with both engineered stone and natural stone products. For this reason, it is expected that almost all engineered stone PCBUs would transition to natural stone.</w:t>
            </w:r>
          </w:p>
          <w:p w14:paraId="0A0B9166" w14:textId="77777777" w:rsidR="00425098" w:rsidRPr="000A53C0" w:rsidRDefault="00425098" w:rsidP="00766916">
            <w:pPr>
              <w:pStyle w:val="BodyText"/>
              <w:widowControl w:val="0"/>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Only a small proportion of businesses are expected to switch to alternative products such as wood or laminate, as these products are typically installed by other trades such as cabinet makers and specialist kitchen companies.</w:t>
            </w:r>
            <w:r w:rsidRPr="000A53C0">
              <w:rPr>
                <w:rStyle w:val="FootnoteReference"/>
                <w:rFonts w:cs="Arial"/>
                <w:color w:val="000000" w:themeColor="text1"/>
                <w:sz w:val="18"/>
                <w:szCs w:val="18"/>
              </w:rPr>
              <w:footnoteReference w:id="56"/>
            </w:r>
            <w:r w:rsidRPr="000A53C0">
              <w:rPr>
                <w:rFonts w:cs="Arial"/>
                <w:color w:val="000000" w:themeColor="text1"/>
                <w:sz w:val="18"/>
                <w:szCs w:val="18"/>
              </w:rPr>
              <w:t xml:space="preserve"> </w:t>
            </w:r>
          </w:p>
          <w:p w14:paraId="78D5BD3C"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 xml:space="preserve">The decision to work with alternative products depends on the cost of the equipment and training needed to switch to alternative products relative to the demand for these products. </w:t>
            </w:r>
          </w:p>
          <w:p w14:paraId="3AC99611" w14:textId="77777777" w:rsidR="00425098" w:rsidRPr="000A53C0" w:rsidRDefault="00425098" w:rsidP="00766916">
            <w:pPr>
              <w:pStyle w:val="BodyText"/>
              <w:widowControl w:val="0"/>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 xml:space="preserve">Medium sized businesses are likely to more easily access the capital required to invest in new equipment, processes and training. </w:t>
            </w:r>
          </w:p>
          <w:p w14:paraId="628ED9F9" w14:textId="39B47278"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As per the Silica Decision RIS, if sole traders and small businesses need to purchase new equipment to operate with alternative products, then it is assumed they would cease to operate.</w:t>
            </w:r>
          </w:p>
        </w:tc>
      </w:tr>
      <w:tr w:rsidR="00425098" w:rsidRPr="000A53C0" w14:paraId="7B0F4207" w14:textId="77777777">
        <w:trPr>
          <w:trHeight w:val="275"/>
        </w:trPr>
        <w:tc>
          <w:tcPr>
            <w:tcW w:w="889" w:type="pct"/>
            <w:vMerge/>
          </w:tcPr>
          <w:p w14:paraId="307D1AAB" w14:textId="77777777" w:rsidR="00425098" w:rsidRPr="000A53C0" w:rsidRDefault="00425098">
            <w:pPr>
              <w:pStyle w:val="TableBody"/>
              <w:rPr>
                <w:rFonts w:cs="Arial"/>
                <w:i/>
              </w:rPr>
            </w:pPr>
          </w:p>
        </w:tc>
        <w:tc>
          <w:tcPr>
            <w:tcW w:w="598" w:type="pct"/>
          </w:tcPr>
          <w:p w14:paraId="4A74D482" w14:textId="77777777" w:rsidR="00425098" w:rsidRPr="000A53C0" w:rsidRDefault="00425098">
            <w:pPr>
              <w:pStyle w:val="TableBody"/>
              <w:rPr>
                <w:rFonts w:cs="Arial"/>
              </w:rPr>
            </w:pPr>
            <w:r w:rsidRPr="000A53C0">
              <w:rPr>
                <w:rFonts w:cs="Arial"/>
              </w:rPr>
              <w:t>Use existing equipment to continue operating with natural stone</w:t>
            </w:r>
          </w:p>
        </w:tc>
        <w:tc>
          <w:tcPr>
            <w:tcW w:w="548" w:type="pct"/>
            <w:gridSpan w:val="2"/>
          </w:tcPr>
          <w:p w14:paraId="7F095684" w14:textId="77777777" w:rsidR="00425098" w:rsidRPr="000A53C0" w:rsidRDefault="00425098">
            <w:pPr>
              <w:pStyle w:val="TableBody"/>
              <w:jc w:val="center"/>
              <w:rPr>
                <w:rFonts w:cs="Arial"/>
              </w:rPr>
            </w:pPr>
            <w:r w:rsidRPr="000A53C0">
              <w:rPr>
                <w:rFonts w:cs="Arial"/>
              </w:rPr>
              <w:t>90%</w:t>
            </w:r>
          </w:p>
        </w:tc>
        <w:tc>
          <w:tcPr>
            <w:tcW w:w="575" w:type="pct"/>
            <w:gridSpan w:val="2"/>
          </w:tcPr>
          <w:p w14:paraId="2448F73F" w14:textId="77777777" w:rsidR="00425098" w:rsidRPr="000A53C0" w:rsidRDefault="00425098">
            <w:pPr>
              <w:pStyle w:val="TableBody"/>
              <w:jc w:val="center"/>
              <w:rPr>
                <w:rFonts w:cs="Arial"/>
              </w:rPr>
            </w:pPr>
            <w:r w:rsidRPr="000A53C0">
              <w:rPr>
                <w:rFonts w:cs="Arial"/>
              </w:rPr>
              <w:t>90%</w:t>
            </w:r>
          </w:p>
        </w:tc>
        <w:tc>
          <w:tcPr>
            <w:tcW w:w="484" w:type="pct"/>
          </w:tcPr>
          <w:p w14:paraId="1E41F7F1" w14:textId="77777777" w:rsidR="00425098" w:rsidRPr="000A53C0" w:rsidRDefault="00425098">
            <w:pPr>
              <w:pStyle w:val="TableBody"/>
              <w:jc w:val="center"/>
              <w:rPr>
                <w:rFonts w:cs="Arial"/>
              </w:rPr>
            </w:pPr>
            <w:r w:rsidRPr="000A53C0">
              <w:rPr>
                <w:rFonts w:cs="Arial"/>
              </w:rPr>
              <w:t>90%</w:t>
            </w:r>
          </w:p>
        </w:tc>
        <w:tc>
          <w:tcPr>
            <w:tcW w:w="1906" w:type="pct"/>
          </w:tcPr>
          <w:p w14:paraId="63D19A09"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szCs w:val="18"/>
              </w:rPr>
              <w:t>It is expected that almost all engineered stone PCBUs will be able to continue operating with natural stone at minimal cost.</w:t>
            </w:r>
          </w:p>
        </w:tc>
      </w:tr>
      <w:tr w:rsidR="00425098" w:rsidRPr="000A53C0" w14:paraId="448DE2C8" w14:textId="77777777">
        <w:tc>
          <w:tcPr>
            <w:tcW w:w="889" w:type="pct"/>
          </w:tcPr>
          <w:p w14:paraId="136502ED" w14:textId="77777777" w:rsidR="00425098" w:rsidRPr="000A53C0" w:rsidRDefault="00425098">
            <w:pPr>
              <w:pStyle w:val="TableBody"/>
              <w:rPr>
                <w:rFonts w:cs="Arial"/>
              </w:rPr>
            </w:pPr>
            <w:r w:rsidRPr="000A53C0">
              <w:rPr>
                <w:rFonts w:cs="Arial"/>
                <w:i/>
              </w:rPr>
              <w:t>Cease operating</w:t>
            </w:r>
          </w:p>
        </w:tc>
        <w:tc>
          <w:tcPr>
            <w:tcW w:w="598" w:type="pct"/>
          </w:tcPr>
          <w:p w14:paraId="252E05A8" w14:textId="77777777" w:rsidR="00425098" w:rsidRPr="000A53C0" w:rsidRDefault="00425098">
            <w:pPr>
              <w:pStyle w:val="TableBody"/>
              <w:rPr>
                <w:rFonts w:cs="Arial"/>
              </w:rPr>
            </w:pPr>
            <w:r w:rsidRPr="000A53C0">
              <w:rPr>
                <w:rFonts w:cs="Arial"/>
              </w:rPr>
              <w:t>Business closure</w:t>
            </w:r>
          </w:p>
        </w:tc>
        <w:tc>
          <w:tcPr>
            <w:tcW w:w="548" w:type="pct"/>
            <w:gridSpan w:val="2"/>
          </w:tcPr>
          <w:p w14:paraId="719BC36A" w14:textId="77777777" w:rsidR="00425098" w:rsidRPr="000A53C0" w:rsidRDefault="00425098">
            <w:pPr>
              <w:pStyle w:val="TableBody"/>
              <w:jc w:val="center"/>
              <w:rPr>
                <w:rFonts w:cs="Arial"/>
              </w:rPr>
            </w:pPr>
            <w:r w:rsidRPr="000A53C0">
              <w:rPr>
                <w:rFonts w:cs="Arial"/>
              </w:rPr>
              <w:t>10%</w:t>
            </w:r>
          </w:p>
        </w:tc>
        <w:tc>
          <w:tcPr>
            <w:tcW w:w="575" w:type="pct"/>
            <w:gridSpan w:val="2"/>
          </w:tcPr>
          <w:p w14:paraId="7FA49AFC" w14:textId="77777777" w:rsidR="00425098" w:rsidRPr="000A53C0" w:rsidRDefault="00425098">
            <w:pPr>
              <w:pStyle w:val="TableBody"/>
              <w:jc w:val="center"/>
              <w:rPr>
                <w:rFonts w:cs="Arial"/>
              </w:rPr>
            </w:pPr>
            <w:r w:rsidRPr="000A53C0">
              <w:rPr>
                <w:rFonts w:cs="Arial"/>
              </w:rPr>
              <w:t>10%</w:t>
            </w:r>
          </w:p>
        </w:tc>
        <w:tc>
          <w:tcPr>
            <w:tcW w:w="484" w:type="pct"/>
          </w:tcPr>
          <w:p w14:paraId="68DAC1E3" w14:textId="77777777" w:rsidR="00425098" w:rsidRPr="000A53C0" w:rsidRDefault="00425098">
            <w:pPr>
              <w:pStyle w:val="TableBody"/>
              <w:jc w:val="center"/>
              <w:rPr>
                <w:rFonts w:cs="Arial"/>
              </w:rPr>
            </w:pPr>
            <w:r w:rsidRPr="000A53C0">
              <w:rPr>
                <w:rFonts w:cs="Arial"/>
              </w:rPr>
              <w:t>5%</w:t>
            </w:r>
          </w:p>
        </w:tc>
        <w:tc>
          <w:tcPr>
            <w:tcW w:w="1906" w:type="pct"/>
          </w:tcPr>
          <w:p w14:paraId="2B4D038C"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Some engineered stone PCBUs may choose to cease trading rather than move to natural stone or alternative products. There may be a number of reasons for this. For instance, because they only work with engineered stone currently and cannot afford to make the switch to alternatives. </w:t>
            </w:r>
          </w:p>
        </w:tc>
      </w:tr>
      <w:tr w:rsidR="00425098" w:rsidRPr="000A53C0" w14:paraId="65875E3D" w14:textId="77777777">
        <w:tc>
          <w:tcPr>
            <w:tcW w:w="889" w:type="pct"/>
          </w:tcPr>
          <w:p w14:paraId="1241F318" w14:textId="77777777" w:rsidR="00425098" w:rsidRPr="000A53C0" w:rsidRDefault="00425098">
            <w:pPr>
              <w:pStyle w:val="TableBody"/>
              <w:rPr>
                <w:rFonts w:cs="Arial"/>
                <w:b/>
              </w:rPr>
            </w:pPr>
            <w:r w:rsidRPr="000A53C0">
              <w:rPr>
                <w:rFonts w:cs="Arial"/>
                <w:b/>
              </w:rPr>
              <w:t>Total</w:t>
            </w:r>
          </w:p>
        </w:tc>
        <w:tc>
          <w:tcPr>
            <w:tcW w:w="598" w:type="pct"/>
          </w:tcPr>
          <w:p w14:paraId="07178A6F" w14:textId="77777777" w:rsidR="00425098" w:rsidRPr="000A53C0" w:rsidRDefault="00425098">
            <w:pPr>
              <w:pStyle w:val="TableBody"/>
              <w:rPr>
                <w:rFonts w:cs="Arial"/>
                <w:b/>
              </w:rPr>
            </w:pPr>
          </w:p>
        </w:tc>
        <w:tc>
          <w:tcPr>
            <w:tcW w:w="548" w:type="pct"/>
            <w:gridSpan w:val="2"/>
          </w:tcPr>
          <w:p w14:paraId="2D2665F8" w14:textId="77777777" w:rsidR="00425098" w:rsidRPr="000A53C0" w:rsidRDefault="00425098">
            <w:pPr>
              <w:pStyle w:val="TableBody"/>
              <w:jc w:val="center"/>
              <w:rPr>
                <w:rFonts w:cs="Arial"/>
                <w:b/>
              </w:rPr>
            </w:pPr>
            <w:r w:rsidRPr="000A53C0">
              <w:rPr>
                <w:rFonts w:cs="Arial"/>
                <w:b/>
              </w:rPr>
              <w:t>100%</w:t>
            </w:r>
          </w:p>
        </w:tc>
        <w:tc>
          <w:tcPr>
            <w:tcW w:w="575" w:type="pct"/>
            <w:gridSpan w:val="2"/>
          </w:tcPr>
          <w:p w14:paraId="3522A3ED" w14:textId="77777777" w:rsidR="00425098" w:rsidRPr="000A53C0" w:rsidRDefault="00425098">
            <w:pPr>
              <w:pStyle w:val="TableBody"/>
              <w:jc w:val="center"/>
              <w:rPr>
                <w:rFonts w:cs="Arial"/>
                <w:b/>
              </w:rPr>
            </w:pPr>
            <w:r w:rsidRPr="000A53C0">
              <w:rPr>
                <w:rFonts w:cs="Arial"/>
                <w:b/>
              </w:rPr>
              <w:t>100%</w:t>
            </w:r>
          </w:p>
        </w:tc>
        <w:tc>
          <w:tcPr>
            <w:tcW w:w="484" w:type="pct"/>
          </w:tcPr>
          <w:p w14:paraId="0CF783DB" w14:textId="77777777" w:rsidR="00425098" w:rsidRPr="000A53C0" w:rsidRDefault="00425098">
            <w:pPr>
              <w:pStyle w:val="TableBody"/>
              <w:jc w:val="center"/>
              <w:rPr>
                <w:rFonts w:cs="Arial"/>
                <w:b/>
              </w:rPr>
            </w:pPr>
            <w:r w:rsidRPr="000A53C0">
              <w:rPr>
                <w:rFonts w:cs="Arial"/>
                <w:b/>
              </w:rPr>
              <w:t>100%</w:t>
            </w:r>
          </w:p>
        </w:tc>
        <w:tc>
          <w:tcPr>
            <w:tcW w:w="1906" w:type="pct"/>
          </w:tcPr>
          <w:p w14:paraId="0E8A2A59" w14:textId="77777777" w:rsidR="00425098" w:rsidRPr="000A53C0" w:rsidRDefault="00425098">
            <w:pPr>
              <w:pStyle w:val="TableBody"/>
              <w:rPr>
                <w:rFonts w:cs="Arial"/>
                <w:b/>
              </w:rPr>
            </w:pPr>
          </w:p>
        </w:tc>
      </w:tr>
    </w:tbl>
    <w:p w14:paraId="1537360F" w14:textId="77777777" w:rsidR="00425098" w:rsidRPr="000A53C0" w:rsidRDefault="00425098" w:rsidP="00425098">
      <w:pPr>
        <w:spacing w:after="120" w:line="264" w:lineRule="auto"/>
        <w:rPr>
          <w:rFonts w:cs="Arial"/>
          <w:b/>
          <w:color w:val="014463" w:themeColor="text2"/>
          <w:szCs w:val="18"/>
        </w:rPr>
      </w:pPr>
    </w:p>
    <w:p w14:paraId="0221A682" w14:textId="3D804409" w:rsidR="00425098" w:rsidRPr="000A53C0" w:rsidRDefault="00425098" w:rsidP="00030457">
      <w:pPr>
        <w:pStyle w:val="Caption"/>
        <w:rPr>
          <w:rFonts w:cs="Arial"/>
        </w:rPr>
      </w:pPr>
      <w:bookmarkStart w:id="227" w:name="_Ref140676326"/>
      <w:r w:rsidRPr="00445EB6">
        <w:rPr>
          <w:rFonts w:cs="Arial"/>
          <w:b/>
          <w:bCs/>
        </w:rPr>
        <w:t xml:space="preserve">Table </w:t>
      </w:r>
      <w:r w:rsidRPr="00445EB6">
        <w:rPr>
          <w:rFonts w:cs="Arial"/>
          <w:b/>
          <w:bCs/>
        </w:rPr>
        <w:fldChar w:fldCharType="begin"/>
      </w:r>
      <w:r w:rsidRPr="00445EB6">
        <w:rPr>
          <w:rFonts w:cs="Arial"/>
          <w:b/>
          <w:bCs/>
        </w:rPr>
        <w:instrText>SEQ Table \* ARABIC</w:instrText>
      </w:r>
      <w:r w:rsidRPr="00445EB6">
        <w:rPr>
          <w:rFonts w:cs="Arial"/>
          <w:b/>
          <w:bCs/>
        </w:rPr>
        <w:fldChar w:fldCharType="separate"/>
      </w:r>
      <w:r w:rsidR="00D16271">
        <w:rPr>
          <w:rFonts w:cs="Arial"/>
          <w:b/>
          <w:bCs/>
          <w:noProof/>
        </w:rPr>
        <w:t>23</w:t>
      </w:r>
      <w:r w:rsidRPr="00445EB6">
        <w:rPr>
          <w:rFonts w:cs="Arial"/>
          <w:b/>
          <w:bCs/>
        </w:rPr>
        <w:fldChar w:fldCharType="end"/>
      </w:r>
      <w:bookmarkEnd w:id="227"/>
      <w:r w:rsidRPr="000A53C0">
        <w:rPr>
          <w:rFonts w:cs="Arial"/>
        </w:rPr>
        <w:t xml:space="preserve"> Decision Tree Outcomes – Options 1,</w:t>
      </w:r>
      <w:r w:rsidR="004D0505">
        <w:rPr>
          <w:rFonts w:cs="Arial"/>
        </w:rPr>
        <w:t xml:space="preserve"> </w:t>
      </w:r>
      <w:r w:rsidRPr="000A53C0">
        <w:rPr>
          <w:rFonts w:cs="Arial"/>
        </w:rPr>
        <w:t>2 and 3 –</w:t>
      </w:r>
      <w:r w:rsidR="004D0505">
        <w:rPr>
          <w:rFonts w:cs="Arial"/>
        </w:rPr>
        <w:t xml:space="preserve"> </w:t>
      </w:r>
      <w:r w:rsidRPr="000A53C0">
        <w:rPr>
          <w:rFonts w:cs="Arial"/>
        </w:rPr>
        <w:t xml:space="preserve">other industry PCBUs </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
      </w:tblPr>
      <w:tblGrid>
        <w:gridCol w:w="2112"/>
        <w:gridCol w:w="2260"/>
        <w:gridCol w:w="1351"/>
        <w:gridCol w:w="1351"/>
        <w:gridCol w:w="1357"/>
        <w:gridCol w:w="5137"/>
      </w:tblGrid>
      <w:tr w:rsidR="00425098" w:rsidRPr="000A53C0" w14:paraId="5C6F6DE7" w14:textId="77777777" w:rsidTr="00445EB6">
        <w:trPr>
          <w:trHeight w:val="655"/>
          <w:tblHeader/>
        </w:trPr>
        <w:tc>
          <w:tcPr>
            <w:tcW w:w="778" w:type="pct"/>
            <w:vMerge w:val="restart"/>
            <w:shd w:val="clear" w:color="auto" w:fill="E81D32"/>
            <w:vAlign w:val="center"/>
          </w:tcPr>
          <w:p w14:paraId="5FFD8086" w14:textId="77777777" w:rsidR="00425098" w:rsidRPr="000A53C0" w:rsidRDefault="00425098">
            <w:pPr>
              <w:pStyle w:val="TableHeading"/>
              <w:jc w:val="center"/>
              <w:rPr>
                <w:rFonts w:ascii="Arial" w:hAnsi="Arial" w:cs="Arial"/>
                <w:color w:val="FFFFFF" w:themeColor="background1"/>
              </w:rPr>
            </w:pPr>
            <w:r w:rsidRPr="000A53C0">
              <w:rPr>
                <w:rFonts w:ascii="Arial" w:hAnsi="Arial" w:cs="Arial"/>
                <w:color w:val="FFFFFF" w:themeColor="background1"/>
              </w:rPr>
              <w:t>Decision</w:t>
            </w:r>
          </w:p>
        </w:tc>
        <w:tc>
          <w:tcPr>
            <w:tcW w:w="833" w:type="pct"/>
            <w:vMerge w:val="restart"/>
            <w:shd w:val="clear" w:color="auto" w:fill="E81D32"/>
            <w:vAlign w:val="center"/>
          </w:tcPr>
          <w:p w14:paraId="1B387079" w14:textId="77777777" w:rsidR="00425098" w:rsidRPr="000A53C0" w:rsidRDefault="00425098">
            <w:pPr>
              <w:pStyle w:val="TableHeading"/>
              <w:jc w:val="center"/>
              <w:rPr>
                <w:rFonts w:ascii="Arial" w:hAnsi="Arial" w:cs="Arial"/>
                <w:color w:val="FFFFFF" w:themeColor="background1"/>
              </w:rPr>
            </w:pPr>
            <w:r w:rsidRPr="000A53C0">
              <w:rPr>
                <w:rFonts w:ascii="Arial" w:hAnsi="Arial" w:cs="Arial"/>
                <w:color w:val="FFFFFF" w:themeColor="background1"/>
              </w:rPr>
              <w:t>Impact</w:t>
            </w:r>
          </w:p>
        </w:tc>
        <w:tc>
          <w:tcPr>
            <w:tcW w:w="1496" w:type="pct"/>
            <w:gridSpan w:val="3"/>
            <w:shd w:val="clear" w:color="auto" w:fill="E81D32"/>
            <w:vAlign w:val="center"/>
          </w:tcPr>
          <w:p w14:paraId="5F3F89A1" w14:textId="77777777" w:rsidR="00425098" w:rsidRPr="000A53C0" w:rsidRDefault="00425098">
            <w:pPr>
              <w:pStyle w:val="TableHeading"/>
              <w:jc w:val="center"/>
              <w:rPr>
                <w:rFonts w:ascii="Arial" w:hAnsi="Arial" w:cs="Arial"/>
                <w:color w:val="FFFFFF" w:themeColor="background1"/>
              </w:rPr>
            </w:pPr>
            <w:r w:rsidRPr="000A53C0">
              <w:rPr>
                <w:rFonts w:ascii="Arial" w:hAnsi="Arial" w:cs="Arial"/>
                <w:color w:val="FFFFFF" w:themeColor="background1"/>
              </w:rPr>
              <w:t>Proportion of population</w:t>
            </w:r>
          </w:p>
        </w:tc>
        <w:tc>
          <w:tcPr>
            <w:tcW w:w="1893" w:type="pct"/>
            <w:vMerge w:val="restart"/>
            <w:shd w:val="clear" w:color="auto" w:fill="E81D32"/>
            <w:vAlign w:val="center"/>
          </w:tcPr>
          <w:p w14:paraId="238FBDC2" w14:textId="77777777" w:rsidR="00425098" w:rsidRPr="000A53C0" w:rsidRDefault="00425098">
            <w:pPr>
              <w:pStyle w:val="TableHeading"/>
              <w:jc w:val="center"/>
              <w:rPr>
                <w:rFonts w:ascii="Arial" w:hAnsi="Arial" w:cs="Arial"/>
                <w:color w:val="FFFFFF" w:themeColor="background1"/>
              </w:rPr>
            </w:pPr>
            <w:r w:rsidRPr="000A53C0">
              <w:rPr>
                <w:rFonts w:ascii="Arial" w:hAnsi="Arial" w:cs="Arial"/>
                <w:color w:val="FFFFFF" w:themeColor="background1"/>
              </w:rPr>
              <w:t>Rationale</w:t>
            </w:r>
          </w:p>
        </w:tc>
      </w:tr>
      <w:tr w:rsidR="00425098" w:rsidRPr="000A53C0" w14:paraId="45761E7F" w14:textId="77777777" w:rsidTr="00445EB6">
        <w:trPr>
          <w:tblHeader/>
        </w:trPr>
        <w:tc>
          <w:tcPr>
            <w:tcW w:w="778" w:type="pct"/>
            <w:vMerge/>
            <w:shd w:val="clear" w:color="auto" w:fill="7F7F7F" w:themeFill="text1" w:themeFillTint="80"/>
          </w:tcPr>
          <w:p w14:paraId="39D81A20" w14:textId="77777777" w:rsidR="00425098" w:rsidRPr="000A53C0" w:rsidRDefault="00425098">
            <w:pPr>
              <w:pStyle w:val="TableBody"/>
              <w:rPr>
                <w:rFonts w:cs="Arial"/>
                <w:i/>
                <w:color w:val="FFFFFF" w:themeColor="background1"/>
                <w:sz w:val="20"/>
                <w:szCs w:val="20"/>
              </w:rPr>
            </w:pPr>
          </w:p>
        </w:tc>
        <w:tc>
          <w:tcPr>
            <w:tcW w:w="833" w:type="pct"/>
            <w:vMerge/>
            <w:shd w:val="clear" w:color="auto" w:fill="7F7F7F" w:themeFill="text1" w:themeFillTint="80"/>
          </w:tcPr>
          <w:p w14:paraId="326F03FC" w14:textId="77777777" w:rsidR="00425098" w:rsidRPr="000A53C0" w:rsidRDefault="00425098">
            <w:pPr>
              <w:pStyle w:val="TableBody"/>
              <w:rPr>
                <w:rFonts w:cs="Arial"/>
                <w:color w:val="FFFFFF" w:themeColor="background1"/>
                <w:sz w:val="20"/>
                <w:szCs w:val="20"/>
              </w:rPr>
            </w:pPr>
          </w:p>
        </w:tc>
        <w:tc>
          <w:tcPr>
            <w:tcW w:w="498" w:type="pct"/>
            <w:shd w:val="clear" w:color="auto" w:fill="E81D32"/>
            <w:vAlign w:val="center"/>
          </w:tcPr>
          <w:p w14:paraId="67F8A386"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Sole trader</w:t>
            </w:r>
          </w:p>
        </w:tc>
        <w:tc>
          <w:tcPr>
            <w:tcW w:w="498" w:type="pct"/>
            <w:shd w:val="clear" w:color="auto" w:fill="E81D32"/>
            <w:vAlign w:val="center"/>
          </w:tcPr>
          <w:p w14:paraId="48A648BC"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Small</w:t>
            </w:r>
          </w:p>
        </w:tc>
        <w:tc>
          <w:tcPr>
            <w:tcW w:w="500" w:type="pct"/>
            <w:shd w:val="clear" w:color="auto" w:fill="E81D32"/>
            <w:vAlign w:val="center"/>
          </w:tcPr>
          <w:p w14:paraId="2E413435" w14:textId="77777777" w:rsidR="00425098" w:rsidRPr="00445EB6" w:rsidRDefault="00425098">
            <w:pPr>
              <w:pStyle w:val="TableHeading"/>
              <w:jc w:val="center"/>
              <w:rPr>
                <w:rFonts w:ascii="Arial" w:hAnsi="Arial" w:cs="Arial"/>
                <w:color w:val="FFFFFF" w:themeColor="background1"/>
              </w:rPr>
            </w:pPr>
            <w:r w:rsidRPr="00445EB6">
              <w:rPr>
                <w:rFonts w:ascii="Arial" w:hAnsi="Arial" w:cs="Arial"/>
                <w:color w:val="FFFFFF" w:themeColor="background1"/>
              </w:rPr>
              <w:t>Medium-large</w:t>
            </w:r>
          </w:p>
        </w:tc>
        <w:tc>
          <w:tcPr>
            <w:tcW w:w="1893" w:type="pct"/>
            <w:vMerge/>
            <w:shd w:val="clear" w:color="auto" w:fill="7F7F7F" w:themeFill="text1" w:themeFillTint="80"/>
          </w:tcPr>
          <w:p w14:paraId="167C9BEA" w14:textId="77777777" w:rsidR="00425098" w:rsidRPr="000A53C0" w:rsidRDefault="00425098">
            <w:pPr>
              <w:pStyle w:val="BodyText"/>
              <w:rPr>
                <w:rFonts w:cs="Arial"/>
                <w:color w:val="FFFFFF" w:themeColor="background1"/>
              </w:rPr>
            </w:pPr>
          </w:p>
        </w:tc>
      </w:tr>
      <w:tr w:rsidR="00425098" w:rsidRPr="000A53C0" w14:paraId="5E2E3DD0" w14:textId="77777777">
        <w:trPr>
          <w:trHeight w:val="1458"/>
        </w:trPr>
        <w:tc>
          <w:tcPr>
            <w:tcW w:w="778" w:type="pct"/>
          </w:tcPr>
          <w:p w14:paraId="5F7CDAB5" w14:textId="1A836F68" w:rsidR="00425098" w:rsidRPr="000A53C0" w:rsidRDefault="00425098">
            <w:pPr>
              <w:pStyle w:val="TableBody"/>
              <w:rPr>
                <w:rFonts w:cs="Arial"/>
                <w:i/>
                <w:szCs w:val="18"/>
              </w:rPr>
            </w:pPr>
            <w:r w:rsidRPr="000A53C0">
              <w:rPr>
                <w:rFonts w:cs="Arial"/>
                <w:i/>
                <w:szCs w:val="18"/>
              </w:rPr>
              <w:t>Continue working with engineered stone under the licensing framework</w:t>
            </w:r>
            <w:r w:rsidR="007C2D5D" w:rsidRPr="000A53C0">
              <w:rPr>
                <w:rFonts w:cs="Arial"/>
                <w:i/>
                <w:szCs w:val="18"/>
              </w:rPr>
              <w:t xml:space="preserve"> for work with legacy products</w:t>
            </w:r>
          </w:p>
        </w:tc>
        <w:tc>
          <w:tcPr>
            <w:tcW w:w="833" w:type="pct"/>
          </w:tcPr>
          <w:p w14:paraId="53DF3329" w14:textId="3F559BE2" w:rsidR="00425098" w:rsidRPr="000A53C0" w:rsidRDefault="00425098">
            <w:pPr>
              <w:pStyle w:val="TableBody"/>
              <w:rPr>
                <w:rFonts w:cs="Arial"/>
                <w:szCs w:val="18"/>
              </w:rPr>
            </w:pPr>
            <w:r w:rsidRPr="000A53C0">
              <w:rPr>
                <w:rFonts w:cs="Arial"/>
                <w:szCs w:val="18"/>
              </w:rPr>
              <w:t>Acquire licence to work with legacy engineered stone</w:t>
            </w:r>
          </w:p>
        </w:tc>
        <w:tc>
          <w:tcPr>
            <w:tcW w:w="498" w:type="pct"/>
          </w:tcPr>
          <w:p w14:paraId="34BA8AD4" w14:textId="77777777" w:rsidR="00425098" w:rsidRPr="000A53C0" w:rsidRDefault="00425098">
            <w:pPr>
              <w:pStyle w:val="TableBody"/>
              <w:jc w:val="center"/>
              <w:rPr>
                <w:rFonts w:cs="Arial"/>
                <w:szCs w:val="18"/>
              </w:rPr>
            </w:pPr>
            <w:r w:rsidRPr="000A53C0">
              <w:rPr>
                <w:rFonts w:cs="Arial"/>
                <w:szCs w:val="18"/>
              </w:rPr>
              <w:t>30%</w:t>
            </w:r>
          </w:p>
        </w:tc>
        <w:tc>
          <w:tcPr>
            <w:tcW w:w="498" w:type="pct"/>
          </w:tcPr>
          <w:p w14:paraId="736CC62C" w14:textId="77777777" w:rsidR="00425098" w:rsidRPr="000A53C0" w:rsidRDefault="00425098">
            <w:pPr>
              <w:pStyle w:val="TableBody"/>
              <w:jc w:val="center"/>
              <w:rPr>
                <w:rFonts w:cs="Arial"/>
                <w:szCs w:val="18"/>
              </w:rPr>
            </w:pPr>
            <w:r w:rsidRPr="000A53C0">
              <w:rPr>
                <w:rFonts w:cs="Arial"/>
                <w:szCs w:val="18"/>
              </w:rPr>
              <w:t>35%</w:t>
            </w:r>
          </w:p>
        </w:tc>
        <w:tc>
          <w:tcPr>
            <w:tcW w:w="500" w:type="pct"/>
          </w:tcPr>
          <w:p w14:paraId="2EFB7A0D" w14:textId="77777777" w:rsidR="00425098" w:rsidRPr="000A53C0" w:rsidRDefault="00425098">
            <w:pPr>
              <w:pStyle w:val="TableBody"/>
              <w:jc w:val="center"/>
              <w:rPr>
                <w:rFonts w:cs="Arial"/>
                <w:szCs w:val="18"/>
              </w:rPr>
            </w:pPr>
            <w:r w:rsidRPr="000A53C0">
              <w:rPr>
                <w:rFonts w:cs="Arial"/>
                <w:szCs w:val="18"/>
              </w:rPr>
              <w:t>40%</w:t>
            </w:r>
          </w:p>
        </w:tc>
        <w:tc>
          <w:tcPr>
            <w:tcW w:w="1893" w:type="pct"/>
          </w:tcPr>
          <w:p w14:paraId="00860624"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 xml:space="preserve">Given the prevalence of engineered stone, a sizeable proportion of other industry PCBUs are expected to obtain a licence to be able to undertake exempt work. However, this is not expected to be the majority of PCBUs, nor is it expected to be the majority of any one PCBU’s work. </w:t>
            </w:r>
          </w:p>
          <w:p w14:paraId="30A63625" w14:textId="1FEB7E35"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Many PCBUs in this category may decide not to apply for a licence to undertake what is currently an occasional task in their day to day work. Instead, they are expected to refer work involving legacy engineered stone to a licensed PCBU.</w:t>
            </w:r>
            <w:r w:rsidRPr="000A53C0">
              <w:rPr>
                <w:rStyle w:val="FootnoteReference"/>
                <w:rFonts w:cs="Arial"/>
                <w:color w:val="000000" w:themeColor="text1"/>
                <w:sz w:val="18"/>
                <w:szCs w:val="18"/>
              </w:rPr>
              <w:footnoteReference w:id="57"/>
            </w:r>
            <w:r w:rsidRPr="000A53C0">
              <w:rPr>
                <w:rFonts w:cs="Arial"/>
                <w:color w:val="000000" w:themeColor="text1"/>
                <w:sz w:val="18"/>
                <w:szCs w:val="18"/>
              </w:rPr>
              <w:t xml:space="preserve"> </w:t>
            </w:r>
          </w:p>
          <w:p w14:paraId="73780394" w14:textId="0522312F"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000000" w:themeColor="text1"/>
                <w:sz w:val="18"/>
                <w:szCs w:val="18"/>
              </w:rPr>
              <w:t xml:space="preserve">The ability to absorb licensing costs increases with increasing business size. As such, a greater proportion of small, medium and large PCBUs are expected to </w:t>
            </w:r>
            <w:r w:rsidRPr="000A53C0">
              <w:rPr>
                <w:rFonts w:cs="Arial"/>
                <w:color w:val="000000" w:themeColor="text1"/>
                <w:sz w:val="18"/>
                <w:szCs w:val="18"/>
              </w:rPr>
              <w:lastRenderedPageBreak/>
              <w:t xml:space="preserve">remain working with legacy engineered stone relative to sole traders. </w:t>
            </w:r>
          </w:p>
        </w:tc>
      </w:tr>
      <w:tr w:rsidR="00425098" w:rsidRPr="000A53C0" w14:paraId="0C35BBAD" w14:textId="77777777">
        <w:trPr>
          <w:trHeight w:val="275"/>
        </w:trPr>
        <w:tc>
          <w:tcPr>
            <w:tcW w:w="778" w:type="pct"/>
          </w:tcPr>
          <w:p w14:paraId="2F062C28" w14:textId="77777777" w:rsidR="00425098" w:rsidRPr="000A53C0" w:rsidRDefault="00425098">
            <w:pPr>
              <w:pStyle w:val="TableBody"/>
              <w:rPr>
                <w:rFonts w:cs="Arial"/>
                <w:i/>
                <w:szCs w:val="18"/>
              </w:rPr>
            </w:pPr>
            <w:r w:rsidRPr="000A53C0">
              <w:rPr>
                <w:rFonts w:cs="Arial"/>
                <w:i/>
                <w:szCs w:val="18"/>
              </w:rPr>
              <w:lastRenderedPageBreak/>
              <w:t>Cease working with engineered stone</w:t>
            </w:r>
          </w:p>
        </w:tc>
        <w:tc>
          <w:tcPr>
            <w:tcW w:w="833" w:type="pct"/>
            <w:vAlign w:val="center"/>
          </w:tcPr>
          <w:p w14:paraId="1AD8BAF9" w14:textId="77777777" w:rsidR="00425098" w:rsidRPr="000A53C0" w:rsidRDefault="00425098">
            <w:pPr>
              <w:pStyle w:val="TableBody"/>
              <w:rPr>
                <w:rFonts w:cs="Arial"/>
                <w:szCs w:val="18"/>
              </w:rPr>
            </w:pPr>
            <w:r w:rsidRPr="000A53C0">
              <w:rPr>
                <w:rFonts w:cs="Arial"/>
                <w:szCs w:val="18"/>
              </w:rPr>
              <w:t>Refer work involving legacy engineered stone to licensed PCBU</w:t>
            </w:r>
          </w:p>
        </w:tc>
        <w:tc>
          <w:tcPr>
            <w:tcW w:w="498" w:type="pct"/>
          </w:tcPr>
          <w:p w14:paraId="07899E07" w14:textId="77777777" w:rsidR="00425098" w:rsidRPr="000A53C0" w:rsidRDefault="00425098">
            <w:pPr>
              <w:pStyle w:val="TableBody"/>
              <w:jc w:val="center"/>
              <w:rPr>
                <w:rFonts w:cs="Arial"/>
                <w:szCs w:val="18"/>
              </w:rPr>
            </w:pPr>
            <w:r w:rsidRPr="000A53C0">
              <w:rPr>
                <w:rFonts w:cs="Arial"/>
                <w:szCs w:val="18"/>
              </w:rPr>
              <w:t>70%</w:t>
            </w:r>
          </w:p>
        </w:tc>
        <w:tc>
          <w:tcPr>
            <w:tcW w:w="498" w:type="pct"/>
          </w:tcPr>
          <w:p w14:paraId="45803587" w14:textId="77777777" w:rsidR="00425098" w:rsidRPr="000A53C0" w:rsidRDefault="00425098">
            <w:pPr>
              <w:pStyle w:val="TableBody"/>
              <w:jc w:val="center"/>
              <w:rPr>
                <w:rFonts w:cs="Arial"/>
                <w:szCs w:val="18"/>
              </w:rPr>
            </w:pPr>
            <w:r w:rsidRPr="000A53C0">
              <w:rPr>
                <w:rFonts w:cs="Arial"/>
                <w:szCs w:val="18"/>
              </w:rPr>
              <w:t>65%</w:t>
            </w:r>
          </w:p>
        </w:tc>
        <w:tc>
          <w:tcPr>
            <w:tcW w:w="500" w:type="pct"/>
          </w:tcPr>
          <w:p w14:paraId="629264B7" w14:textId="77777777" w:rsidR="00425098" w:rsidRPr="000A53C0" w:rsidRDefault="00425098">
            <w:pPr>
              <w:pStyle w:val="TableBody"/>
              <w:jc w:val="center"/>
              <w:rPr>
                <w:rFonts w:cs="Arial"/>
                <w:szCs w:val="18"/>
              </w:rPr>
            </w:pPr>
            <w:r w:rsidRPr="000A53C0">
              <w:rPr>
                <w:rFonts w:cs="Arial"/>
                <w:szCs w:val="18"/>
              </w:rPr>
              <w:t>60%</w:t>
            </w:r>
          </w:p>
        </w:tc>
        <w:tc>
          <w:tcPr>
            <w:tcW w:w="1893" w:type="pct"/>
          </w:tcPr>
          <w:p w14:paraId="252EB72B" w14:textId="5D402502" w:rsidR="00425098" w:rsidRPr="000A53C0" w:rsidRDefault="00425098" w:rsidP="00766916">
            <w:pPr>
              <w:pStyle w:val="BodyText"/>
              <w:numPr>
                <w:ilvl w:val="0"/>
                <w:numId w:val="36"/>
              </w:numPr>
              <w:spacing w:after="60" w:line="240" w:lineRule="auto"/>
              <w:ind w:left="357" w:hanging="357"/>
              <w:rPr>
                <w:rFonts w:cs="Arial"/>
                <w:color w:val="000000" w:themeColor="text1"/>
                <w:sz w:val="18"/>
                <w:szCs w:val="18"/>
              </w:rPr>
            </w:pPr>
            <w:r w:rsidRPr="000A53C0">
              <w:rPr>
                <w:rFonts w:cs="Arial"/>
                <w:color w:val="auto"/>
                <w:sz w:val="18"/>
                <w:szCs w:val="18"/>
              </w:rPr>
              <w:t>With increasing awareness of risk posed by engineered stone, along with the increase in regulation and the associated costs</w:t>
            </w:r>
            <w:r w:rsidR="00247807" w:rsidRPr="000A53C0">
              <w:rPr>
                <w:rFonts w:cs="Arial"/>
                <w:color w:val="auto"/>
                <w:sz w:val="18"/>
                <w:szCs w:val="18"/>
              </w:rPr>
              <w:t xml:space="preserve"> </w:t>
            </w:r>
            <w:r w:rsidRPr="000A53C0">
              <w:rPr>
                <w:rFonts w:cs="Arial"/>
                <w:color w:val="auto"/>
                <w:sz w:val="18"/>
                <w:szCs w:val="18"/>
              </w:rPr>
              <w:t>(including licensing), it is expected that the majority of other industry PCBUs will no longer work with legacy stone and will refer this work to licensed PCBUs.</w:t>
            </w:r>
          </w:p>
        </w:tc>
      </w:tr>
      <w:tr w:rsidR="00425098" w:rsidRPr="000A53C0" w14:paraId="5AC69A28" w14:textId="77777777">
        <w:trPr>
          <w:trHeight w:val="275"/>
        </w:trPr>
        <w:tc>
          <w:tcPr>
            <w:tcW w:w="778" w:type="pct"/>
          </w:tcPr>
          <w:p w14:paraId="046D812A" w14:textId="77777777" w:rsidR="00425098" w:rsidRPr="000A53C0" w:rsidRDefault="00425098">
            <w:pPr>
              <w:pStyle w:val="TableBody"/>
              <w:rPr>
                <w:rFonts w:cs="Arial"/>
                <w:b/>
                <w:szCs w:val="18"/>
              </w:rPr>
            </w:pPr>
            <w:r w:rsidRPr="000A53C0">
              <w:rPr>
                <w:rFonts w:cs="Arial"/>
                <w:b/>
                <w:szCs w:val="18"/>
              </w:rPr>
              <w:t>Total</w:t>
            </w:r>
          </w:p>
        </w:tc>
        <w:tc>
          <w:tcPr>
            <w:tcW w:w="833" w:type="pct"/>
          </w:tcPr>
          <w:p w14:paraId="7800ED44" w14:textId="77777777" w:rsidR="00425098" w:rsidRPr="000A53C0" w:rsidRDefault="00425098">
            <w:pPr>
              <w:pStyle w:val="TableBody"/>
              <w:rPr>
                <w:rFonts w:cs="Arial"/>
                <w:b/>
                <w:szCs w:val="18"/>
              </w:rPr>
            </w:pPr>
          </w:p>
        </w:tc>
        <w:tc>
          <w:tcPr>
            <w:tcW w:w="498" w:type="pct"/>
          </w:tcPr>
          <w:p w14:paraId="569B2EB5" w14:textId="77777777" w:rsidR="00425098" w:rsidRPr="000A53C0" w:rsidRDefault="00425098">
            <w:pPr>
              <w:pStyle w:val="TableBody"/>
              <w:jc w:val="center"/>
              <w:rPr>
                <w:rFonts w:cs="Arial"/>
                <w:b/>
                <w:szCs w:val="18"/>
              </w:rPr>
            </w:pPr>
            <w:r w:rsidRPr="000A53C0">
              <w:rPr>
                <w:rFonts w:cs="Arial"/>
                <w:b/>
                <w:szCs w:val="18"/>
              </w:rPr>
              <w:t>100%</w:t>
            </w:r>
          </w:p>
        </w:tc>
        <w:tc>
          <w:tcPr>
            <w:tcW w:w="498" w:type="pct"/>
          </w:tcPr>
          <w:p w14:paraId="1A5BA9E7" w14:textId="77777777" w:rsidR="00425098" w:rsidRPr="000A53C0" w:rsidRDefault="00425098">
            <w:pPr>
              <w:pStyle w:val="TableBody"/>
              <w:jc w:val="center"/>
              <w:rPr>
                <w:rFonts w:cs="Arial"/>
                <w:b/>
                <w:szCs w:val="18"/>
              </w:rPr>
            </w:pPr>
            <w:r w:rsidRPr="000A53C0">
              <w:rPr>
                <w:rFonts w:cs="Arial"/>
                <w:b/>
                <w:szCs w:val="18"/>
              </w:rPr>
              <w:t>100%</w:t>
            </w:r>
          </w:p>
        </w:tc>
        <w:tc>
          <w:tcPr>
            <w:tcW w:w="500" w:type="pct"/>
          </w:tcPr>
          <w:p w14:paraId="4991B5B8" w14:textId="77777777" w:rsidR="00425098" w:rsidRPr="000A53C0" w:rsidRDefault="00425098">
            <w:pPr>
              <w:pStyle w:val="TableBody"/>
              <w:jc w:val="center"/>
              <w:rPr>
                <w:rFonts w:cs="Arial"/>
                <w:b/>
                <w:szCs w:val="18"/>
              </w:rPr>
            </w:pPr>
            <w:r w:rsidRPr="000A53C0">
              <w:rPr>
                <w:rFonts w:cs="Arial"/>
                <w:b/>
                <w:szCs w:val="18"/>
              </w:rPr>
              <w:t>100%</w:t>
            </w:r>
          </w:p>
        </w:tc>
        <w:tc>
          <w:tcPr>
            <w:tcW w:w="1893" w:type="pct"/>
          </w:tcPr>
          <w:p w14:paraId="75F53386" w14:textId="77777777" w:rsidR="00425098" w:rsidRPr="000A53C0" w:rsidRDefault="00425098">
            <w:pPr>
              <w:pStyle w:val="BodyText"/>
              <w:spacing w:after="60" w:line="240" w:lineRule="auto"/>
              <w:rPr>
                <w:rFonts w:cs="Arial"/>
                <w:b/>
                <w:color w:val="000000" w:themeColor="text1"/>
                <w:sz w:val="18"/>
                <w:szCs w:val="18"/>
              </w:rPr>
            </w:pPr>
          </w:p>
        </w:tc>
      </w:tr>
    </w:tbl>
    <w:p w14:paraId="1014E1C0" w14:textId="77777777" w:rsidR="00425098" w:rsidRPr="000A53C0" w:rsidRDefault="00425098" w:rsidP="00425098">
      <w:pPr>
        <w:spacing w:after="120" w:line="264" w:lineRule="auto"/>
        <w:rPr>
          <w:rFonts w:cs="Arial"/>
        </w:rPr>
      </w:pPr>
    </w:p>
    <w:p w14:paraId="0C2547D6" w14:textId="38C39812" w:rsidR="00425098" w:rsidRPr="000A53C0" w:rsidRDefault="00425098" w:rsidP="00030457">
      <w:pPr>
        <w:pStyle w:val="Caption"/>
        <w:rPr>
          <w:rFonts w:cs="Arial"/>
        </w:rPr>
      </w:pPr>
      <w:bookmarkStart w:id="228" w:name="_Ref135928839"/>
      <w:r w:rsidRPr="00BD3DF6">
        <w:rPr>
          <w:rFonts w:cs="Arial"/>
          <w:b/>
          <w:bCs/>
        </w:rPr>
        <w:t xml:space="preserve">Table </w:t>
      </w:r>
      <w:r w:rsidRPr="00BD3DF6">
        <w:rPr>
          <w:rFonts w:cs="Arial"/>
          <w:b/>
          <w:bCs/>
        </w:rPr>
        <w:fldChar w:fldCharType="begin"/>
      </w:r>
      <w:r w:rsidRPr="00BD3DF6">
        <w:rPr>
          <w:rFonts w:cs="Arial"/>
          <w:b/>
          <w:bCs/>
        </w:rPr>
        <w:instrText>SEQ Table \* ARABIC</w:instrText>
      </w:r>
      <w:r w:rsidRPr="00BD3DF6">
        <w:rPr>
          <w:rFonts w:cs="Arial"/>
          <w:b/>
          <w:bCs/>
        </w:rPr>
        <w:fldChar w:fldCharType="separate"/>
      </w:r>
      <w:r w:rsidR="00D16271">
        <w:rPr>
          <w:rFonts w:cs="Arial"/>
          <w:b/>
          <w:bCs/>
          <w:noProof/>
        </w:rPr>
        <w:t>24</w:t>
      </w:r>
      <w:r w:rsidRPr="00BD3DF6">
        <w:rPr>
          <w:rFonts w:cs="Arial"/>
          <w:b/>
          <w:bCs/>
        </w:rPr>
        <w:fldChar w:fldCharType="end"/>
      </w:r>
      <w:bookmarkEnd w:id="228"/>
      <w:r w:rsidRPr="000A53C0">
        <w:rPr>
          <w:rFonts w:cs="Arial"/>
        </w:rPr>
        <w:t xml:space="preserve"> Decision Tree Outcomes – Option 1and 3 –workers </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
      </w:tblPr>
      <w:tblGrid>
        <w:gridCol w:w="3105"/>
        <w:gridCol w:w="1799"/>
        <w:gridCol w:w="1799"/>
        <w:gridCol w:w="1639"/>
        <w:gridCol w:w="5226"/>
      </w:tblGrid>
      <w:tr w:rsidR="00425098" w:rsidRPr="000A53C0" w14:paraId="6D6C9DC3" w14:textId="77777777" w:rsidTr="00BD3DF6">
        <w:trPr>
          <w:tblHeader/>
        </w:trPr>
        <w:tc>
          <w:tcPr>
            <w:tcW w:w="1144" w:type="pct"/>
            <w:vMerge w:val="restart"/>
            <w:shd w:val="clear" w:color="auto" w:fill="E81D32"/>
            <w:vAlign w:val="center"/>
          </w:tcPr>
          <w:p w14:paraId="0D41A25B" w14:textId="77777777" w:rsidR="00425098" w:rsidRPr="00BD3DF6" w:rsidRDefault="00425098">
            <w:pPr>
              <w:pStyle w:val="TableHeading"/>
              <w:rPr>
                <w:rFonts w:ascii="Arial" w:hAnsi="Arial" w:cs="Arial"/>
                <w:color w:val="FFFFFF" w:themeColor="background1"/>
              </w:rPr>
            </w:pPr>
            <w:r w:rsidRPr="00BD3DF6">
              <w:rPr>
                <w:rFonts w:ascii="Arial" w:hAnsi="Arial" w:cs="Arial"/>
                <w:color w:val="FFFFFF" w:themeColor="background1"/>
              </w:rPr>
              <w:t>Pathway</w:t>
            </w:r>
          </w:p>
        </w:tc>
        <w:tc>
          <w:tcPr>
            <w:tcW w:w="1930" w:type="pct"/>
            <w:gridSpan w:val="3"/>
            <w:shd w:val="clear" w:color="auto" w:fill="E81D32"/>
          </w:tcPr>
          <w:p w14:paraId="29FE26B8"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Proportion of affected population</w:t>
            </w:r>
          </w:p>
        </w:tc>
        <w:tc>
          <w:tcPr>
            <w:tcW w:w="1926" w:type="pct"/>
            <w:vMerge w:val="restart"/>
            <w:shd w:val="clear" w:color="auto" w:fill="E81D32"/>
            <w:vAlign w:val="center"/>
          </w:tcPr>
          <w:p w14:paraId="16203A63"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Rationale</w:t>
            </w:r>
          </w:p>
        </w:tc>
      </w:tr>
      <w:tr w:rsidR="00425098" w:rsidRPr="000A53C0" w14:paraId="4725DC88" w14:textId="77777777" w:rsidTr="00BD3DF6">
        <w:trPr>
          <w:tblHeader/>
        </w:trPr>
        <w:tc>
          <w:tcPr>
            <w:tcW w:w="1144" w:type="pct"/>
            <w:vMerge/>
            <w:shd w:val="clear" w:color="auto" w:fill="7F7F7F" w:themeFill="text1" w:themeFillTint="80"/>
          </w:tcPr>
          <w:p w14:paraId="7AED2BB6" w14:textId="77777777" w:rsidR="00425098" w:rsidRPr="000A53C0" w:rsidRDefault="00425098">
            <w:pPr>
              <w:pStyle w:val="TableBody"/>
              <w:rPr>
                <w:rFonts w:cs="Arial"/>
                <w:b/>
                <w:color w:val="FFFFFF" w:themeColor="background1"/>
                <w:sz w:val="20"/>
                <w:szCs w:val="20"/>
                <w:lang w:val="en-US"/>
              </w:rPr>
            </w:pPr>
          </w:p>
        </w:tc>
        <w:tc>
          <w:tcPr>
            <w:tcW w:w="663" w:type="pct"/>
            <w:shd w:val="clear" w:color="auto" w:fill="E81D32"/>
          </w:tcPr>
          <w:p w14:paraId="77B2D847" w14:textId="77777777" w:rsidR="00425098" w:rsidRPr="00BD3DF6" w:rsidRDefault="00425098">
            <w:pPr>
              <w:pStyle w:val="TableBody"/>
              <w:jc w:val="center"/>
              <w:rPr>
                <w:rFonts w:cs="Arial"/>
                <w:b/>
                <w:color w:val="FFFFFF" w:themeColor="background1"/>
                <w:sz w:val="20"/>
                <w:szCs w:val="20"/>
                <w:highlight w:val="green"/>
                <w:lang w:val="en-US"/>
              </w:rPr>
            </w:pPr>
            <w:r w:rsidRPr="00BD3DF6">
              <w:rPr>
                <w:rFonts w:cs="Arial"/>
                <w:b/>
                <w:color w:val="FFFFFF" w:themeColor="background1"/>
                <w:sz w:val="20"/>
                <w:szCs w:val="20"/>
                <w:lang w:val="en-US"/>
              </w:rPr>
              <w:t>Sole trader</w:t>
            </w:r>
          </w:p>
        </w:tc>
        <w:tc>
          <w:tcPr>
            <w:tcW w:w="663" w:type="pct"/>
            <w:shd w:val="clear" w:color="auto" w:fill="E81D32"/>
            <w:vAlign w:val="center"/>
          </w:tcPr>
          <w:p w14:paraId="2320230A"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Small</w:t>
            </w:r>
          </w:p>
        </w:tc>
        <w:tc>
          <w:tcPr>
            <w:tcW w:w="604" w:type="pct"/>
            <w:shd w:val="clear" w:color="auto" w:fill="E81D32"/>
            <w:vAlign w:val="center"/>
          </w:tcPr>
          <w:p w14:paraId="22ED0B3B"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Medium</w:t>
            </w:r>
          </w:p>
        </w:tc>
        <w:tc>
          <w:tcPr>
            <w:tcW w:w="1926" w:type="pct"/>
            <w:vMerge/>
            <w:shd w:val="clear" w:color="auto" w:fill="7F7F7F" w:themeFill="text1" w:themeFillTint="80"/>
          </w:tcPr>
          <w:p w14:paraId="7AD48CAE" w14:textId="77777777" w:rsidR="00425098" w:rsidRPr="000A53C0" w:rsidRDefault="00425098">
            <w:pPr>
              <w:pStyle w:val="BodyText"/>
              <w:rPr>
                <w:rFonts w:cs="Arial"/>
              </w:rPr>
            </w:pPr>
          </w:p>
        </w:tc>
      </w:tr>
      <w:tr w:rsidR="00425098" w:rsidRPr="000A53C0" w14:paraId="6B18A594" w14:textId="77777777">
        <w:tc>
          <w:tcPr>
            <w:tcW w:w="1144" w:type="pct"/>
          </w:tcPr>
          <w:p w14:paraId="128A27D9" w14:textId="77777777" w:rsidR="00425098" w:rsidRPr="000A53C0" w:rsidRDefault="00425098">
            <w:pPr>
              <w:pStyle w:val="TableBody"/>
              <w:rPr>
                <w:rFonts w:cs="Arial"/>
                <w:i/>
              </w:rPr>
            </w:pPr>
            <w:r w:rsidRPr="000A53C0">
              <w:rPr>
                <w:rFonts w:cs="Arial"/>
                <w:i/>
              </w:rPr>
              <w:t>Worker is employed in the same or similar industries</w:t>
            </w:r>
          </w:p>
        </w:tc>
        <w:tc>
          <w:tcPr>
            <w:tcW w:w="663" w:type="pct"/>
          </w:tcPr>
          <w:p w14:paraId="59276C86" w14:textId="77777777" w:rsidR="00425098" w:rsidRPr="000A53C0" w:rsidRDefault="00425098">
            <w:pPr>
              <w:pStyle w:val="TableBody"/>
              <w:jc w:val="center"/>
              <w:rPr>
                <w:rFonts w:cs="Arial"/>
              </w:rPr>
            </w:pPr>
            <w:r w:rsidRPr="000A53C0">
              <w:rPr>
                <w:rFonts w:cs="Arial"/>
              </w:rPr>
              <w:t>95%</w:t>
            </w:r>
          </w:p>
        </w:tc>
        <w:tc>
          <w:tcPr>
            <w:tcW w:w="663" w:type="pct"/>
          </w:tcPr>
          <w:p w14:paraId="587B2F76" w14:textId="77777777" w:rsidR="00425098" w:rsidRPr="000A53C0" w:rsidRDefault="00425098">
            <w:pPr>
              <w:pStyle w:val="TableBody"/>
              <w:jc w:val="center"/>
              <w:rPr>
                <w:rFonts w:cs="Arial"/>
              </w:rPr>
            </w:pPr>
            <w:r w:rsidRPr="000A53C0">
              <w:rPr>
                <w:rFonts w:cs="Arial"/>
              </w:rPr>
              <w:t>95%</w:t>
            </w:r>
          </w:p>
        </w:tc>
        <w:tc>
          <w:tcPr>
            <w:tcW w:w="604" w:type="pct"/>
          </w:tcPr>
          <w:p w14:paraId="08D8B975" w14:textId="77777777" w:rsidR="00425098" w:rsidRPr="000A53C0" w:rsidRDefault="00425098">
            <w:pPr>
              <w:pStyle w:val="TableBody"/>
              <w:jc w:val="center"/>
              <w:rPr>
                <w:rFonts w:cs="Arial"/>
              </w:rPr>
            </w:pPr>
            <w:r w:rsidRPr="000A53C0">
              <w:rPr>
                <w:rFonts w:cs="Arial"/>
              </w:rPr>
              <w:t>95%</w:t>
            </w:r>
          </w:p>
        </w:tc>
        <w:tc>
          <w:tcPr>
            <w:tcW w:w="1926" w:type="pct"/>
          </w:tcPr>
          <w:p w14:paraId="7D4F6D14" w14:textId="69C3D14A"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Of those workers affected by a business closure, most  are expected to find employment in related jobs, given the significant demand in the building and construction sector and tight labour market conditions. </w:t>
            </w:r>
          </w:p>
        </w:tc>
      </w:tr>
      <w:tr w:rsidR="00425098" w:rsidRPr="000A53C0" w14:paraId="2E10242D" w14:textId="77777777">
        <w:tc>
          <w:tcPr>
            <w:tcW w:w="1144" w:type="pct"/>
          </w:tcPr>
          <w:p w14:paraId="2B950EC9" w14:textId="77777777" w:rsidR="00425098" w:rsidRPr="000A53C0" w:rsidRDefault="00425098">
            <w:pPr>
              <w:pStyle w:val="TableBody"/>
              <w:rPr>
                <w:rFonts w:cs="Arial"/>
                <w:i/>
              </w:rPr>
            </w:pPr>
            <w:r w:rsidRPr="000A53C0">
              <w:rPr>
                <w:rFonts w:cs="Arial"/>
                <w:i/>
              </w:rPr>
              <w:t>Worker retrains to obtain qualifications for another trade (e.g. cabinet maker)</w:t>
            </w:r>
          </w:p>
        </w:tc>
        <w:tc>
          <w:tcPr>
            <w:tcW w:w="663" w:type="pct"/>
          </w:tcPr>
          <w:p w14:paraId="1064FDC7" w14:textId="77777777" w:rsidR="00425098" w:rsidRPr="000A53C0" w:rsidRDefault="00425098">
            <w:pPr>
              <w:pStyle w:val="TableBody"/>
              <w:jc w:val="center"/>
              <w:rPr>
                <w:rFonts w:cs="Arial"/>
              </w:rPr>
            </w:pPr>
            <w:r w:rsidRPr="000A53C0">
              <w:rPr>
                <w:rFonts w:cs="Arial"/>
              </w:rPr>
              <w:t>3%</w:t>
            </w:r>
          </w:p>
        </w:tc>
        <w:tc>
          <w:tcPr>
            <w:tcW w:w="663" w:type="pct"/>
          </w:tcPr>
          <w:p w14:paraId="0D687D15" w14:textId="77777777" w:rsidR="00425098" w:rsidRPr="000A53C0" w:rsidRDefault="00425098">
            <w:pPr>
              <w:pStyle w:val="TableBody"/>
              <w:jc w:val="center"/>
              <w:rPr>
                <w:rFonts w:cs="Arial"/>
              </w:rPr>
            </w:pPr>
            <w:r w:rsidRPr="000A53C0">
              <w:rPr>
                <w:rFonts w:cs="Arial"/>
              </w:rPr>
              <w:t>3%</w:t>
            </w:r>
          </w:p>
        </w:tc>
        <w:tc>
          <w:tcPr>
            <w:tcW w:w="604" w:type="pct"/>
          </w:tcPr>
          <w:p w14:paraId="7C935489" w14:textId="77777777" w:rsidR="00425098" w:rsidRPr="000A53C0" w:rsidRDefault="00425098">
            <w:pPr>
              <w:pStyle w:val="TableBody"/>
              <w:jc w:val="center"/>
              <w:rPr>
                <w:rFonts w:cs="Arial"/>
              </w:rPr>
            </w:pPr>
            <w:r w:rsidRPr="000A53C0">
              <w:rPr>
                <w:rFonts w:cs="Arial"/>
              </w:rPr>
              <w:t>3%</w:t>
            </w:r>
          </w:p>
        </w:tc>
        <w:tc>
          <w:tcPr>
            <w:tcW w:w="1926" w:type="pct"/>
          </w:tcPr>
          <w:p w14:paraId="3B1EF7AB"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Some workers may use the opportunity of loss of work to retrain and take up a new trade or apprenticeship.</w:t>
            </w:r>
          </w:p>
        </w:tc>
      </w:tr>
      <w:tr w:rsidR="00425098" w:rsidRPr="000A53C0" w14:paraId="3015F1AC" w14:textId="77777777">
        <w:tc>
          <w:tcPr>
            <w:tcW w:w="1144" w:type="pct"/>
          </w:tcPr>
          <w:p w14:paraId="3C48B002" w14:textId="77777777" w:rsidR="00425098" w:rsidRPr="000A53C0" w:rsidRDefault="00425098">
            <w:pPr>
              <w:pStyle w:val="TableBody"/>
              <w:rPr>
                <w:rFonts w:cs="Arial"/>
              </w:rPr>
            </w:pPr>
            <w:r w:rsidRPr="000A53C0">
              <w:rPr>
                <w:rFonts w:cs="Arial"/>
                <w:i/>
              </w:rPr>
              <w:t>Worker leaves the labour force</w:t>
            </w:r>
          </w:p>
        </w:tc>
        <w:tc>
          <w:tcPr>
            <w:tcW w:w="663" w:type="pct"/>
          </w:tcPr>
          <w:p w14:paraId="4B951883" w14:textId="77777777" w:rsidR="00425098" w:rsidRPr="000A53C0" w:rsidRDefault="00425098">
            <w:pPr>
              <w:pStyle w:val="TableBody"/>
              <w:jc w:val="center"/>
              <w:rPr>
                <w:rFonts w:cs="Arial"/>
              </w:rPr>
            </w:pPr>
            <w:r w:rsidRPr="000A53C0">
              <w:rPr>
                <w:rFonts w:cs="Arial"/>
              </w:rPr>
              <w:t>2%</w:t>
            </w:r>
          </w:p>
        </w:tc>
        <w:tc>
          <w:tcPr>
            <w:tcW w:w="663" w:type="pct"/>
          </w:tcPr>
          <w:p w14:paraId="31DA46FD" w14:textId="77777777" w:rsidR="00425098" w:rsidRPr="000A53C0" w:rsidRDefault="00425098">
            <w:pPr>
              <w:pStyle w:val="TableBody"/>
              <w:jc w:val="center"/>
              <w:rPr>
                <w:rFonts w:cs="Arial"/>
              </w:rPr>
            </w:pPr>
            <w:r w:rsidRPr="000A53C0">
              <w:rPr>
                <w:rFonts w:cs="Arial"/>
              </w:rPr>
              <w:t>2%</w:t>
            </w:r>
          </w:p>
        </w:tc>
        <w:tc>
          <w:tcPr>
            <w:tcW w:w="604" w:type="pct"/>
          </w:tcPr>
          <w:p w14:paraId="1DE212E2" w14:textId="77777777" w:rsidR="00425098" w:rsidRPr="000A53C0" w:rsidRDefault="00425098">
            <w:pPr>
              <w:pStyle w:val="TableBody"/>
              <w:jc w:val="center"/>
              <w:rPr>
                <w:rFonts w:cs="Arial"/>
              </w:rPr>
            </w:pPr>
            <w:r w:rsidRPr="000A53C0">
              <w:rPr>
                <w:rFonts w:cs="Arial"/>
              </w:rPr>
              <w:t>2%</w:t>
            </w:r>
          </w:p>
        </w:tc>
        <w:tc>
          <w:tcPr>
            <w:tcW w:w="1926" w:type="pct"/>
          </w:tcPr>
          <w:p w14:paraId="04FB19B5"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Some workers, particularly those close to retirement, may leave the labour force. </w:t>
            </w:r>
          </w:p>
        </w:tc>
      </w:tr>
      <w:tr w:rsidR="00425098" w:rsidRPr="000A53C0" w14:paraId="46110D40" w14:textId="77777777">
        <w:tc>
          <w:tcPr>
            <w:tcW w:w="1144" w:type="pct"/>
          </w:tcPr>
          <w:p w14:paraId="54E520CF" w14:textId="77777777" w:rsidR="00425098" w:rsidRPr="000A53C0" w:rsidRDefault="00425098">
            <w:pPr>
              <w:pStyle w:val="TableBody"/>
              <w:rPr>
                <w:rFonts w:cs="Arial"/>
                <w:b/>
              </w:rPr>
            </w:pPr>
            <w:r w:rsidRPr="000A53C0">
              <w:rPr>
                <w:rFonts w:cs="Arial"/>
                <w:b/>
              </w:rPr>
              <w:t>Total</w:t>
            </w:r>
          </w:p>
        </w:tc>
        <w:tc>
          <w:tcPr>
            <w:tcW w:w="663" w:type="pct"/>
          </w:tcPr>
          <w:p w14:paraId="7528906B" w14:textId="77777777" w:rsidR="00425098" w:rsidRPr="000A53C0" w:rsidRDefault="00425098">
            <w:pPr>
              <w:pStyle w:val="TableBody"/>
              <w:jc w:val="center"/>
              <w:rPr>
                <w:rFonts w:cs="Arial"/>
                <w:b/>
              </w:rPr>
            </w:pPr>
            <w:r w:rsidRPr="000A53C0">
              <w:rPr>
                <w:rFonts w:cs="Arial"/>
                <w:b/>
              </w:rPr>
              <w:t>100%</w:t>
            </w:r>
          </w:p>
        </w:tc>
        <w:tc>
          <w:tcPr>
            <w:tcW w:w="663" w:type="pct"/>
          </w:tcPr>
          <w:p w14:paraId="3039564D" w14:textId="77777777" w:rsidR="00425098" w:rsidRPr="000A53C0" w:rsidRDefault="00425098">
            <w:pPr>
              <w:pStyle w:val="TableBody"/>
              <w:jc w:val="center"/>
              <w:rPr>
                <w:rFonts w:cs="Arial"/>
                <w:b/>
              </w:rPr>
            </w:pPr>
            <w:r w:rsidRPr="000A53C0">
              <w:rPr>
                <w:rFonts w:cs="Arial"/>
                <w:b/>
              </w:rPr>
              <w:t>100%</w:t>
            </w:r>
          </w:p>
        </w:tc>
        <w:tc>
          <w:tcPr>
            <w:tcW w:w="604" w:type="pct"/>
          </w:tcPr>
          <w:p w14:paraId="22B0A483" w14:textId="77777777" w:rsidR="00425098" w:rsidRPr="000A53C0" w:rsidRDefault="00425098">
            <w:pPr>
              <w:pStyle w:val="TableBody"/>
              <w:jc w:val="center"/>
              <w:rPr>
                <w:rFonts w:cs="Arial"/>
                <w:b/>
              </w:rPr>
            </w:pPr>
            <w:r w:rsidRPr="000A53C0">
              <w:rPr>
                <w:rFonts w:cs="Arial"/>
                <w:b/>
              </w:rPr>
              <w:t>100%</w:t>
            </w:r>
          </w:p>
        </w:tc>
        <w:tc>
          <w:tcPr>
            <w:tcW w:w="1926" w:type="pct"/>
          </w:tcPr>
          <w:p w14:paraId="6DA3F593" w14:textId="77777777" w:rsidR="00425098" w:rsidRPr="000A53C0" w:rsidRDefault="00425098">
            <w:pPr>
              <w:pStyle w:val="TableBody"/>
              <w:rPr>
                <w:rFonts w:cs="Arial"/>
                <w:b/>
              </w:rPr>
            </w:pPr>
          </w:p>
        </w:tc>
      </w:tr>
    </w:tbl>
    <w:p w14:paraId="17362C0A" w14:textId="77777777" w:rsidR="00425098" w:rsidRPr="000A53C0" w:rsidRDefault="00425098" w:rsidP="00425098">
      <w:pPr>
        <w:spacing w:after="120" w:line="264" w:lineRule="auto"/>
        <w:rPr>
          <w:rFonts w:cs="Arial"/>
        </w:rPr>
      </w:pPr>
    </w:p>
    <w:p w14:paraId="144442AB" w14:textId="201A8DB7" w:rsidR="00425098" w:rsidRPr="000A53C0" w:rsidRDefault="002D500D" w:rsidP="00D657D6">
      <w:pPr>
        <w:pStyle w:val="App3"/>
        <w:rPr>
          <w:rFonts w:cs="Arial"/>
        </w:rPr>
      </w:pPr>
      <w:r w:rsidRPr="000A53C0">
        <w:rPr>
          <w:rFonts w:cs="Arial"/>
        </w:rPr>
        <w:lastRenderedPageBreak/>
        <w:t>B.</w:t>
      </w:r>
      <w:r w:rsidR="00425098" w:rsidRPr="000A53C0">
        <w:rPr>
          <w:rFonts w:cs="Arial"/>
        </w:rPr>
        <w:t>7.3 Decision tree outcomes</w:t>
      </w:r>
      <w:r w:rsidR="00716B06">
        <w:rPr>
          <w:rFonts w:cs="Arial"/>
        </w:rPr>
        <w:t xml:space="preserve">: </w:t>
      </w:r>
      <w:r w:rsidR="00425098" w:rsidRPr="000A53C0">
        <w:rPr>
          <w:rFonts w:cs="Arial"/>
        </w:rPr>
        <w:t xml:space="preserve">Option 2 </w:t>
      </w:r>
    </w:p>
    <w:p w14:paraId="4EB43EE3" w14:textId="1293D82C" w:rsidR="00E74286" w:rsidRDefault="00425098" w:rsidP="00A62535">
      <w:pPr>
        <w:pStyle w:val="BodyText"/>
        <w:rPr>
          <w:rFonts w:cs="Arial"/>
        </w:rPr>
      </w:pPr>
      <w:r w:rsidRPr="000A53C0">
        <w:rPr>
          <w:rFonts w:cs="Arial"/>
        </w:rPr>
        <w:t>The outcomes of the decision tree for engineered stone PCBUs (</w:t>
      </w:r>
      <w:r w:rsidR="00932B05" w:rsidRPr="000A53C0">
        <w:rPr>
          <w:rFonts w:cs="Arial"/>
        </w:rPr>
        <w:fldChar w:fldCharType="begin" w:fldLock="1"/>
      </w:r>
      <w:r w:rsidR="00932B05" w:rsidRPr="000A53C0">
        <w:rPr>
          <w:rFonts w:cs="Arial"/>
        </w:rPr>
        <w:instrText xml:space="preserve"> REF _Ref140676484 \h </w:instrText>
      </w:r>
      <w:r w:rsidR="000A53C0">
        <w:rPr>
          <w:rFonts w:cs="Arial"/>
        </w:rPr>
        <w:instrText xml:space="preserve"> \* MERGEFORMAT </w:instrText>
      </w:r>
      <w:r w:rsidR="00932B05" w:rsidRPr="000A53C0">
        <w:rPr>
          <w:rFonts w:cs="Arial"/>
        </w:rPr>
      </w:r>
      <w:r w:rsidR="00932B05" w:rsidRPr="000A53C0">
        <w:rPr>
          <w:rFonts w:cs="Arial"/>
        </w:rPr>
        <w:fldChar w:fldCharType="separate"/>
      </w:r>
      <w:r w:rsidR="00D16271" w:rsidRPr="00D16271">
        <w:rPr>
          <w:rFonts w:cs="Arial"/>
        </w:rPr>
        <w:t xml:space="preserve">Figure </w:t>
      </w:r>
      <w:r w:rsidR="00D16271" w:rsidRPr="00D16271">
        <w:rPr>
          <w:rFonts w:eastAsiaTheme="majorEastAsia" w:cs="Arial"/>
          <w:noProof/>
          <w:szCs w:val="20"/>
        </w:rPr>
        <w:t>6</w:t>
      </w:r>
      <w:r w:rsidR="00932B05" w:rsidRPr="000A53C0">
        <w:rPr>
          <w:rFonts w:cs="Arial"/>
        </w:rPr>
        <w:fldChar w:fldCharType="end"/>
      </w:r>
      <w:r w:rsidRPr="000A53C0">
        <w:rPr>
          <w:rFonts w:cs="Arial"/>
        </w:rPr>
        <w:t xml:space="preserve">) </w:t>
      </w:r>
      <w:r w:rsidR="00BE1742" w:rsidRPr="000A53C0">
        <w:rPr>
          <w:rFonts w:cs="Arial"/>
        </w:rPr>
        <w:t>under Option 2</w:t>
      </w:r>
      <w:r w:rsidRPr="000A53C0">
        <w:rPr>
          <w:rFonts w:cs="Arial"/>
        </w:rPr>
        <w:t xml:space="preserve"> resulted in no </w:t>
      </w:r>
      <w:r w:rsidR="00BE1742" w:rsidRPr="000A53C0">
        <w:rPr>
          <w:rFonts w:cs="Arial"/>
        </w:rPr>
        <w:t>closures of</w:t>
      </w:r>
      <w:r w:rsidRPr="000A53C0">
        <w:rPr>
          <w:rFonts w:cs="Arial"/>
        </w:rPr>
        <w:t xml:space="preserve"> </w:t>
      </w:r>
      <w:r w:rsidR="00BE1742" w:rsidRPr="000A53C0">
        <w:rPr>
          <w:rFonts w:cs="Arial"/>
        </w:rPr>
        <w:t xml:space="preserve">ES PCBUs </w:t>
      </w:r>
      <w:r w:rsidR="00D810E8" w:rsidRPr="000A53C0">
        <w:rPr>
          <w:rFonts w:cs="Arial"/>
        </w:rPr>
        <w:t xml:space="preserve">(see </w:t>
      </w:r>
      <w:r w:rsidR="00D810E8" w:rsidRPr="000A53C0">
        <w:rPr>
          <w:rFonts w:cs="Arial"/>
        </w:rPr>
        <w:fldChar w:fldCharType="begin" w:fldLock="1"/>
      </w:r>
      <w:r w:rsidR="00D810E8" w:rsidRPr="000A53C0">
        <w:rPr>
          <w:rFonts w:cs="Arial"/>
        </w:rPr>
        <w:instrText xml:space="preserve"> REF _Ref140678474 \h </w:instrText>
      </w:r>
      <w:r w:rsidR="000A53C0">
        <w:rPr>
          <w:rFonts w:cs="Arial"/>
        </w:rPr>
        <w:instrText xml:space="preserve"> \* MERGEFORMAT </w:instrText>
      </w:r>
      <w:r w:rsidR="00D810E8" w:rsidRPr="000A53C0">
        <w:rPr>
          <w:rFonts w:cs="Arial"/>
        </w:rPr>
      </w:r>
      <w:r w:rsidR="00D810E8" w:rsidRPr="000A53C0">
        <w:rPr>
          <w:rFonts w:cs="Arial"/>
        </w:rPr>
        <w:fldChar w:fldCharType="separate"/>
      </w:r>
      <w:r w:rsidR="00D16271" w:rsidRPr="00D16271">
        <w:rPr>
          <w:rFonts w:cs="Arial"/>
        </w:rPr>
        <w:t xml:space="preserve">Table </w:t>
      </w:r>
      <w:r w:rsidR="00D16271" w:rsidRPr="00D16271">
        <w:rPr>
          <w:rFonts w:cs="Arial"/>
          <w:noProof/>
        </w:rPr>
        <w:t>25</w:t>
      </w:r>
      <w:r w:rsidR="00D810E8" w:rsidRPr="000A53C0">
        <w:rPr>
          <w:rFonts w:cs="Arial"/>
        </w:rPr>
        <w:fldChar w:fldCharType="end"/>
      </w:r>
      <w:r w:rsidR="00BE1742" w:rsidRPr="000A53C0">
        <w:rPr>
          <w:rFonts w:cs="Arial"/>
        </w:rPr>
        <w:t xml:space="preserve"> </w:t>
      </w:r>
      <w:r w:rsidR="00D810E8" w:rsidRPr="000A53C0">
        <w:rPr>
          <w:rFonts w:cs="Arial"/>
        </w:rPr>
        <w:t>below). This is a result of</w:t>
      </w:r>
      <w:r w:rsidRPr="000A53C0">
        <w:rPr>
          <w:rFonts w:cs="Arial"/>
        </w:rPr>
        <w:t xml:space="preserve"> the expected market availability of lower silica engineered stone</w:t>
      </w:r>
      <w:r w:rsidR="00D810E8" w:rsidRPr="000A53C0">
        <w:rPr>
          <w:rFonts w:cs="Arial"/>
        </w:rPr>
        <w:t xml:space="preserve">. The outcome of this is </w:t>
      </w:r>
      <w:r w:rsidR="00882AFF" w:rsidRPr="000A53C0">
        <w:rPr>
          <w:rFonts w:cs="Arial"/>
        </w:rPr>
        <w:t>that</w:t>
      </w:r>
      <w:r w:rsidRPr="000A53C0">
        <w:rPr>
          <w:rFonts w:cs="Arial"/>
        </w:rPr>
        <w:t xml:space="preserve"> there is no </w:t>
      </w:r>
      <w:r w:rsidR="00882AFF" w:rsidRPr="000A53C0">
        <w:rPr>
          <w:rFonts w:cs="Arial"/>
        </w:rPr>
        <w:t xml:space="preserve">expected </w:t>
      </w:r>
      <w:r w:rsidRPr="000A53C0">
        <w:rPr>
          <w:rFonts w:cs="Arial"/>
        </w:rPr>
        <w:t xml:space="preserve">worker displacement </w:t>
      </w:r>
      <w:r w:rsidR="00032228" w:rsidRPr="000A53C0">
        <w:rPr>
          <w:rFonts w:cs="Arial"/>
        </w:rPr>
        <w:t xml:space="preserve">and </w:t>
      </w:r>
      <w:r w:rsidRPr="000A53C0">
        <w:rPr>
          <w:rFonts w:cs="Arial"/>
        </w:rPr>
        <w:t xml:space="preserve">no need to consider the outcomes for workers under this option.  </w:t>
      </w:r>
    </w:p>
    <w:p w14:paraId="60AA0098" w14:textId="25C0A2A5" w:rsidR="00BE1742" w:rsidRPr="000A53C0" w:rsidRDefault="00BE1742" w:rsidP="00A62535">
      <w:pPr>
        <w:pStyle w:val="BodyText"/>
        <w:rPr>
          <w:rFonts w:cs="Arial"/>
        </w:rPr>
      </w:pPr>
      <w:r w:rsidRPr="000A53C0">
        <w:rPr>
          <w:rFonts w:cs="Arial"/>
        </w:rPr>
        <w:t xml:space="preserve">Decision tree outcomes for other industry PCBUs were consistent across all three options and are described in </w:t>
      </w:r>
      <w:r w:rsidRPr="000A53C0">
        <w:rPr>
          <w:rFonts w:cs="Arial"/>
          <w:highlight w:val="yellow"/>
        </w:rPr>
        <w:fldChar w:fldCharType="begin" w:fldLock="1"/>
      </w:r>
      <w:r w:rsidRPr="000A53C0">
        <w:rPr>
          <w:rFonts w:cs="Arial"/>
          <w:highlight w:val="yellow"/>
        </w:rPr>
        <w:instrText xml:space="preserve"> REF _Ref140676326 \h </w:instrText>
      </w:r>
      <w:r w:rsidR="000A53C0">
        <w:rPr>
          <w:rFonts w:cs="Arial"/>
          <w:highlight w:val="yellow"/>
        </w:rPr>
        <w:instrText xml:space="preserve"> \* MERGEFORMAT </w:instrText>
      </w:r>
      <w:r w:rsidRPr="000A53C0">
        <w:rPr>
          <w:rFonts w:cs="Arial"/>
          <w:highlight w:val="yellow"/>
        </w:rPr>
      </w:r>
      <w:r w:rsidRPr="000A53C0">
        <w:rPr>
          <w:rFonts w:cs="Arial"/>
          <w:highlight w:val="yellow"/>
        </w:rPr>
        <w:fldChar w:fldCharType="separate"/>
      </w:r>
      <w:r w:rsidR="00D16271" w:rsidRPr="00D16271">
        <w:rPr>
          <w:rFonts w:cs="Arial"/>
        </w:rPr>
        <w:t xml:space="preserve">Table </w:t>
      </w:r>
      <w:r w:rsidR="00D16271" w:rsidRPr="00D16271">
        <w:rPr>
          <w:rFonts w:cs="Arial"/>
          <w:noProof/>
        </w:rPr>
        <w:t>23</w:t>
      </w:r>
      <w:r w:rsidRPr="000A53C0">
        <w:rPr>
          <w:rFonts w:cs="Arial"/>
          <w:highlight w:val="yellow"/>
        </w:rPr>
        <w:fldChar w:fldCharType="end"/>
      </w:r>
      <w:r w:rsidRPr="000A53C0">
        <w:rPr>
          <w:rFonts w:cs="Arial"/>
        </w:rPr>
        <w:t xml:space="preserve">. </w:t>
      </w:r>
    </w:p>
    <w:p w14:paraId="25106F56" w14:textId="77777777" w:rsidR="00BE1742" w:rsidRPr="000A53C0" w:rsidRDefault="00BE1742" w:rsidP="00425098">
      <w:pPr>
        <w:pStyle w:val="BodyText"/>
        <w:spacing w:after="0"/>
        <w:rPr>
          <w:rFonts w:cs="Arial"/>
        </w:rPr>
      </w:pPr>
    </w:p>
    <w:p w14:paraId="0131CC13" w14:textId="2D119FEC" w:rsidR="00425098" w:rsidRPr="000A53C0" w:rsidRDefault="00425098" w:rsidP="00030457">
      <w:pPr>
        <w:pStyle w:val="Caption"/>
        <w:rPr>
          <w:rFonts w:cs="Arial"/>
        </w:rPr>
      </w:pPr>
      <w:bookmarkStart w:id="229" w:name="_Ref140678474"/>
      <w:bookmarkStart w:id="230" w:name="_Ref140678469"/>
      <w:r w:rsidRPr="00BD3DF6">
        <w:rPr>
          <w:rFonts w:cs="Arial"/>
          <w:b/>
          <w:bCs/>
        </w:rPr>
        <w:t xml:space="preserve">Table </w:t>
      </w:r>
      <w:r w:rsidRPr="00BD3DF6">
        <w:rPr>
          <w:rFonts w:cs="Arial"/>
          <w:b/>
          <w:bCs/>
        </w:rPr>
        <w:fldChar w:fldCharType="begin"/>
      </w:r>
      <w:r w:rsidRPr="00BD3DF6">
        <w:rPr>
          <w:rFonts w:cs="Arial"/>
          <w:b/>
          <w:bCs/>
        </w:rPr>
        <w:instrText>SEQ Table \* ARABIC</w:instrText>
      </w:r>
      <w:r w:rsidRPr="00BD3DF6">
        <w:rPr>
          <w:rFonts w:cs="Arial"/>
          <w:b/>
          <w:bCs/>
        </w:rPr>
        <w:fldChar w:fldCharType="separate"/>
      </w:r>
      <w:r w:rsidR="00D16271">
        <w:rPr>
          <w:rFonts w:cs="Arial"/>
          <w:b/>
          <w:bCs/>
          <w:noProof/>
        </w:rPr>
        <w:t>25</w:t>
      </w:r>
      <w:r w:rsidRPr="00BD3DF6">
        <w:rPr>
          <w:rFonts w:cs="Arial"/>
          <w:b/>
          <w:bCs/>
        </w:rPr>
        <w:fldChar w:fldCharType="end"/>
      </w:r>
      <w:bookmarkEnd w:id="229"/>
      <w:r w:rsidRPr="000A53C0">
        <w:rPr>
          <w:rFonts w:cs="Arial"/>
        </w:rPr>
        <w:t xml:space="preserve"> Decision tree outcomes – Option 2 – engineered stone PCBUs</w:t>
      </w:r>
      <w:bookmarkEnd w:id="230"/>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
      </w:tblPr>
      <w:tblGrid>
        <w:gridCol w:w="2413"/>
        <w:gridCol w:w="1623"/>
        <w:gridCol w:w="1381"/>
        <w:gridCol w:w="71"/>
        <w:gridCol w:w="1454"/>
        <w:gridCol w:w="141"/>
        <w:gridCol w:w="1313"/>
        <w:gridCol w:w="5172"/>
      </w:tblGrid>
      <w:tr w:rsidR="00425098" w:rsidRPr="000A53C0" w14:paraId="14C06B53" w14:textId="77777777" w:rsidTr="00BD3DF6">
        <w:trPr>
          <w:tblHeader/>
        </w:trPr>
        <w:tc>
          <w:tcPr>
            <w:tcW w:w="889" w:type="pct"/>
            <w:vMerge w:val="restart"/>
            <w:shd w:val="clear" w:color="auto" w:fill="E81D32"/>
            <w:vAlign w:val="center"/>
          </w:tcPr>
          <w:p w14:paraId="6E6E9BDD"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Decision</w:t>
            </w:r>
          </w:p>
        </w:tc>
        <w:tc>
          <w:tcPr>
            <w:tcW w:w="598" w:type="pct"/>
            <w:vMerge w:val="restart"/>
            <w:shd w:val="clear" w:color="auto" w:fill="E81D32"/>
            <w:vAlign w:val="center"/>
          </w:tcPr>
          <w:p w14:paraId="245E5883"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Impact</w:t>
            </w:r>
          </w:p>
        </w:tc>
        <w:tc>
          <w:tcPr>
            <w:tcW w:w="1607" w:type="pct"/>
            <w:gridSpan w:val="5"/>
            <w:shd w:val="clear" w:color="auto" w:fill="E81D32"/>
            <w:vAlign w:val="center"/>
          </w:tcPr>
          <w:p w14:paraId="527655E8"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Proportion of population</w:t>
            </w:r>
          </w:p>
        </w:tc>
        <w:tc>
          <w:tcPr>
            <w:tcW w:w="1906" w:type="pct"/>
            <w:vMerge w:val="restart"/>
            <w:shd w:val="clear" w:color="auto" w:fill="E81D32"/>
            <w:vAlign w:val="center"/>
          </w:tcPr>
          <w:p w14:paraId="20CA8797" w14:textId="77777777" w:rsidR="00425098" w:rsidRPr="00BD3DF6" w:rsidRDefault="00425098">
            <w:pPr>
              <w:pStyle w:val="TableHeading"/>
              <w:jc w:val="center"/>
              <w:rPr>
                <w:rFonts w:ascii="Arial" w:hAnsi="Arial" w:cs="Arial"/>
                <w:color w:val="FFFFFF" w:themeColor="background1"/>
              </w:rPr>
            </w:pPr>
            <w:r w:rsidRPr="00BD3DF6">
              <w:rPr>
                <w:rFonts w:ascii="Arial" w:hAnsi="Arial" w:cs="Arial"/>
                <w:color w:val="FFFFFF" w:themeColor="background1"/>
              </w:rPr>
              <w:t>Rationale</w:t>
            </w:r>
          </w:p>
        </w:tc>
      </w:tr>
      <w:tr w:rsidR="00425098" w:rsidRPr="000A53C0" w14:paraId="1C6F4E27" w14:textId="77777777" w:rsidTr="00BD3DF6">
        <w:trPr>
          <w:tblHeader/>
        </w:trPr>
        <w:tc>
          <w:tcPr>
            <w:tcW w:w="889" w:type="pct"/>
            <w:vMerge/>
          </w:tcPr>
          <w:p w14:paraId="34E1FCDC" w14:textId="77777777" w:rsidR="00425098" w:rsidRPr="000A53C0" w:rsidRDefault="00425098">
            <w:pPr>
              <w:pStyle w:val="TableBody"/>
              <w:rPr>
                <w:rFonts w:cs="Arial"/>
                <w:i/>
              </w:rPr>
            </w:pPr>
          </w:p>
        </w:tc>
        <w:tc>
          <w:tcPr>
            <w:tcW w:w="598" w:type="pct"/>
            <w:vMerge/>
          </w:tcPr>
          <w:p w14:paraId="5CAE561E" w14:textId="77777777" w:rsidR="00425098" w:rsidRPr="000A53C0" w:rsidRDefault="00425098">
            <w:pPr>
              <w:pStyle w:val="TableBody"/>
              <w:rPr>
                <w:rFonts w:cs="Arial"/>
              </w:rPr>
            </w:pPr>
          </w:p>
        </w:tc>
        <w:tc>
          <w:tcPr>
            <w:tcW w:w="535" w:type="pct"/>
            <w:gridSpan w:val="2"/>
            <w:shd w:val="clear" w:color="auto" w:fill="E81D32"/>
            <w:vAlign w:val="center"/>
          </w:tcPr>
          <w:p w14:paraId="272AA0B4"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Sole trader</w:t>
            </w:r>
          </w:p>
        </w:tc>
        <w:tc>
          <w:tcPr>
            <w:tcW w:w="536" w:type="pct"/>
            <w:shd w:val="clear" w:color="auto" w:fill="E81D32"/>
            <w:vAlign w:val="center"/>
          </w:tcPr>
          <w:p w14:paraId="2963F122"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Small</w:t>
            </w:r>
          </w:p>
        </w:tc>
        <w:tc>
          <w:tcPr>
            <w:tcW w:w="536" w:type="pct"/>
            <w:gridSpan w:val="2"/>
            <w:shd w:val="clear" w:color="auto" w:fill="E81D32"/>
            <w:vAlign w:val="center"/>
          </w:tcPr>
          <w:p w14:paraId="7A2673B9" w14:textId="77777777" w:rsidR="00425098" w:rsidRPr="00BD3DF6" w:rsidRDefault="00425098">
            <w:pPr>
              <w:pStyle w:val="TableBody"/>
              <w:jc w:val="center"/>
              <w:rPr>
                <w:rFonts w:cs="Arial"/>
                <w:b/>
                <w:color w:val="FFFFFF" w:themeColor="background1"/>
                <w:sz w:val="20"/>
                <w:szCs w:val="20"/>
                <w:lang w:val="en-US"/>
              </w:rPr>
            </w:pPr>
            <w:r w:rsidRPr="00BD3DF6">
              <w:rPr>
                <w:rFonts w:cs="Arial"/>
                <w:b/>
                <w:color w:val="FFFFFF" w:themeColor="background1"/>
                <w:sz w:val="20"/>
                <w:szCs w:val="20"/>
                <w:lang w:val="en-US"/>
              </w:rPr>
              <w:t>Medium</w:t>
            </w:r>
          </w:p>
        </w:tc>
        <w:tc>
          <w:tcPr>
            <w:tcW w:w="1906" w:type="pct"/>
            <w:vMerge/>
          </w:tcPr>
          <w:p w14:paraId="30328043" w14:textId="77777777" w:rsidR="00425098" w:rsidRPr="000A53C0" w:rsidRDefault="00425098">
            <w:pPr>
              <w:pStyle w:val="BodyText"/>
              <w:rPr>
                <w:rFonts w:cs="Arial"/>
              </w:rPr>
            </w:pPr>
          </w:p>
        </w:tc>
      </w:tr>
      <w:tr w:rsidR="00425098" w:rsidRPr="000A53C0" w14:paraId="6E9A5996" w14:textId="77777777">
        <w:trPr>
          <w:trHeight w:val="275"/>
        </w:trPr>
        <w:tc>
          <w:tcPr>
            <w:tcW w:w="889" w:type="pct"/>
          </w:tcPr>
          <w:p w14:paraId="7515F067" w14:textId="77777777" w:rsidR="00425098" w:rsidRPr="000A53C0" w:rsidRDefault="00425098">
            <w:pPr>
              <w:pStyle w:val="TableBody"/>
              <w:rPr>
                <w:rFonts w:cs="Arial"/>
                <w:i/>
              </w:rPr>
            </w:pPr>
            <w:r w:rsidRPr="000A53C0">
              <w:rPr>
                <w:rFonts w:cs="Arial"/>
                <w:i/>
              </w:rPr>
              <w:t>Continue operating by switching to alternative products</w:t>
            </w:r>
          </w:p>
        </w:tc>
        <w:tc>
          <w:tcPr>
            <w:tcW w:w="598" w:type="pct"/>
          </w:tcPr>
          <w:p w14:paraId="65B48F22" w14:textId="77777777" w:rsidR="00425098" w:rsidRPr="000A53C0" w:rsidRDefault="00425098">
            <w:pPr>
              <w:pStyle w:val="TableBody"/>
              <w:rPr>
                <w:rFonts w:cs="Arial"/>
              </w:rPr>
            </w:pPr>
            <w:r w:rsidRPr="000A53C0">
              <w:rPr>
                <w:rFonts w:cs="Arial"/>
              </w:rPr>
              <w:t>Purchase new equipment to switch to non-stone product (e.g. laminate)</w:t>
            </w:r>
          </w:p>
        </w:tc>
        <w:tc>
          <w:tcPr>
            <w:tcW w:w="509" w:type="pct"/>
          </w:tcPr>
          <w:p w14:paraId="5AE404F5" w14:textId="77777777" w:rsidR="00425098" w:rsidRPr="000A53C0" w:rsidRDefault="00425098">
            <w:pPr>
              <w:pStyle w:val="TableBody"/>
              <w:jc w:val="center"/>
              <w:rPr>
                <w:rFonts w:cs="Arial"/>
              </w:rPr>
            </w:pPr>
            <w:r w:rsidRPr="000A53C0">
              <w:rPr>
                <w:rFonts w:cs="Arial"/>
              </w:rPr>
              <w:t>0%</w:t>
            </w:r>
          </w:p>
        </w:tc>
        <w:tc>
          <w:tcPr>
            <w:tcW w:w="614" w:type="pct"/>
            <w:gridSpan w:val="3"/>
          </w:tcPr>
          <w:p w14:paraId="789F23A3" w14:textId="77777777" w:rsidR="00425098" w:rsidRPr="000A53C0" w:rsidRDefault="00425098">
            <w:pPr>
              <w:pStyle w:val="TableBody"/>
              <w:jc w:val="center"/>
              <w:rPr>
                <w:rFonts w:cs="Arial"/>
              </w:rPr>
            </w:pPr>
            <w:r w:rsidRPr="000A53C0">
              <w:rPr>
                <w:rFonts w:cs="Arial"/>
              </w:rPr>
              <w:t>0%</w:t>
            </w:r>
          </w:p>
        </w:tc>
        <w:tc>
          <w:tcPr>
            <w:tcW w:w="484" w:type="pct"/>
          </w:tcPr>
          <w:p w14:paraId="0C270EFE" w14:textId="77777777" w:rsidR="00425098" w:rsidRPr="000A53C0" w:rsidRDefault="00425098">
            <w:pPr>
              <w:pStyle w:val="TableBody"/>
              <w:jc w:val="center"/>
              <w:rPr>
                <w:rFonts w:cs="Arial"/>
              </w:rPr>
            </w:pPr>
            <w:r w:rsidRPr="000A53C0">
              <w:rPr>
                <w:rFonts w:cs="Arial"/>
              </w:rPr>
              <w:t>0%</w:t>
            </w:r>
          </w:p>
        </w:tc>
        <w:tc>
          <w:tcPr>
            <w:tcW w:w="1906" w:type="pct"/>
          </w:tcPr>
          <w:p w14:paraId="5176D39B"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No engineered stone PCBUs are expected to switch to alternative products given the option to continue operating with engineered stone with &lt;40% crystalline silica. </w:t>
            </w:r>
          </w:p>
          <w:p w14:paraId="56A0B707"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An immaterial number of businesses may switch to alternative products to cater to the cheaper end of the market (e.g. laminate and bamboo).</w:t>
            </w:r>
            <w:r w:rsidRPr="000A53C0">
              <w:rPr>
                <w:rFonts w:cs="Arial"/>
              </w:rPr>
              <w:t xml:space="preserve"> </w:t>
            </w:r>
          </w:p>
        </w:tc>
      </w:tr>
      <w:tr w:rsidR="00425098" w:rsidRPr="000A53C0" w14:paraId="6055A172" w14:textId="77777777">
        <w:trPr>
          <w:trHeight w:val="275"/>
        </w:trPr>
        <w:tc>
          <w:tcPr>
            <w:tcW w:w="889" w:type="pct"/>
          </w:tcPr>
          <w:p w14:paraId="326BCBB9" w14:textId="77777777" w:rsidR="00425098" w:rsidRPr="000A53C0" w:rsidRDefault="00425098">
            <w:pPr>
              <w:pStyle w:val="TableBody"/>
              <w:rPr>
                <w:rFonts w:cs="Arial"/>
                <w:i/>
              </w:rPr>
            </w:pPr>
            <w:r w:rsidRPr="000A53C0">
              <w:rPr>
                <w:rFonts w:cs="Arial"/>
                <w:i/>
              </w:rPr>
              <w:t>Continue working with engineered stone with less than 40% crystalline silica (and natural stone)</w:t>
            </w:r>
          </w:p>
        </w:tc>
        <w:tc>
          <w:tcPr>
            <w:tcW w:w="598" w:type="pct"/>
          </w:tcPr>
          <w:p w14:paraId="6C735856" w14:textId="77777777" w:rsidR="00425098" w:rsidRPr="000A53C0" w:rsidRDefault="00425098">
            <w:pPr>
              <w:pStyle w:val="TableBody"/>
              <w:rPr>
                <w:rFonts w:cs="Arial"/>
              </w:rPr>
            </w:pPr>
            <w:r w:rsidRPr="000A53C0">
              <w:rPr>
                <w:rFonts w:cs="Arial"/>
              </w:rPr>
              <w:t>Use existing equipment to continue operating with engineered stone with less than 40% crystalline silica (and natural stone)</w:t>
            </w:r>
          </w:p>
        </w:tc>
        <w:tc>
          <w:tcPr>
            <w:tcW w:w="509" w:type="pct"/>
          </w:tcPr>
          <w:p w14:paraId="2010DD2C" w14:textId="77777777" w:rsidR="00425098" w:rsidRPr="000A53C0" w:rsidRDefault="00425098">
            <w:pPr>
              <w:pStyle w:val="TableBody"/>
              <w:jc w:val="center"/>
              <w:rPr>
                <w:rFonts w:cs="Arial"/>
              </w:rPr>
            </w:pPr>
            <w:r w:rsidRPr="000A53C0">
              <w:rPr>
                <w:rFonts w:cs="Arial"/>
              </w:rPr>
              <w:t>100%</w:t>
            </w:r>
          </w:p>
        </w:tc>
        <w:tc>
          <w:tcPr>
            <w:tcW w:w="614" w:type="pct"/>
            <w:gridSpan w:val="3"/>
          </w:tcPr>
          <w:p w14:paraId="42019343" w14:textId="77777777" w:rsidR="00425098" w:rsidRPr="000A53C0" w:rsidRDefault="00425098">
            <w:pPr>
              <w:pStyle w:val="TableBody"/>
              <w:jc w:val="center"/>
              <w:rPr>
                <w:rFonts w:cs="Arial"/>
              </w:rPr>
            </w:pPr>
            <w:r w:rsidRPr="000A53C0">
              <w:rPr>
                <w:rFonts w:cs="Arial"/>
              </w:rPr>
              <w:t>100%</w:t>
            </w:r>
          </w:p>
        </w:tc>
        <w:tc>
          <w:tcPr>
            <w:tcW w:w="484" w:type="pct"/>
          </w:tcPr>
          <w:p w14:paraId="517B469C" w14:textId="77777777" w:rsidR="00425098" w:rsidRPr="000A53C0" w:rsidRDefault="00425098">
            <w:pPr>
              <w:pStyle w:val="TableBody"/>
              <w:jc w:val="center"/>
              <w:rPr>
                <w:rFonts w:cs="Arial"/>
              </w:rPr>
            </w:pPr>
            <w:r w:rsidRPr="000A53C0">
              <w:rPr>
                <w:rFonts w:cs="Arial"/>
              </w:rPr>
              <w:t>100%</w:t>
            </w:r>
          </w:p>
        </w:tc>
        <w:tc>
          <w:tcPr>
            <w:tcW w:w="1906" w:type="pct"/>
          </w:tcPr>
          <w:p w14:paraId="01509D47"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All engineered stone PCBUs are expected to continue working with engineered stone, given the option to continue operating with engineered stone with &lt;40% crystalline silica:</w:t>
            </w:r>
          </w:p>
          <w:p w14:paraId="0CAE4EAA" w14:textId="77777777" w:rsidR="00425098" w:rsidRPr="000A53C0" w:rsidRDefault="00425098" w:rsidP="00766916">
            <w:pPr>
              <w:pStyle w:val="BodyText"/>
              <w:numPr>
                <w:ilvl w:val="1"/>
                <w:numId w:val="36"/>
              </w:numPr>
              <w:spacing w:after="60" w:line="240" w:lineRule="auto"/>
              <w:rPr>
                <w:rFonts w:cs="Arial"/>
                <w:color w:val="000000" w:themeColor="text1"/>
                <w:sz w:val="18"/>
              </w:rPr>
            </w:pPr>
            <w:r w:rsidRPr="000A53C0">
              <w:rPr>
                <w:rFonts w:cs="Arial"/>
                <w:color w:val="000000" w:themeColor="text1"/>
                <w:sz w:val="18"/>
              </w:rPr>
              <w:t>It is expected that there will be sufficient supply to meet future demand for engineered stone with &lt;40% crystalline silica.</w:t>
            </w:r>
            <w:r w:rsidRPr="000A53C0">
              <w:rPr>
                <w:rStyle w:val="FootnoteReference"/>
                <w:rFonts w:cs="Arial"/>
                <w:color w:val="000000" w:themeColor="text1"/>
                <w:sz w:val="18"/>
              </w:rPr>
              <w:footnoteReference w:id="58"/>
            </w:r>
          </w:p>
          <w:p w14:paraId="160C8722" w14:textId="77777777" w:rsidR="00425098" w:rsidRPr="000A53C0" w:rsidRDefault="00425098" w:rsidP="00766916">
            <w:pPr>
              <w:pStyle w:val="BodyText"/>
              <w:numPr>
                <w:ilvl w:val="1"/>
                <w:numId w:val="36"/>
              </w:numPr>
              <w:spacing w:after="60" w:line="240" w:lineRule="auto"/>
              <w:rPr>
                <w:rFonts w:cs="Arial"/>
                <w:color w:val="000000" w:themeColor="text1"/>
                <w:sz w:val="18"/>
              </w:rPr>
            </w:pPr>
            <w:r w:rsidRPr="000A53C0">
              <w:rPr>
                <w:rFonts w:cs="Arial"/>
                <w:color w:val="000000" w:themeColor="text1"/>
                <w:sz w:val="18"/>
              </w:rPr>
              <w:t>Consumers are expected to continue demanding engineered stone, despite the potentially higher costs associated with engineered stone products with &lt;40% silica.</w:t>
            </w:r>
            <w:r w:rsidRPr="000A53C0">
              <w:rPr>
                <w:rStyle w:val="FootnoteReference"/>
                <w:rFonts w:cs="Arial"/>
                <w:color w:val="000000" w:themeColor="text1"/>
                <w:sz w:val="18"/>
              </w:rPr>
              <w:footnoteReference w:id="59"/>
            </w:r>
          </w:p>
          <w:p w14:paraId="79A8EB3E" w14:textId="77777777" w:rsidR="00425098" w:rsidRPr="000A53C0" w:rsidRDefault="00425098" w:rsidP="00766916">
            <w:pPr>
              <w:pStyle w:val="BodyText"/>
              <w:numPr>
                <w:ilvl w:val="1"/>
                <w:numId w:val="36"/>
              </w:numPr>
              <w:spacing w:after="60" w:line="240" w:lineRule="auto"/>
              <w:rPr>
                <w:rFonts w:cs="Arial"/>
                <w:color w:val="000000" w:themeColor="text1"/>
                <w:sz w:val="18"/>
              </w:rPr>
            </w:pPr>
            <w:r w:rsidRPr="000A53C0">
              <w:rPr>
                <w:rFonts w:cs="Arial"/>
                <w:color w:val="000000" w:themeColor="text1"/>
                <w:sz w:val="18"/>
              </w:rPr>
              <w:t xml:space="preserve">Submissions to the consultation on the Prohibition Decision RIS noted that a significant portion of work </w:t>
            </w:r>
            <w:r w:rsidRPr="000A53C0">
              <w:rPr>
                <w:rFonts w:cs="Arial"/>
                <w:color w:val="000000" w:themeColor="text1"/>
                <w:sz w:val="18"/>
              </w:rPr>
              <w:lastRenderedPageBreak/>
              <w:t>(40%) for many engineered stone PCBUs is currently with lower silica stone (&lt;40%).</w:t>
            </w:r>
          </w:p>
        </w:tc>
      </w:tr>
      <w:tr w:rsidR="00425098" w:rsidRPr="000A53C0" w14:paraId="69B27BE4" w14:textId="77777777">
        <w:tc>
          <w:tcPr>
            <w:tcW w:w="889" w:type="pct"/>
          </w:tcPr>
          <w:p w14:paraId="501F74A5" w14:textId="77777777" w:rsidR="00425098" w:rsidRPr="000A53C0" w:rsidRDefault="00425098">
            <w:pPr>
              <w:pStyle w:val="TableBody"/>
              <w:rPr>
                <w:rFonts w:cs="Arial"/>
              </w:rPr>
            </w:pPr>
            <w:r w:rsidRPr="000A53C0">
              <w:rPr>
                <w:rFonts w:cs="Arial"/>
                <w:i/>
              </w:rPr>
              <w:lastRenderedPageBreak/>
              <w:t>Cease operating</w:t>
            </w:r>
          </w:p>
        </w:tc>
        <w:tc>
          <w:tcPr>
            <w:tcW w:w="598" w:type="pct"/>
          </w:tcPr>
          <w:p w14:paraId="61CABCCD" w14:textId="77777777" w:rsidR="00425098" w:rsidRPr="000A53C0" w:rsidRDefault="00425098">
            <w:pPr>
              <w:pStyle w:val="TableBody"/>
              <w:rPr>
                <w:rFonts w:cs="Arial"/>
              </w:rPr>
            </w:pPr>
            <w:r w:rsidRPr="000A53C0">
              <w:rPr>
                <w:rFonts w:cs="Arial"/>
              </w:rPr>
              <w:t>Business closure</w:t>
            </w:r>
          </w:p>
        </w:tc>
        <w:tc>
          <w:tcPr>
            <w:tcW w:w="509" w:type="pct"/>
          </w:tcPr>
          <w:p w14:paraId="39B9DCAA" w14:textId="77777777" w:rsidR="00425098" w:rsidRPr="000A53C0" w:rsidRDefault="00425098">
            <w:pPr>
              <w:pStyle w:val="TableBody"/>
              <w:jc w:val="center"/>
              <w:rPr>
                <w:rFonts w:cs="Arial"/>
              </w:rPr>
            </w:pPr>
            <w:r w:rsidRPr="000A53C0">
              <w:rPr>
                <w:rFonts w:cs="Arial"/>
              </w:rPr>
              <w:t>0%</w:t>
            </w:r>
          </w:p>
        </w:tc>
        <w:tc>
          <w:tcPr>
            <w:tcW w:w="614" w:type="pct"/>
            <w:gridSpan w:val="3"/>
          </w:tcPr>
          <w:p w14:paraId="2A533795" w14:textId="77777777" w:rsidR="00425098" w:rsidRPr="000A53C0" w:rsidRDefault="00425098">
            <w:pPr>
              <w:pStyle w:val="TableBody"/>
              <w:jc w:val="center"/>
              <w:rPr>
                <w:rFonts w:cs="Arial"/>
              </w:rPr>
            </w:pPr>
            <w:r w:rsidRPr="000A53C0">
              <w:rPr>
                <w:rFonts w:cs="Arial"/>
              </w:rPr>
              <w:t>0%</w:t>
            </w:r>
          </w:p>
        </w:tc>
        <w:tc>
          <w:tcPr>
            <w:tcW w:w="484" w:type="pct"/>
          </w:tcPr>
          <w:p w14:paraId="55881017" w14:textId="77777777" w:rsidR="00425098" w:rsidRPr="000A53C0" w:rsidRDefault="00425098">
            <w:pPr>
              <w:pStyle w:val="TableBody"/>
              <w:jc w:val="center"/>
              <w:rPr>
                <w:rFonts w:cs="Arial"/>
              </w:rPr>
            </w:pPr>
            <w:r w:rsidRPr="000A53C0">
              <w:rPr>
                <w:rFonts w:cs="Arial"/>
              </w:rPr>
              <w:t>0%</w:t>
            </w:r>
          </w:p>
        </w:tc>
        <w:tc>
          <w:tcPr>
            <w:tcW w:w="1906" w:type="pct"/>
          </w:tcPr>
          <w:p w14:paraId="5FDE2EB3"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A marginal/insignificant number of engineered stone PCBUs are expected to choose to cease trading rather than move to engineered stone with &lt;40% crystalline silica (and natural stone) or alternative products, because they cannot adapt to changes in the market. </w:t>
            </w:r>
          </w:p>
        </w:tc>
      </w:tr>
      <w:tr w:rsidR="00425098" w:rsidRPr="000A53C0" w14:paraId="75BED943" w14:textId="77777777">
        <w:tc>
          <w:tcPr>
            <w:tcW w:w="889" w:type="pct"/>
          </w:tcPr>
          <w:p w14:paraId="7F47C51F" w14:textId="77777777" w:rsidR="00425098" w:rsidRPr="000A53C0" w:rsidRDefault="00425098">
            <w:pPr>
              <w:pStyle w:val="TableBody"/>
              <w:rPr>
                <w:rFonts w:cs="Arial"/>
                <w:b/>
              </w:rPr>
            </w:pPr>
            <w:r w:rsidRPr="000A53C0">
              <w:rPr>
                <w:rFonts w:cs="Arial"/>
                <w:b/>
              </w:rPr>
              <w:t>Total</w:t>
            </w:r>
          </w:p>
        </w:tc>
        <w:tc>
          <w:tcPr>
            <w:tcW w:w="598" w:type="pct"/>
          </w:tcPr>
          <w:p w14:paraId="7F623AA8" w14:textId="77777777" w:rsidR="00425098" w:rsidRPr="000A53C0" w:rsidRDefault="00425098">
            <w:pPr>
              <w:pStyle w:val="TableBody"/>
              <w:rPr>
                <w:rFonts w:cs="Arial"/>
                <w:b/>
              </w:rPr>
            </w:pPr>
          </w:p>
        </w:tc>
        <w:tc>
          <w:tcPr>
            <w:tcW w:w="509" w:type="pct"/>
          </w:tcPr>
          <w:p w14:paraId="76713DBB" w14:textId="77777777" w:rsidR="00425098" w:rsidRPr="000A53C0" w:rsidRDefault="00425098">
            <w:pPr>
              <w:pStyle w:val="TableBody"/>
              <w:jc w:val="center"/>
              <w:rPr>
                <w:rFonts w:cs="Arial"/>
                <w:b/>
              </w:rPr>
            </w:pPr>
            <w:r w:rsidRPr="000A53C0">
              <w:rPr>
                <w:rFonts w:cs="Arial"/>
                <w:b/>
              </w:rPr>
              <w:t>100%</w:t>
            </w:r>
          </w:p>
        </w:tc>
        <w:tc>
          <w:tcPr>
            <w:tcW w:w="614" w:type="pct"/>
            <w:gridSpan w:val="3"/>
          </w:tcPr>
          <w:p w14:paraId="715A3521" w14:textId="77777777" w:rsidR="00425098" w:rsidRPr="000A53C0" w:rsidRDefault="00425098">
            <w:pPr>
              <w:pStyle w:val="TableBody"/>
              <w:jc w:val="center"/>
              <w:rPr>
                <w:rFonts w:cs="Arial"/>
                <w:b/>
              </w:rPr>
            </w:pPr>
            <w:r w:rsidRPr="000A53C0">
              <w:rPr>
                <w:rFonts w:cs="Arial"/>
                <w:b/>
              </w:rPr>
              <w:t>100%</w:t>
            </w:r>
          </w:p>
        </w:tc>
        <w:tc>
          <w:tcPr>
            <w:tcW w:w="484" w:type="pct"/>
          </w:tcPr>
          <w:p w14:paraId="2CB5191E" w14:textId="77777777" w:rsidR="00425098" w:rsidRPr="000A53C0" w:rsidRDefault="00425098">
            <w:pPr>
              <w:pStyle w:val="TableBody"/>
              <w:jc w:val="center"/>
              <w:rPr>
                <w:rFonts w:cs="Arial"/>
                <w:b/>
              </w:rPr>
            </w:pPr>
            <w:r w:rsidRPr="000A53C0">
              <w:rPr>
                <w:rFonts w:cs="Arial"/>
                <w:b/>
              </w:rPr>
              <w:t>100%</w:t>
            </w:r>
          </w:p>
        </w:tc>
        <w:tc>
          <w:tcPr>
            <w:tcW w:w="1906" w:type="pct"/>
          </w:tcPr>
          <w:p w14:paraId="3A915D8E" w14:textId="77777777" w:rsidR="00425098" w:rsidRPr="000A53C0" w:rsidRDefault="00425098">
            <w:pPr>
              <w:pStyle w:val="TableBody"/>
              <w:rPr>
                <w:rFonts w:cs="Arial"/>
                <w:b/>
              </w:rPr>
            </w:pPr>
          </w:p>
        </w:tc>
      </w:tr>
    </w:tbl>
    <w:p w14:paraId="35A1E6E3" w14:textId="77777777" w:rsidR="00425098" w:rsidRPr="000A53C0" w:rsidRDefault="00425098" w:rsidP="00425098">
      <w:pPr>
        <w:spacing w:after="120" w:line="264" w:lineRule="auto"/>
        <w:rPr>
          <w:rFonts w:cs="Arial"/>
          <w:color w:val="262626" w:themeColor="text1" w:themeTint="D9"/>
        </w:rPr>
      </w:pPr>
    </w:p>
    <w:p w14:paraId="1F235C92" w14:textId="25374C46" w:rsidR="00425098" w:rsidRPr="000A53C0" w:rsidRDefault="002D500D" w:rsidP="00D657D6">
      <w:pPr>
        <w:pStyle w:val="App3"/>
        <w:rPr>
          <w:rFonts w:cs="Arial"/>
        </w:rPr>
      </w:pPr>
      <w:r w:rsidRPr="000A53C0">
        <w:rPr>
          <w:rFonts w:cs="Arial"/>
        </w:rPr>
        <w:t>B.</w:t>
      </w:r>
      <w:r w:rsidR="00425098" w:rsidRPr="000A53C0">
        <w:rPr>
          <w:rFonts w:cs="Arial"/>
        </w:rPr>
        <w:t>7.4 Decision tree outcomes</w:t>
      </w:r>
      <w:r w:rsidR="00716B06">
        <w:rPr>
          <w:rFonts w:cs="Arial"/>
        </w:rPr>
        <w:t xml:space="preserve">: </w:t>
      </w:r>
      <w:r w:rsidR="00425098" w:rsidRPr="000A53C0">
        <w:rPr>
          <w:rFonts w:cs="Arial"/>
        </w:rPr>
        <w:t xml:space="preserve">Option 3 </w:t>
      </w:r>
    </w:p>
    <w:p w14:paraId="2AA3192B" w14:textId="359EB6FA" w:rsidR="00425098" w:rsidRPr="000A53C0" w:rsidRDefault="00425098" w:rsidP="00425098">
      <w:pPr>
        <w:pStyle w:val="BodyText"/>
        <w:spacing w:after="0"/>
        <w:rPr>
          <w:rFonts w:cs="Arial"/>
        </w:rPr>
      </w:pPr>
      <w:r w:rsidRPr="000A53C0">
        <w:rPr>
          <w:rFonts w:cs="Arial"/>
        </w:rPr>
        <w:t xml:space="preserve">Decision tree outcomes for other industry PCBUs were consistent across all three options and are described in </w:t>
      </w:r>
      <w:r w:rsidR="0099760A" w:rsidRPr="000A53C0">
        <w:rPr>
          <w:rFonts w:cs="Arial"/>
          <w:highlight w:val="yellow"/>
        </w:rPr>
        <w:fldChar w:fldCharType="begin" w:fldLock="1"/>
      </w:r>
      <w:r w:rsidR="0099760A" w:rsidRPr="000A53C0">
        <w:rPr>
          <w:rFonts w:cs="Arial"/>
          <w:highlight w:val="yellow"/>
        </w:rPr>
        <w:instrText xml:space="preserve"> REF _Ref140676326 \h </w:instrText>
      </w:r>
      <w:r w:rsidR="000A53C0">
        <w:rPr>
          <w:rFonts w:cs="Arial"/>
          <w:highlight w:val="yellow"/>
        </w:rPr>
        <w:instrText xml:space="preserve"> \* MERGEFORMAT </w:instrText>
      </w:r>
      <w:r w:rsidR="0099760A" w:rsidRPr="000A53C0">
        <w:rPr>
          <w:rFonts w:cs="Arial"/>
          <w:highlight w:val="yellow"/>
        </w:rPr>
      </w:r>
      <w:r w:rsidR="0099760A" w:rsidRPr="000A53C0">
        <w:rPr>
          <w:rFonts w:cs="Arial"/>
          <w:highlight w:val="yellow"/>
        </w:rPr>
        <w:fldChar w:fldCharType="separate"/>
      </w:r>
      <w:r w:rsidR="00D16271" w:rsidRPr="00D16271">
        <w:rPr>
          <w:rFonts w:cs="Arial"/>
        </w:rPr>
        <w:t xml:space="preserve">Table </w:t>
      </w:r>
      <w:r w:rsidR="00D16271" w:rsidRPr="00D16271">
        <w:rPr>
          <w:rFonts w:cs="Arial"/>
          <w:noProof/>
        </w:rPr>
        <w:t>23</w:t>
      </w:r>
      <w:r w:rsidR="0099760A" w:rsidRPr="000A53C0">
        <w:rPr>
          <w:rFonts w:cs="Arial"/>
          <w:highlight w:val="yellow"/>
        </w:rPr>
        <w:fldChar w:fldCharType="end"/>
      </w:r>
      <w:r w:rsidRPr="000A53C0">
        <w:rPr>
          <w:rFonts w:cs="Arial"/>
        </w:rPr>
        <w:t xml:space="preserve">. Decision tree outcomes for workers are consistent for both Option 1 and Option 3 and are described in </w:t>
      </w:r>
      <w:r w:rsidR="0099760A" w:rsidRPr="000A53C0">
        <w:rPr>
          <w:rFonts w:cs="Arial"/>
          <w:highlight w:val="yellow"/>
        </w:rPr>
        <w:fldChar w:fldCharType="begin" w:fldLock="1"/>
      </w:r>
      <w:r w:rsidR="0099760A" w:rsidRPr="000A53C0">
        <w:rPr>
          <w:rFonts w:cs="Arial"/>
        </w:rPr>
        <w:instrText xml:space="preserve"> REF _Ref135928839 \h </w:instrText>
      </w:r>
      <w:r w:rsidR="000A53C0">
        <w:rPr>
          <w:rFonts w:cs="Arial"/>
          <w:highlight w:val="yellow"/>
        </w:rPr>
        <w:instrText xml:space="preserve"> \* MERGEFORMAT </w:instrText>
      </w:r>
      <w:r w:rsidR="0099760A" w:rsidRPr="000A53C0">
        <w:rPr>
          <w:rFonts w:cs="Arial"/>
          <w:highlight w:val="yellow"/>
        </w:rPr>
      </w:r>
      <w:r w:rsidR="0099760A" w:rsidRPr="000A53C0">
        <w:rPr>
          <w:rFonts w:cs="Arial"/>
          <w:highlight w:val="yellow"/>
        </w:rPr>
        <w:fldChar w:fldCharType="separate"/>
      </w:r>
      <w:r w:rsidR="00D16271" w:rsidRPr="00D16271">
        <w:rPr>
          <w:rFonts w:cs="Arial"/>
        </w:rPr>
        <w:t xml:space="preserve">Table </w:t>
      </w:r>
      <w:r w:rsidR="00D16271" w:rsidRPr="00D16271">
        <w:rPr>
          <w:rFonts w:cs="Arial"/>
          <w:noProof/>
        </w:rPr>
        <w:t>24</w:t>
      </w:r>
      <w:r w:rsidR="0099760A" w:rsidRPr="000A53C0">
        <w:rPr>
          <w:rFonts w:cs="Arial"/>
          <w:highlight w:val="yellow"/>
        </w:rPr>
        <w:fldChar w:fldCharType="end"/>
      </w:r>
      <w:r w:rsidRPr="000A53C0">
        <w:rPr>
          <w:rFonts w:cs="Arial"/>
        </w:rPr>
        <w:t xml:space="preserve">. </w:t>
      </w:r>
      <w:r w:rsidR="0099760A" w:rsidRPr="000A53C0">
        <w:rPr>
          <w:rFonts w:cs="Arial"/>
        </w:rPr>
        <w:t xml:space="preserve">Outcomes for engineered stone PCBUs under this option are described in </w:t>
      </w:r>
      <w:r w:rsidR="0099760A" w:rsidRPr="000A53C0">
        <w:rPr>
          <w:rFonts w:cs="Arial"/>
        </w:rPr>
        <w:fldChar w:fldCharType="begin" w:fldLock="1"/>
      </w:r>
      <w:r w:rsidR="0099760A" w:rsidRPr="000A53C0">
        <w:rPr>
          <w:rFonts w:cs="Arial"/>
        </w:rPr>
        <w:instrText xml:space="preserve"> REF _Ref140678767 \h </w:instrText>
      </w:r>
      <w:r w:rsidR="000A53C0">
        <w:rPr>
          <w:rFonts w:cs="Arial"/>
        </w:rPr>
        <w:instrText xml:space="preserve"> \* MERGEFORMAT </w:instrText>
      </w:r>
      <w:r w:rsidR="0099760A" w:rsidRPr="000A53C0">
        <w:rPr>
          <w:rFonts w:cs="Arial"/>
        </w:rPr>
      </w:r>
      <w:r w:rsidR="0099760A" w:rsidRPr="000A53C0">
        <w:rPr>
          <w:rFonts w:cs="Arial"/>
        </w:rPr>
        <w:fldChar w:fldCharType="separate"/>
      </w:r>
      <w:r w:rsidR="00D16271" w:rsidRPr="00D16271">
        <w:rPr>
          <w:rFonts w:cs="Arial"/>
        </w:rPr>
        <w:t xml:space="preserve">Table </w:t>
      </w:r>
      <w:r w:rsidR="00D16271" w:rsidRPr="00D16271">
        <w:rPr>
          <w:rFonts w:cs="Arial"/>
          <w:noProof/>
        </w:rPr>
        <w:t>26</w:t>
      </w:r>
      <w:r w:rsidR="0099760A" w:rsidRPr="000A53C0">
        <w:rPr>
          <w:rFonts w:cs="Arial"/>
        </w:rPr>
        <w:fldChar w:fldCharType="end"/>
      </w:r>
      <w:r w:rsidR="0099760A" w:rsidRPr="000A53C0">
        <w:rPr>
          <w:rFonts w:cs="Arial"/>
        </w:rPr>
        <w:t xml:space="preserve">, below. </w:t>
      </w:r>
    </w:p>
    <w:p w14:paraId="4E094F14" w14:textId="1583D91E" w:rsidR="00425098" w:rsidRPr="000A53C0" w:rsidRDefault="00425098" w:rsidP="00030457">
      <w:pPr>
        <w:pStyle w:val="Caption"/>
        <w:rPr>
          <w:rFonts w:cs="Arial"/>
        </w:rPr>
      </w:pPr>
      <w:bookmarkStart w:id="231" w:name="_Ref140678767"/>
      <w:r w:rsidRPr="00DD381C">
        <w:rPr>
          <w:rFonts w:cs="Arial"/>
          <w:b/>
          <w:bCs/>
        </w:rPr>
        <w:t xml:space="preserve">Table </w:t>
      </w:r>
      <w:r w:rsidRPr="00DD381C">
        <w:rPr>
          <w:rFonts w:cs="Arial"/>
          <w:b/>
          <w:bCs/>
        </w:rPr>
        <w:fldChar w:fldCharType="begin"/>
      </w:r>
      <w:r w:rsidRPr="00DD381C">
        <w:rPr>
          <w:rFonts w:cs="Arial"/>
          <w:b/>
          <w:bCs/>
        </w:rPr>
        <w:instrText>SEQ Table \* ARABIC</w:instrText>
      </w:r>
      <w:r w:rsidRPr="00DD381C">
        <w:rPr>
          <w:rFonts w:cs="Arial"/>
          <w:b/>
          <w:bCs/>
        </w:rPr>
        <w:fldChar w:fldCharType="separate"/>
      </w:r>
      <w:r w:rsidR="00D16271">
        <w:rPr>
          <w:rFonts w:cs="Arial"/>
          <w:b/>
          <w:bCs/>
          <w:noProof/>
        </w:rPr>
        <w:t>26</w:t>
      </w:r>
      <w:r w:rsidRPr="00DD381C">
        <w:rPr>
          <w:rFonts w:cs="Arial"/>
          <w:b/>
          <w:bCs/>
        </w:rPr>
        <w:fldChar w:fldCharType="end"/>
      </w:r>
      <w:bookmarkEnd w:id="231"/>
      <w:r w:rsidRPr="000A53C0">
        <w:rPr>
          <w:rFonts w:cs="Arial"/>
        </w:rPr>
        <w:t xml:space="preserve"> Decision tree outcomes – Option 3 – engineered stone PCBUs </w:t>
      </w:r>
    </w:p>
    <w:tbl>
      <w:tblPr>
        <w:tblStyle w:val="TableGrid"/>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
      </w:tblPr>
      <w:tblGrid>
        <w:gridCol w:w="2320"/>
        <w:gridCol w:w="1530"/>
        <w:gridCol w:w="1224"/>
        <w:gridCol w:w="1224"/>
        <w:gridCol w:w="1224"/>
        <w:gridCol w:w="6046"/>
      </w:tblGrid>
      <w:tr w:rsidR="00425098" w:rsidRPr="000A53C0" w14:paraId="686847F3" w14:textId="77777777" w:rsidTr="00DD381C">
        <w:trPr>
          <w:tblHeader/>
        </w:trPr>
        <w:tc>
          <w:tcPr>
            <w:tcW w:w="855" w:type="pct"/>
            <w:vMerge w:val="restart"/>
            <w:shd w:val="clear" w:color="auto" w:fill="E81D32"/>
            <w:vAlign w:val="center"/>
          </w:tcPr>
          <w:p w14:paraId="562B7E8B" w14:textId="77777777" w:rsidR="00425098" w:rsidRPr="00DD381C" w:rsidRDefault="00425098">
            <w:pPr>
              <w:pStyle w:val="TableHeading"/>
              <w:jc w:val="center"/>
              <w:rPr>
                <w:rFonts w:ascii="Arial" w:hAnsi="Arial" w:cs="Arial"/>
                <w:color w:val="FFFFFF" w:themeColor="background1"/>
              </w:rPr>
            </w:pPr>
            <w:r w:rsidRPr="00DD381C">
              <w:rPr>
                <w:rFonts w:ascii="Arial" w:hAnsi="Arial" w:cs="Arial"/>
                <w:color w:val="FFFFFF" w:themeColor="background1"/>
              </w:rPr>
              <w:t>Decision</w:t>
            </w:r>
          </w:p>
        </w:tc>
        <w:tc>
          <w:tcPr>
            <w:tcW w:w="564" w:type="pct"/>
            <w:vMerge w:val="restart"/>
            <w:shd w:val="clear" w:color="auto" w:fill="E81D32"/>
            <w:vAlign w:val="center"/>
          </w:tcPr>
          <w:p w14:paraId="5DA270E3" w14:textId="77777777" w:rsidR="00425098" w:rsidRPr="00DD381C" w:rsidRDefault="00425098">
            <w:pPr>
              <w:pStyle w:val="TableHeading"/>
              <w:jc w:val="center"/>
              <w:rPr>
                <w:rFonts w:ascii="Arial" w:hAnsi="Arial" w:cs="Arial"/>
                <w:color w:val="FFFFFF" w:themeColor="background1"/>
              </w:rPr>
            </w:pPr>
            <w:r w:rsidRPr="00DD381C">
              <w:rPr>
                <w:rFonts w:ascii="Arial" w:hAnsi="Arial" w:cs="Arial"/>
                <w:color w:val="FFFFFF" w:themeColor="background1"/>
              </w:rPr>
              <w:t>Impact</w:t>
            </w:r>
          </w:p>
        </w:tc>
        <w:tc>
          <w:tcPr>
            <w:tcW w:w="1353" w:type="pct"/>
            <w:gridSpan w:val="3"/>
            <w:shd w:val="clear" w:color="auto" w:fill="E81D32"/>
            <w:vAlign w:val="center"/>
          </w:tcPr>
          <w:p w14:paraId="3BD19EDD" w14:textId="77777777" w:rsidR="00425098" w:rsidRPr="00DD381C" w:rsidRDefault="00425098">
            <w:pPr>
              <w:pStyle w:val="TableHeading"/>
              <w:jc w:val="center"/>
              <w:rPr>
                <w:rFonts w:ascii="Arial" w:hAnsi="Arial" w:cs="Arial"/>
                <w:color w:val="FFFFFF" w:themeColor="background1"/>
              </w:rPr>
            </w:pPr>
            <w:r w:rsidRPr="00DD381C">
              <w:rPr>
                <w:rFonts w:ascii="Arial" w:hAnsi="Arial" w:cs="Arial"/>
                <w:color w:val="FFFFFF" w:themeColor="background1"/>
              </w:rPr>
              <w:t>Proportion of population</w:t>
            </w:r>
          </w:p>
        </w:tc>
        <w:tc>
          <w:tcPr>
            <w:tcW w:w="2228" w:type="pct"/>
            <w:vMerge w:val="restart"/>
            <w:shd w:val="clear" w:color="auto" w:fill="E81D32"/>
            <w:vAlign w:val="center"/>
          </w:tcPr>
          <w:p w14:paraId="73C85B6D" w14:textId="77777777" w:rsidR="00425098" w:rsidRPr="00DD381C" w:rsidRDefault="00425098">
            <w:pPr>
              <w:pStyle w:val="TableHeading"/>
              <w:jc w:val="center"/>
              <w:rPr>
                <w:rFonts w:ascii="Arial" w:hAnsi="Arial" w:cs="Arial"/>
                <w:color w:val="FFFFFF" w:themeColor="background1"/>
              </w:rPr>
            </w:pPr>
            <w:r w:rsidRPr="00DD381C">
              <w:rPr>
                <w:rFonts w:ascii="Arial" w:hAnsi="Arial" w:cs="Arial"/>
                <w:color w:val="FFFFFF" w:themeColor="background1"/>
              </w:rPr>
              <w:t>Rationale</w:t>
            </w:r>
          </w:p>
        </w:tc>
      </w:tr>
      <w:tr w:rsidR="00425098" w:rsidRPr="000A53C0" w14:paraId="70B22649" w14:textId="77777777" w:rsidTr="00DD381C">
        <w:trPr>
          <w:tblHeader/>
        </w:trPr>
        <w:tc>
          <w:tcPr>
            <w:tcW w:w="855" w:type="pct"/>
            <w:vMerge/>
          </w:tcPr>
          <w:p w14:paraId="039D3017" w14:textId="77777777" w:rsidR="00425098" w:rsidRPr="000A53C0" w:rsidRDefault="00425098">
            <w:pPr>
              <w:pStyle w:val="TableBody"/>
              <w:rPr>
                <w:rFonts w:cs="Arial"/>
                <w:i/>
              </w:rPr>
            </w:pPr>
          </w:p>
        </w:tc>
        <w:tc>
          <w:tcPr>
            <w:tcW w:w="564" w:type="pct"/>
            <w:vMerge/>
          </w:tcPr>
          <w:p w14:paraId="404A8AAB" w14:textId="77777777" w:rsidR="00425098" w:rsidRPr="000A53C0" w:rsidRDefault="00425098">
            <w:pPr>
              <w:pStyle w:val="TableBody"/>
              <w:rPr>
                <w:rFonts w:cs="Arial"/>
              </w:rPr>
            </w:pPr>
          </w:p>
        </w:tc>
        <w:tc>
          <w:tcPr>
            <w:tcW w:w="451" w:type="pct"/>
            <w:shd w:val="clear" w:color="auto" w:fill="E81D32"/>
            <w:vAlign w:val="center"/>
          </w:tcPr>
          <w:p w14:paraId="06B69153" w14:textId="77777777" w:rsidR="00425098" w:rsidRPr="00DD381C" w:rsidRDefault="00425098">
            <w:pPr>
              <w:pStyle w:val="TableBody"/>
              <w:jc w:val="center"/>
              <w:rPr>
                <w:rFonts w:cs="Arial"/>
                <w:b/>
                <w:color w:val="FFFFFF" w:themeColor="background1"/>
                <w:sz w:val="20"/>
                <w:szCs w:val="20"/>
                <w:lang w:val="en-US"/>
              </w:rPr>
            </w:pPr>
            <w:r w:rsidRPr="00DD381C">
              <w:rPr>
                <w:rFonts w:cs="Arial"/>
                <w:b/>
                <w:color w:val="FFFFFF" w:themeColor="background1"/>
                <w:sz w:val="20"/>
                <w:szCs w:val="20"/>
                <w:lang w:val="en-US"/>
              </w:rPr>
              <w:t>Sole trader</w:t>
            </w:r>
          </w:p>
        </w:tc>
        <w:tc>
          <w:tcPr>
            <w:tcW w:w="451" w:type="pct"/>
            <w:shd w:val="clear" w:color="auto" w:fill="E81D32"/>
            <w:vAlign w:val="center"/>
          </w:tcPr>
          <w:p w14:paraId="24F1D068" w14:textId="77777777" w:rsidR="00425098" w:rsidRPr="00DD381C" w:rsidRDefault="00425098">
            <w:pPr>
              <w:pStyle w:val="TableBody"/>
              <w:jc w:val="center"/>
              <w:rPr>
                <w:rFonts w:cs="Arial"/>
                <w:b/>
                <w:color w:val="FFFFFF" w:themeColor="background1"/>
                <w:sz w:val="20"/>
                <w:szCs w:val="20"/>
                <w:lang w:val="en-US"/>
              </w:rPr>
            </w:pPr>
            <w:r w:rsidRPr="00DD381C">
              <w:rPr>
                <w:rFonts w:cs="Arial"/>
                <w:b/>
                <w:color w:val="FFFFFF" w:themeColor="background1"/>
                <w:sz w:val="20"/>
                <w:szCs w:val="20"/>
                <w:lang w:val="en-US"/>
              </w:rPr>
              <w:t>Small</w:t>
            </w:r>
          </w:p>
        </w:tc>
        <w:tc>
          <w:tcPr>
            <w:tcW w:w="451" w:type="pct"/>
            <w:shd w:val="clear" w:color="auto" w:fill="E81D32"/>
            <w:vAlign w:val="center"/>
          </w:tcPr>
          <w:p w14:paraId="6BD4E28C" w14:textId="77777777" w:rsidR="00425098" w:rsidRPr="00DD381C" w:rsidRDefault="00425098">
            <w:pPr>
              <w:pStyle w:val="TableBody"/>
              <w:jc w:val="center"/>
              <w:rPr>
                <w:rFonts w:cs="Arial"/>
                <w:b/>
                <w:color w:val="FFFFFF" w:themeColor="background1"/>
                <w:sz w:val="20"/>
                <w:szCs w:val="20"/>
                <w:lang w:val="en-US"/>
              </w:rPr>
            </w:pPr>
            <w:r w:rsidRPr="00DD381C">
              <w:rPr>
                <w:rFonts w:cs="Arial"/>
                <w:b/>
                <w:color w:val="FFFFFF" w:themeColor="background1"/>
                <w:sz w:val="20"/>
                <w:szCs w:val="20"/>
                <w:lang w:val="en-US"/>
              </w:rPr>
              <w:t>Medium</w:t>
            </w:r>
          </w:p>
        </w:tc>
        <w:tc>
          <w:tcPr>
            <w:tcW w:w="2228" w:type="pct"/>
            <w:vMerge/>
            <w:shd w:val="clear" w:color="auto" w:fill="E81D32"/>
          </w:tcPr>
          <w:p w14:paraId="6103FA9C" w14:textId="77777777" w:rsidR="00425098" w:rsidRPr="00DD381C" w:rsidRDefault="00425098">
            <w:pPr>
              <w:pStyle w:val="BodyText"/>
              <w:rPr>
                <w:rFonts w:cs="Arial"/>
                <w:color w:val="FFFFFF" w:themeColor="background1"/>
              </w:rPr>
            </w:pPr>
          </w:p>
        </w:tc>
      </w:tr>
      <w:tr w:rsidR="00425098" w:rsidRPr="000A53C0" w14:paraId="3B655BE2" w14:textId="77777777" w:rsidTr="00DD381C">
        <w:trPr>
          <w:trHeight w:val="275"/>
        </w:trPr>
        <w:tc>
          <w:tcPr>
            <w:tcW w:w="855" w:type="pct"/>
          </w:tcPr>
          <w:p w14:paraId="7D73A2C5" w14:textId="77777777" w:rsidR="00425098" w:rsidRPr="000A53C0" w:rsidRDefault="00425098">
            <w:pPr>
              <w:pStyle w:val="TableBody"/>
              <w:rPr>
                <w:rFonts w:cs="Arial"/>
                <w:i/>
              </w:rPr>
            </w:pPr>
            <w:r w:rsidRPr="000A53C0">
              <w:rPr>
                <w:rFonts w:cs="Arial"/>
                <w:i/>
              </w:rPr>
              <w:t>Continue operating by switching to alternative products</w:t>
            </w:r>
          </w:p>
        </w:tc>
        <w:tc>
          <w:tcPr>
            <w:tcW w:w="564" w:type="pct"/>
          </w:tcPr>
          <w:p w14:paraId="58386144" w14:textId="77777777" w:rsidR="00425098" w:rsidRPr="000A53C0" w:rsidRDefault="00425098">
            <w:pPr>
              <w:pStyle w:val="TableBody"/>
              <w:rPr>
                <w:rFonts w:cs="Arial"/>
              </w:rPr>
            </w:pPr>
            <w:r w:rsidRPr="000A53C0">
              <w:rPr>
                <w:rFonts w:cs="Arial"/>
              </w:rPr>
              <w:t>Primarily purchase new equipment to switch non-stone product (e.g. laminate)</w:t>
            </w:r>
          </w:p>
        </w:tc>
        <w:tc>
          <w:tcPr>
            <w:tcW w:w="451" w:type="pct"/>
          </w:tcPr>
          <w:p w14:paraId="05F857BB" w14:textId="77777777" w:rsidR="00425098" w:rsidRPr="000A53C0" w:rsidRDefault="00425098">
            <w:pPr>
              <w:pStyle w:val="TableBody"/>
              <w:jc w:val="center"/>
              <w:rPr>
                <w:rFonts w:cs="Arial"/>
              </w:rPr>
            </w:pPr>
            <w:r w:rsidRPr="000A53C0">
              <w:rPr>
                <w:rFonts w:cs="Arial"/>
              </w:rPr>
              <w:t>0%</w:t>
            </w:r>
          </w:p>
        </w:tc>
        <w:tc>
          <w:tcPr>
            <w:tcW w:w="451" w:type="pct"/>
          </w:tcPr>
          <w:p w14:paraId="234A553C" w14:textId="77777777" w:rsidR="00425098" w:rsidRPr="000A53C0" w:rsidRDefault="00425098">
            <w:pPr>
              <w:pStyle w:val="TableBody"/>
              <w:jc w:val="center"/>
              <w:rPr>
                <w:rFonts w:cs="Arial"/>
              </w:rPr>
            </w:pPr>
            <w:r w:rsidRPr="000A53C0">
              <w:rPr>
                <w:rFonts w:cs="Arial"/>
              </w:rPr>
              <w:t>0%</w:t>
            </w:r>
          </w:p>
        </w:tc>
        <w:tc>
          <w:tcPr>
            <w:tcW w:w="451" w:type="pct"/>
          </w:tcPr>
          <w:p w14:paraId="75B4B064" w14:textId="77777777" w:rsidR="00425098" w:rsidRPr="000A53C0" w:rsidRDefault="00425098">
            <w:pPr>
              <w:pStyle w:val="TableBody"/>
              <w:jc w:val="center"/>
              <w:rPr>
                <w:rFonts w:cs="Arial"/>
              </w:rPr>
            </w:pPr>
            <w:r w:rsidRPr="000A53C0">
              <w:rPr>
                <w:rFonts w:cs="Arial"/>
              </w:rPr>
              <w:t>0%</w:t>
            </w:r>
          </w:p>
        </w:tc>
        <w:tc>
          <w:tcPr>
            <w:tcW w:w="2228" w:type="pct"/>
          </w:tcPr>
          <w:p w14:paraId="2FDFE51D"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As for Option 2. </w:t>
            </w:r>
            <w:r w:rsidRPr="000A53C0">
              <w:rPr>
                <w:rFonts w:cs="Arial"/>
              </w:rPr>
              <w:t xml:space="preserve"> </w:t>
            </w:r>
          </w:p>
        </w:tc>
      </w:tr>
      <w:tr w:rsidR="00425098" w:rsidRPr="000A53C0" w14:paraId="580C6789" w14:textId="77777777" w:rsidTr="00DD381C">
        <w:trPr>
          <w:trHeight w:val="1892"/>
        </w:trPr>
        <w:tc>
          <w:tcPr>
            <w:tcW w:w="855" w:type="pct"/>
          </w:tcPr>
          <w:p w14:paraId="3A82B87B" w14:textId="77777777" w:rsidR="00425098" w:rsidRPr="000A53C0" w:rsidRDefault="00425098">
            <w:pPr>
              <w:pStyle w:val="TableBody"/>
              <w:rPr>
                <w:rFonts w:cs="Arial"/>
                <w:i/>
              </w:rPr>
            </w:pPr>
            <w:r w:rsidRPr="000A53C0">
              <w:rPr>
                <w:rFonts w:cs="Arial"/>
                <w:i/>
              </w:rPr>
              <w:lastRenderedPageBreak/>
              <w:t>Continue working with engineered stone with less than 40% crystalline silica (and natural stone)</w:t>
            </w:r>
          </w:p>
        </w:tc>
        <w:tc>
          <w:tcPr>
            <w:tcW w:w="564" w:type="pct"/>
          </w:tcPr>
          <w:p w14:paraId="43EC162F" w14:textId="77777777" w:rsidR="00425098" w:rsidRPr="000A53C0" w:rsidRDefault="00425098">
            <w:pPr>
              <w:pStyle w:val="TableBody"/>
              <w:rPr>
                <w:rFonts w:cs="Arial"/>
              </w:rPr>
            </w:pPr>
            <w:r w:rsidRPr="000A53C0">
              <w:rPr>
                <w:rFonts w:cs="Arial"/>
              </w:rPr>
              <w:t>Acquire licence to work with lower silica engineered stone (less than 40% crystalline silica), and natural stone</w:t>
            </w:r>
          </w:p>
          <w:p w14:paraId="531BD833" w14:textId="77777777" w:rsidR="00425098" w:rsidRPr="000A53C0" w:rsidRDefault="00425098">
            <w:pPr>
              <w:pStyle w:val="TableBody"/>
              <w:rPr>
                <w:rFonts w:cs="Arial"/>
              </w:rPr>
            </w:pPr>
          </w:p>
        </w:tc>
        <w:tc>
          <w:tcPr>
            <w:tcW w:w="451" w:type="pct"/>
          </w:tcPr>
          <w:p w14:paraId="6E41EF2C" w14:textId="77777777" w:rsidR="00425098" w:rsidRPr="000A53C0" w:rsidRDefault="00425098">
            <w:pPr>
              <w:pStyle w:val="TableBody"/>
              <w:jc w:val="center"/>
              <w:rPr>
                <w:rFonts w:cs="Arial"/>
              </w:rPr>
            </w:pPr>
            <w:r w:rsidRPr="000A53C0">
              <w:rPr>
                <w:rFonts w:cs="Arial"/>
              </w:rPr>
              <w:t>95%</w:t>
            </w:r>
          </w:p>
        </w:tc>
        <w:tc>
          <w:tcPr>
            <w:tcW w:w="451" w:type="pct"/>
          </w:tcPr>
          <w:p w14:paraId="7281523C" w14:textId="77777777" w:rsidR="00425098" w:rsidRPr="000A53C0" w:rsidRDefault="00425098">
            <w:pPr>
              <w:pStyle w:val="TableBody"/>
              <w:jc w:val="center"/>
              <w:rPr>
                <w:rFonts w:cs="Arial"/>
              </w:rPr>
            </w:pPr>
            <w:r w:rsidRPr="000A53C0">
              <w:rPr>
                <w:rFonts w:cs="Arial"/>
              </w:rPr>
              <w:t>95%</w:t>
            </w:r>
          </w:p>
        </w:tc>
        <w:tc>
          <w:tcPr>
            <w:tcW w:w="451" w:type="pct"/>
          </w:tcPr>
          <w:p w14:paraId="663CAD53" w14:textId="77777777" w:rsidR="00425098" w:rsidRPr="000A53C0" w:rsidRDefault="00425098">
            <w:pPr>
              <w:pStyle w:val="TableBody"/>
              <w:jc w:val="center"/>
              <w:rPr>
                <w:rFonts w:cs="Arial"/>
              </w:rPr>
            </w:pPr>
            <w:r w:rsidRPr="000A53C0">
              <w:rPr>
                <w:rFonts w:cs="Arial"/>
              </w:rPr>
              <w:t>98%</w:t>
            </w:r>
          </w:p>
        </w:tc>
        <w:tc>
          <w:tcPr>
            <w:tcW w:w="2228" w:type="pct"/>
          </w:tcPr>
          <w:p w14:paraId="40D227C9"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Most engineered stone PCBUs are expected to continue working with engineered stone &lt;40% crystalline silica, for the reasons stated under Option 2. </w:t>
            </w:r>
          </w:p>
          <w:p w14:paraId="594D33AB"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A small proportion of engineered stone PCBUs are assumed to cease operating due to the additional costs associated with operating under a licensing framework for work with lower silica stone.</w:t>
            </w:r>
          </w:p>
          <w:p w14:paraId="01C4054F" w14:textId="58ECF695"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A greater proportion of medium sized engineered stone PCBUs are expected to be able to absorb the cost of a licensing framework to work with lower silica</w:t>
            </w:r>
            <w:r w:rsidR="00247807" w:rsidRPr="000A53C0">
              <w:rPr>
                <w:rFonts w:cs="Arial"/>
                <w:color w:val="000000" w:themeColor="text1"/>
                <w:sz w:val="18"/>
              </w:rPr>
              <w:t xml:space="preserve"> engineered stone</w:t>
            </w:r>
            <w:r w:rsidRPr="000A53C0">
              <w:rPr>
                <w:rFonts w:cs="Arial"/>
                <w:color w:val="000000" w:themeColor="text1"/>
                <w:sz w:val="18"/>
              </w:rPr>
              <w:t>.</w:t>
            </w:r>
          </w:p>
        </w:tc>
      </w:tr>
      <w:tr w:rsidR="00425098" w:rsidRPr="000A53C0" w14:paraId="68F4130E" w14:textId="77777777" w:rsidTr="00DD381C">
        <w:tc>
          <w:tcPr>
            <w:tcW w:w="855" w:type="pct"/>
          </w:tcPr>
          <w:p w14:paraId="6EECE9AE" w14:textId="77777777" w:rsidR="00425098" w:rsidRPr="000A53C0" w:rsidRDefault="00425098">
            <w:pPr>
              <w:pStyle w:val="TableBody"/>
              <w:rPr>
                <w:rFonts w:cs="Arial"/>
              </w:rPr>
            </w:pPr>
            <w:r w:rsidRPr="000A53C0">
              <w:rPr>
                <w:rFonts w:cs="Arial"/>
                <w:i/>
              </w:rPr>
              <w:t>Cease operating</w:t>
            </w:r>
          </w:p>
        </w:tc>
        <w:tc>
          <w:tcPr>
            <w:tcW w:w="564" w:type="pct"/>
          </w:tcPr>
          <w:p w14:paraId="11CDB32C" w14:textId="77777777" w:rsidR="00425098" w:rsidRPr="000A53C0" w:rsidRDefault="00425098">
            <w:pPr>
              <w:pStyle w:val="TableBody"/>
              <w:rPr>
                <w:rFonts w:cs="Arial"/>
              </w:rPr>
            </w:pPr>
            <w:r w:rsidRPr="000A53C0">
              <w:rPr>
                <w:rFonts w:cs="Arial"/>
              </w:rPr>
              <w:t>Business closure</w:t>
            </w:r>
          </w:p>
        </w:tc>
        <w:tc>
          <w:tcPr>
            <w:tcW w:w="451" w:type="pct"/>
          </w:tcPr>
          <w:p w14:paraId="1B5F554F" w14:textId="77777777" w:rsidR="00425098" w:rsidRPr="000A53C0" w:rsidRDefault="00425098">
            <w:pPr>
              <w:pStyle w:val="TableBody"/>
              <w:jc w:val="center"/>
              <w:rPr>
                <w:rFonts w:cs="Arial"/>
              </w:rPr>
            </w:pPr>
            <w:r w:rsidRPr="000A53C0">
              <w:rPr>
                <w:rFonts w:cs="Arial"/>
              </w:rPr>
              <w:t>5%</w:t>
            </w:r>
          </w:p>
        </w:tc>
        <w:tc>
          <w:tcPr>
            <w:tcW w:w="451" w:type="pct"/>
          </w:tcPr>
          <w:p w14:paraId="335885A0" w14:textId="77777777" w:rsidR="00425098" w:rsidRPr="000A53C0" w:rsidRDefault="00425098">
            <w:pPr>
              <w:pStyle w:val="TableBody"/>
              <w:jc w:val="center"/>
              <w:rPr>
                <w:rFonts w:cs="Arial"/>
              </w:rPr>
            </w:pPr>
            <w:r w:rsidRPr="000A53C0">
              <w:rPr>
                <w:rFonts w:cs="Arial"/>
              </w:rPr>
              <w:t>5%</w:t>
            </w:r>
          </w:p>
        </w:tc>
        <w:tc>
          <w:tcPr>
            <w:tcW w:w="451" w:type="pct"/>
          </w:tcPr>
          <w:p w14:paraId="660B215E" w14:textId="77777777" w:rsidR="00425098" w:rsidRPr="000A53C0" w:rsidRDefault="00425098">
            <w:pPr>
              <w:pStyle w:val="TableBody"/>
              <w:jc w:val="center"/>
              <w:rPr>
                <w:rFonts w:cs="Arial"/>
              </w:rPr>
            </w:pPr>
            <w:r w:rsidRPr="000A53C0">
              <w:rPr>
                <w:rFonts w:cs="Arial"/>
              </w:rPr>
              <w:t>2%</w:t>
            </w:r>
          </w:p>
        </w:tc>
        <w:tc>
          <w:tcPr>
            <w:tcW w:w="2228" w:type="pct"/>
          </w:tcPr>
          <w:p w14:paraId="540BEF9C" w14:textId="77777777" w:rsidR="00425098" w:rsidRPr="000A53C0" w:rsidRDefault="00425098" w:rsidP="00766916">
            <w:pPr>
              <w:pStyle w:val="BodyText"/>
              <w:numPr>
                <w:ilvl w:val="0"/>
                <w:numId w:val="36"/>
              </w:numPr>
              <w:spacing w:after="60" w:line="240" w:lineRule="auto"/>
              <w:ind w:left="357" w:hanging="357"/>
              <w:rPr>
                <w:rFonts w:cs="Arial"/>
                <w:color w:val="000000" w:themeColor="text1"/>
                <w:sz w:val="18"/>
              </w:rPr>
            </w:pPr>
            <w:r w:rsidRPr="000A53C0">
              <w:rPr>
                <w:rFonts w:cs="Arial"/>
                <w:color w:val="000000" w:themeColor="text1"/>
                <w:sz w:val="18"/>
              </w:rPr>
              <w:t xml:space="preserve">A small proportion of engineered stone PCBUs are assumed to cease operating due to the additional costs of operating under the lower silica licensing framework. The highest exit rates are expected for sole traders and small businesses who cannot absorb the additional costs of the lower silica licence as well as medium sized businesses. </w:t>
            </w:r>
          </w:p>
        </w:tc>
      </w:tr>
      <w:tr w:rsidR="00425098" w:rsidRPr="000A53C0" w14:paraId="3F15DA09" w14:textId="77777777" w:rsidTr="00DD381C">
        <w:tc>
          <w:tcPr>
            <w:tcW w:w="855" w:type="pct"/>
          </w:tcPr>
          <w:p w14:paraId="768BE2B0" w14:textId="77777777" w:rsidR="00425098" w:rsidRPr="000A53C0" w:rsidRDefault="00425098">
            <w:pPr>
              <w:pStyle w:val="TableBody"/>
              <w:rPr>
                <w:rFonts w:cs="Arial"/>
                <w:b/>
              </w:rPr>
            </w:pPr>
            <w:r w:rsidRPr="000A53C0">
              <w:rPr>
                <w:rFonts w:cs="Arial"/>
                <w:b/>
              </w:rPr>
              <w:t>Total</w:t>
            </w:r>
          </w:p>
        </w:tc>
        <w:tc>
          <w:tcPr>
            <w:tcW w:w="564" w:type="pct"/>
          </w:tcPr>
          <w:p w14:paraId="6F847BA3" w14:textId="77777777" w:rsidR="00425098" w:rsidRPr="000A53C0" w:rsidRDefault="00425098">
            <w:pPr>
              <w:pStyle w:val="TableBody"/>
              <w:rPr>
                <w:rFonts w:cs="Arial"/>
                <w:b/>
              </w:rPr>
            </w:pPr>
          </w:p>
        </w:tc>
        <w:tc>
          <w:tcPr>
            <w:tcW w:w="451" w:type="pct"/>
          </w:tcPr>
          <w:p w14:paraId="4888063D" w14:textId="77777777" w:rsidR="00425098" w:rsidRPr="000A53C0" w:rsidRDefault="00425098">
            <w:pPr>
              <w:pStyle w:val="TableBody"/>
              <w:jc w:val="center"/>
              <w:rPr>
                <w:rFonts w:cs="Arial"/>
                <w:b/>
              </w:rPr>
            </w:pPr>
            <w:r w:rsidRPr="000A53C0">
              <w:rPr>
                <w:rFonts w:cs="Arial"/>
                <w:b/>
              </w:rPr>
              <w:t>100%</w:t>
            </w:r>
          </w:p>
        </w:tc>
        <w:tc>
          <w:tcPr>
            <w:tcW w:w="451" w:type="pct"/>
          </w:tcPr>
          <w:p w14:paraId="25642CE6" w14:textId="77777777" w:rsidR="00425098" w:rsidRPr="000A53C0" w:rsidRDefault="00425098">
            <w:pPr>
              <w:pStyle w:val="TableBody"/>
              <w:jc w:val="center"/>
              <w:rPr>
                <w:rFonts w:cs="Arial"/>
                <w:b/>
              </w:rPr>
            </w:pPr>
            <w:r w:rsidRPr="000A53C0">
              <w:rPr>
                <w:rFonts w:cs="Arial"/>
                <w:b/>
              </w:rPr>
              <w:t>100%</w:t>
            </w:r>
          </w:p>
        </w:tc>
        <w:tc>
          <w:tcPr>
            <w:tcW w:w="451" w:type="pct"/>
          </w:tcPr>
          <w:p w14:paraId="0F1B4C20" w14:textId="77777777" w:rsidR="00425098" w:rsidRPr="000A53C0" w:rsidRDefault="00425098">
            <w:pPr>
              <w:pStyle w:val="TableBody"/>
              <w:jc w:val="center"/>
              <w:rPr>
                <w:rFonts w:cs="Arial"/>
                <w:b/>
              </w:rPr>
            </w:pPr>
            <w:r w:rsidRPr="000A53C0">
              <w:rPr>
                <w:rFonts w:cs="Arial"/>
                <w:b/>
              </w:rPr>
              <w:t>100%</w:t>
            </w:r>
          </w:p>
        </w:tc>
        <w:tc>
          <w:tcPr>
            <w:tcW w:w="2228" w:type="pct"/>
          </w:tcPr>
          <w:p w14:paraId="25440F90" w14:textId="77777777" w:rsidR="00425098" w:rsidRPr="000A53C0" w:rsidRDefault="00425098">
            <w:pPr>
              <w:pStyle w:val="TableBody"/>
              <w:rPr>
                <w:rFonts w:cs="Arial"/>
                <w:b/>
              </w:rPr>
            </w:pPr>
          </w:p>
        </w:tc>
      </w:tr>
    </w:tbl>
    <w:p w14:paraId="445A5320" w14:textId="77777777" w:rsidR="00425098" w:rsidRPr="000A53C0" w:rsidRDefault="00425098" w:rsidP="00425098">
      <w:pPr>
        <w:rPr>
          <w:rFonts w:cs="Arial"/>
        </w:rPr>
      </w:pPr>
    </w:p>
    <w:p w14:paraId="5833D3E1" w14:textId="77777777" w:rsidR="00425098" w:rsidRPr="000A53C0" w:rsidRDefault="00425098" w:rsidP="00425098">
      <w:pPr>
        <w:spacing w:after="120" w:line="264" w:lineRule="auto"/>
        <w:rPr>
          <w:rFonts w:cs="Arial"/>
          <w:color w:val="262626" w:themeColor="text1" w:themeTint="D9"/>
        </w:rPr>
      </w:pPr>
      <w:r w:rsidRPr="000A53C0">
        <w:rPr>
          <w:rFonts w:cs="Arial"/>
        </w:rPr>
        <w:br w:type="page"/>
      </w:r>
    </w:p>
    <w:p w14:paraId="57545619" w14:textId="77777777" w:rsidR="00425098" w:rsidRPr="000A53C0" w:rsidRDefault="00425098" w:rsidP="00514CCB">
      <w:pPr>
        <w:pStyle w:val="Heading2"/>
        <w:sectPr w:rsidR="00425098" w:rsidRPr="000A53C0">
          <w:pgSz w:w="16838" w:h="11906" w:orient="landscape"/>
          <w:pgMar w:top="851" w:right="1559" w:bottom="851" w:left="1701" w:header="567" w:footer="57" w:gutter="0"/>
          <w:cols w:space="708"/>
          <w:docGrid w:linePitch="360"/>
        </w:sectPr>
      </w:pPr>
    </w:p>
    <w:p w14:paraId="5977E47B" w14:textId="6AF32A03" w:rsidR="00425098" w:rsidRPr="000A53C0" w:rsidRDefault="002D500D" w:rsidP="00C84BAF">
      <w:pPr>
        <w:pStyle w:val="App2"/>
        <w:rPr>
          <w:rFonts w:cs="Arial"/>
        </w:rPr>
      </w:pPr>
      <w:bookmarkStart w:id="232" w:name="_Toc136327253"/>
      <w:bookmarkStart w:id="233" w:name="_Ref138152276"/>
      <w:bookmarkStart w:id="234" w:name="_Toc142991366"/>
      <w:r w:rsidRPr="000A53C0">
        <w:rPr>
          <w:rFonts w:cs="Arial"/>
        </w:rPr>
        <w:lastRenderedPageBreak/>
        <w:t>B.</w:t>
      </w:r>
      <w:r w:rsidR="00425098" w:rsidRPr="000A53C0">
        <w:rPr>
          <w:rFonts w:cs="Arial"/>
        </w:rPr>
        <w:t xml:space="preserve">8 Detailed assumptions </w:t>
      </w:r>
      <w:bookmarkEnd w:id="232"/>
      <w:bookmarkEnd w:id="233"/>
      <w:r w:rsidR="00425098" w:rsidRPr="000A53C0">
        <w:rPr>
          <w:rFonts w:cs="Arial"/>
        </w:rPr>
        <w:t>and calculations for monetised costs</w:t>
      </w:r>
      <w:bookmarkEnd w:id="234"/>
    </w:p>
    <w:p w14:paraId="678535FF" w14:textId="50AEC04F" w:rsidR="00425098" w:rsidRPr="000A53C0" w:rsidRDefault="00425098" w:rsidP="00425098">
      <w:pPr>
        <w:pStyle w:val="BodyText"/>
        <w:rPr>
          <w:rFonts w:cs="Arial"/>
        </w:rPr>
      </w:pPr>
      <w:r w:rsidRPr="000A53C0">
        <w:rPr>
          <w:rFonts w:cs="Arial"/>
        </w:rPr>
        <w:t xml:space="preserve">This section provides the detailed calculations and assumptions used to estimate monetised impacts (as per </w:t>
      </w:r>
      <w:r w:rsidRPr="000A53C0">
        <w:rPr>
          <w:rFonts w:cs="Arial"/>
        </w:rPr>
        <w:fldChar w:fldCharType="begin" w:fldLock="1"/>
      </w:r>
      <w:r w:rsidRPr="000A53C0">
        <w:rPr>
          <w:rFonts w:cs="Arial"/>
        </w:rPr>
        <w:instrText xml:space="preserve"> REF _Ref136279584 \h  \* MERGEFORMAT </w:instrText>
      </w:r>
      <w:r w:rsidRPr="000A53C0">
        <w:rPr>
          <w:rFonts w:cs="Arial"/>
        </w:rPr>
      </w:r>
      <w:r w:rsidRPr="000A53C0">
        <w:rPr>
          <w:rFonts w:cs="Arial"/>
        </w:rPr>
        <w:fldChar w:fldCharType="separate"/>
      </w:r>
      <w:r w:rsidR="00D16271" w:rsidRPr="00D16271">
        <w:rPr>
          <w:rFonts w:cs="Arial"/>
        </w:rPr>
        <w:t>Figure 4</w:t>
      </w:r>
      <w:r w:rsidRPr="000A53C0">
        <w:rPr>
          <w:rFonts w:cs="Arial"/>
        </w:rPr>
        <w:fldChar w:fldCharType="end"/>
      </w:r>
      <w:r w:rsidRPr="000A53C0">
        <w:rPr>
          <w:rFonts w:cs="Arial"/>
        </w:rPr>
        <w:t xml:space="preserve">). </w:t>
      </w:r>
    </w:p>
    <w:p w14:paraId="7C756661" w14:textId="3FC794ED" w:rsidR="00425098" w:rsidRPr="000A53C0" w:rsidRDefault="002D500D" w:rsidP="00D657D6">
      <w:pPr>
        <w:pStyle w:val="App3"/>
        <w:rPr>
          <w:rFonts w:cs="Arial"/>
        </w:rPr>
      </w:pPr>
      <w:r w:rsidRPr="000A53C0">
        <w:rPr>
          <w:rFonts w:cs="Arial"/>
        </w:rPr>
        <w:t>B.</w:t>
      </w:r>
      <w:r w:rsidR="00425098" w:rsidRPr="000A53C0">
        <w:rPr>
          <w:rFonts w:cs="Arial"/>
        </w:rPr>
        <w:t>8.1 Key model assumptions</w:t>
      </w:r>
    </w:p>
    <w:p w14:paraId="3EE582E9" w14:textId="77777777" w:rsidR="00425098" w:rsidRPr="000A53C0" w:rsidRDefault="00425098" w:rsidP="00425098">
      <w:pPr>
        <w:pStyle w:val="BodyText"/>
        <w:rPr>
          <w:rFonts w:cs="Arial"/>
        </w:rPr>
      </w:pPr>
      <w:r w:rsidRPr="000A53C0">
        <w:rPr>
          <w:rFonts w:cs="Arial"/>
        </w:rPr>
        <w:t>The following tables present the key assumptions used to estimate the costs identified for workers, engineered stone PCBUs, other industry PCBUs, governments and suppliers for each prohibition option. This analysis was conducted in May 2023, and parameter assumptions were current at that point in time.</w:t>
      </w:r>
    </w:p>
    <w:p w14:paraId="05DBFF3D" w14:textId="4E71CDB9" w:rsidR="00425098" w:rsidRPr="000A53C0" w:rsidRDefault="00425098" w:rsidP="00030457">
      <w:pPr>
        <w:pStyle w:val="Caption"/>
        <w:rPr>
          <w:rFonts w:cs="Arial"/>
        </w:rPr>
      </w:pPr>
      <w:r w:rsidRPr="00DD381C">
        <w:rPr>
          <w:rFonts w:cs="Arial"/>
          <w:b/>
          <w:bCs/>
        </w:rPr>
        <w:t xml:space="preserve">Table </w:t>
      </w:r>
      <w:r w:rsidRPr="00DD381C">
        <w:rPr>
          <w:rFonts w:cs="Arial"/>
          <w:b/>
          <w:bCs/>
        </w:rPr>
        <w:fldChar w:fldCharType="begin"/>
      </w:r>
      <w:r w:rsidRPr="00DD381C">
        <w:rPr>
          <w:rFonts w:cs="Arial"/>
          <w:b/>
          <w:bCs/>
        </w:rPr>
        <w:instrText>SEQ Table \* ARABIC</w:instrText>
      </w:r>
      <w:r w:rsidRPr="00DD381C">
        <w:rPr>
          <w:rFonts w:cs="Arial"/>
          <w:b/>
          <w:bCs/>
        </w:rPr>
        <w:fldChar w:fldCharType="separate"/>
      </w:r>
      <w:r w:rsidR="00D16271">
        <w:rPr>
          <w:rFonts w:cs="Arial"/>
          <w:b/>
          <w:bCs/>
          <w:noProof/>
        </w:rPr>
        <w:t>27</w:t>
      </w:r>
      <w:r w:rsidRPr="00DD381C">
        <w:rPr>
          <w:rFonts w:cs="Arial"/>
          <w:b/>
          <w:bCs/>
        </w:rPr>
        <w:fldChar w:fldCharType="end"/>
      </w:r>
      <w:r w:rsidRPr="000A53C0">
        <w:rPr>
          <w:rFonts w:cs="Arial"/>
        </w:rPr>
        <w:t xml:space="preserve"> Model specification</w:t>
      </w:r>
    </w:p>
    <w:tbl>
      <w:tblPr>
        <w:tblW w:w="1356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Description w:val="*$*$UPSLIDE_TablePasted`_#[%£=+@*$*$UPSLIDE_TablePasted`_#[%£=+@*$*$UPSLIDE_TablePasted`_#[%£=+@*$*$UPSLIDE_TablePasted`_#[%£=+@*$*$UPSLIDE_TablePasted`_#[%£=+@*$*$UPSLIDE_TablePasted`_#[%£=+@*$*$UPSLIDE_TablePasted`_#[%£=+@*$*$UPSLIDE_TablePasted`_#[%£=+@*$*$UPSLIDE_TablePasted`_#[%£=+@*$*$UPSLIDE_TablePasted`_#[%£=+@"/>
      </w:tblPr>
      <w:tblGrid>
        <w:gridCol w:w="3175"/>
        <w:gridCol w:w="3311"/>
        <w:gridCol w:w="7081"/>
      </w:tblGrid>
      <w:tr w:rsidR="00425098" w:rsidRPr="000A53C0" w14:paraId="5C1B5FC5" w14:textId="77777777" w:rsidTr="00DD381C">
        <w:trPr>
          <w:trHeight w:val="438"/>
          <w:tblHeader/>
        </w:trPr>
        <w:tc>
          <w:tcPr>
            <w:tcW w:w="3175" w:type="dxa"/>
            <w:shd w:val="clear" w:color="auto" w:fill="E81D32"/>
            <w:vAlign w:val="center"/>
          </w:tcPr>
          <w:p w14:paraId="63DB6B6C"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Input</w:t>
            </w:r>
          </w:p>
        </w:tc>
        <w:tc>
          <w:tcPr>
            <w:tcW w:w="3311" w:type="dxa"/>
            <w:shd w:val="clear" w:color="auto" w:fill="E81D32"/>
            <w:vAlign w:val="center"/>
          </w:tcPr>
          <w:p w14:paraId="73B50B23"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Assumption</w:t>
            </w:r>
          </w:p>
        </w:tc>
        <w:tc>
          <w:tcPr>
            <w:tcW w:w="7081" w:type="dxa"/>
            <w:shd w:val="clear" w:color="auto" w:fill="E81D32"/>
            <w:vAlign w:val="center"/>
          </w:tcPr>
          <w:p w14:paraId="0379360E"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Source</w:t>
            </w:r>
          </w:p>
        </w:tc>
      </w:tr>
      <w:tr w:rsidR="00425098" w:rsidRPr="000A53C0" w14:paraId="0959B9CB" w14:textId="77777777">
        <w:trPr>
          <w:trHeight w:val="70"/>
        </w:trPr>
        <w:tc>
          <w:tcPr>
            <w:tcW w:w="3175" w:type="dxa"/>
            <w:shd w:val="clear" w:color="auto" w:fill="auto"/>
            <w:vAlign w:val="center"/>
          </w:tcPr>
          <w:p w14:paraId="2135FA9C" w14:textId="77777777" w:rsidR="00425098" w:rsidRPr="000A53C0" w:rsidRDefault="00425098">
            <w:pPr>
              <w:pStyle w:val="TableBody"/>
              <w:rPr>
                <w:rFonts w:cs="Arial"/>
              </w:rPr>
            </w:pPr>
            <w:r w:rsidRPr="000A53C0">
              <w:rPr>
                <w:rFonts w:cs="Arial"/>
              </w:rPr>
              <w:t>Appraisal period</w:t>
            </w:r>
          </w:p>
        </w:tc>
        <w:tc>
          <w:tcPr>
            <w:tcW w:w="3311" w:type="dxa"/>
            <w:vAlign w:val="center"/>
          </w:tcPr>
          <w:p w14:paraId="2EDBF7AF" w14:textId="77777777" w:rsidR="00425098" w:rsidRPr="000A53C0" w:rsidRDefault="00425098">
            <w:pPr>
              <w:pStyle w:val="TableBody"/>
              <w:rPr>
                <w:rFonts w:cs="Arial"/>
              </w:rPr>
            </w:pPr>
            <w:r w:rsidRPr="000A53C0">
              <w:rPr>
                <w:rFonts w:cs="Arial"/>
              </w:rPr>
              <w:t xml:space="preserve">1 July 2023 – June 30 2034 </w:t>
            </w:r>
          </w:p>
          <w:p w14:paraId="47B9B337" w14:textId="77777777" w:rsidR="00425098" w:rsidRPr="000A53C0" w:rsidRDefault="00425098">
            <w:pPr>
              <w:pStyle w:val="TableBody"/>
              <w:rPr>
                <w:rFonts w:cs="Arial"/>
              </w:rPr>
            </w:pPr>
            <w:r w:rsidRPr="000A53C0">
              <w:rPr>
                <w:rFonts w:cs="Arial"/>
              </w:rPr>
              <w:t>(includes a 1-year implementation period and 10-year operational period)</w:t>
            </w:r>
          </w:p>
        </w:tc>
        <w:tc>
          <w:tcPr>
            <w:tcW w:w="7081" w:type="dxa"/>
            <w:vAlign w:val="center"/>
          </w:tcPr>
          <w:p w14:paraId="3A1D1920" w14:textId="77777777" w:rsidR="00425098" w:rsidRPr="000A53C0" w:rsidRDefault="00425098">
            <w:pPr>
              <w:pStyle w:val="TableBody"/>
              <w:rPr>
                <w:rFonts w:cs="Arial"/>
              </w:rPr>
            </w:pPr>
            <w:r w:rsidRPr="000A53C0">
              <w:rPr>
                <w:rFonts w:cs="Arial"/>
              </w:rPr>
              <w:t>Model assumption</w:t>
            </w:r>
          </w:p>
        </w:tc>
      </w:tr>
      <w:tr w:rsidR="00425098" w:rsidRPr="000A53C0" w14:paraId="5353D89A" w14:textId="77777777">
        <w:trPr>
          <w:trHeight w:val="394"/>
        </w:trPr>
        <w:tc>
          <w:tcPr>
            <w:tcW w:w="3175" w:type="dxa"/>
            <w:shd w:val="clear" w:color="auto" w:fill="auto"/>
            <w:vAlign w:val="center"/>
          </w:tcPr>
          <w:p w14:paraId="52395A11" w14:textId="77777777" w:rsidR="00425098" w:rsidRPr="000A53C0" w:rsidRDefault="00425098">
            <w:pPr>
              <w:pStyle w:val="TableBody"/>
              <w:rPr>
                <w:rFonts w:cs="Arial"/>
              </w:rPr>
            </w:pPr>
            <w:r w:rsidRPr="000A53C0">
              <w:rPr>
                <w:rFonts w:cs="Arial"/>
              </w:rPr>
              <w:t>Date the prohibition takes effect</w:t>
            </w:r>
          </w:p>
        </w:tc>
        <w:tc>
          <w:tcPr>
            <w:tcW w:w="3311" w:type="dxa"/>
            <w:vAlign w:val="center"/>
          </w:tcPr>
          <w:p w14:paraId="7D41164A" w14:textId="77777777" w:rsidR="00425098" w:rsidRPr="000A53C0" w:rsidRDefault="00425098">
            <w:pPr>
              <w:pStyle w:val="TableBody"/>
              <w:rPr>
                <w:rFonts w:cs="Arial"/>
              </w:rPr>
            </w:pPr>
            <w:r w:rsidRPr="000A53C0">
              <w:rPr>
                <w:rFonts w:cs="Arial"/>
              </w:rPr>
              <w:t>1 July 2024</w:t>
            </w:r>
          </w:p>
        </w:tc>
        <w:tc>
          <w:tcPr>
            <w:tcW w:w="7081" w:type="dxa"/>
            <w:vAlign w:val="center"/>
          </w:tcPr>
          <w:p w14:paraId="45010619" w14:textId="77777777" w:rsidR="00425098" w:rsidRPr="000A53C0" w:rsidRDefault="00425098">
            <w:pPr>
              <w:pStyle w:val="TableBody"/>
              <w:rPr>
                <w:rFonts w:cs="Arial"/>
              </w:rPr>
            </w:pPr>
            <w:r w:rsidRPr="000A53C0">
              <w:rPr>
                <w:rFonts w:cs="Arial"/>
              </w:rPr>
              <w:t>Model assumption</w:t>
            </w:r>
          </w:p>
        </w:tc>
      </w:tr>
      <w:tr w:rsidR="00425098" w:rsidRPr="000A53C0" w14:paraId="6C893473" w14:textId="77777777">
        <w:trPr>
          <w:trHeight w:val="394"/>
        </w:trPr>
        <w:tc>
          <w:tcPr>
            <w:tcW w:w="3175" w:type="dxa"/>
            <w:shd w:val="clear" w:color="auto" w:fill="auto"/>
            <w:vAlign w:val="center"/>
          </w:tcPr>
          <w:p w14:paraId="52A97EE2" w14:textId="77777777" w:rsidR="00425098" w:rsidRPr="000A53C0" w:rsidRDefault="00425098">
            <w:pPr>
              <w:pStyle w:val="TableBody"/>
              <w:rPr>
                <w:rFonts w:cs="Arial"/>
              </w:rPr>
            </w:pPr>
            <w:r w:rsidRPr="000A53C0">
              <w:rPr>
                <w:rFonts w:cs="Arial"/>
              </w:rPr>
              <w:t>Real discount rate</w:t>
            </w:r>
          </w:p>
        </w:tc>
        <w:tc>
          <w:tcPr>
            <w:tcW w:w="3311" w:type="dxa"/>
            <w:vAlign w:val="center"/>
          </w:tcPr>
          <w:p w14:paraId="4B75965E" w14:textId="77777777" w:rsidR="00425098" w:rsidRPr="000A53C0" w:rsidRDefault="00425098">
            <w:pPr>
              <w:pStyle w:val="TableBody"/>
              <w:rPr>
                <w:rFonts w:cs="Arial"/>
              </w:rPr>
            </w:pPr>
            <w:r w:rsidRPr="000A53C0">
              <w:rPr>
                <w:rFonts w:cs="Arial"/>
              </w:rPr>
              <w:t>7%</w:t>
            </w:r>
          </w:p>
        </w:tc>
        <w:tc>
          <w:tcPr>
            <w:tcW w:w="7081" w:type="dxa"/>
            <w:vAlign w:val="center"/>
          </w:tcPr>
          <w:p w14:paraId="79166E0F" w14:textId="77777777" w:rsidR="00425098" w:rsidRPr="000A53C0" w:rsidRDefault="00425098">
            <w:pPr>
              <w:pStyle w:val="TableBody"/>
              <w:rPr>
                <w:rFonts w:cs="Arial"/>
              </w:rPr>
            </w:pPr>
            <w:r w:rsidRPr="000A53C0">
              <w:rPr>
                <w:rFonts w:cs="Arial"/>
              </w:rPr>
              <w:t>Office of Best Practice Regulation (Department of Prime Minister and Cabinet, 2020)</w:t>
            </w:r>
          </w:p>
        </w:tc>
      </w:tr>
      <w:tr w:rsidR="00425098" w:rsidRPr="000A53C0" w14:paraId="28D4913B" w14:textId="77777777">
        <w:trPr>
          <w:trHeight w:val="394"/>
        </w:trPr>
        <w:tc>
          <w:tcPr>
            <w:tcW w:w="3175" w:type="dxa"/>
            <w:shd w:val="clear" w:color="auto" w:fill="auto"/>
            <w:vAlign w:val="center"/>
          </w:tcPr>
          <w:p w14:paraId="66AE1B7B" w14:textId="77777777" w:rsidR="00425098" w:rsidRPr="000A53C0" w:rsidRDefault="00425098">
            <w:pPr>
              <w:pStyle w:val="TableBody"/>
              <w:rPr>
                <w:rFonts w:cs="Arial"/>
              </w:rPr>
            </w:pPr>
            <w:r w:rsidRPr="000A53C0">
              <w:rPr>
                <w:rFonts w:cs="Arial"/>
              </w:rPr>
              <w:t>Inflation</w:t>
            </w:r>
          </w:p>
        </w:tc>
        <w:tc>
          <w:tcPr>
            <w:tcW w:w="3311" w:type="dxa"/>
            <w:vAlign w:val="center"/>
          </w:tcPr>
          <w:p w14:paraId="406139B1" w14:textId="77777777" w:rsidR="00425098" w:rsidRPr="000A53C0" w:rsidRDefault="00425098">
            <w:pPr>
              <w:pStyle w:val="TableBody"/>
              <w:rPr>
                <w:rFonts w:cs="Arial"/>
              </w:rPr>
            </w:pPr>
            <w:r w:rsidRPr="000A53C0">
              <w:rPr>
                <w:rFonts w:cs="Arial"/>
              </w:rPr>
              <w:t>3.3%</w:t>
            </w:r>
          </w:p>
        </w:tc>
        <w:tc>
          <w:tcPr>
            <w:tcW w:w="7081" w:type="dxa"/>
            <w:vAlign w:val="center"/>
          </w:tcPr>
          <w:p w14:paraId="6CEF0660" w14:textId="77777777" w:rsidR="00425098" w:rsidRPr="000A53C0" w:rsidRDefault="00425098">
            <w:pPr>
              <w:pStyle w:val="TableBody"/>
              <w:rPr>
                <w:rFonts w:cs="Arial"/>
              </w:rPr>
            </w:pPr>
            <w:r w:rsidRPr="000A53C0">
              <w:rPr>
                <w:rFonts w:cs="Arial"/>
              </w:rPr>
              <w:t>Average of forecast CPI at June 2024, December 2024 and June 2025; RBA forecast May 2023 (RBA, 2023)</w:t>
            </w:r>
          </w:p>
        </w:tc>
      </w:tr>
      <w:tr w:rsidR="00425098" w:rsidRPr="000A53C0" w14:paraId="194BCAF8" w14:textId="77777777">
        <w:trPr>
          <w:trHeight w:val="394"/>
        </w:trPr>
        <w:tc>
          <w:tcPr>
            <w:tcW w:w="3175" w:type="dxa"/>
            <w:shd w:val="clear" w:color="auto" w:fill="auto"/>
            <w:vAlign w:val="center"/>
          </w:tcPr>
          <w:p w14:paraId="7DD43DC0" w14:textId="77777777" w:rsidR="00425098" w:rsidRPr="000A53C0" w:rsidRDefault="00425098">
            <w:pPr>
              <w:pStyle w:val="TableBody"/>
              <w:rPr>
                <w:rFonts w:cs="Arial"/>
              </w:rPr>
            </w:pPr>
            <w:r w:rsidRPr="000A53C0">
              <w:rPr>
                <w:rFonts w:cs="Arial"/>
              </w:rPr>
              <w:t>Nominal discount rate</w:t>
            </w:r>
          </w:p>
        </w:tc>
        <w:tc>
          <w:tcPr>
            <w:tcW w:w="3311" w:type="dxa"/>
            <w:vAlign w:val="center"/>
          </w:tcPr>
          <w:p w14:paraId="5251ED3A" w14:textId="77777777" w:rsidR="00425098" w:rsidRPr="000A53C0" w:rsidRDefault="00425098">
            <w:pPr>
              <w:pStyle w:val="TableBody"/>
              <w:rPr>
                <w:rFonts w:cs="Arial"/>
              </w:rPr>
            </w:pPr>
            <w:r w:rsidRPr="000A53C0">
              <w:rPr>
                <w:rFonts w:cs="Arial"/>
              </w:rPr>
              <w:t>10.5%</w:t>
            </w:r>
          </w:p>
        </w:tc>
        <w:tc>
          <w:tcPr>
            <w:tcW w:w="7081" w:type="dxa"/>
            <w:vAlign w:val="center"/>
          </w:tcPr>
          <w:p w14:paraId="2C06BB4A" w14:textId="77777777" w:rsidR="00425098" w:rsidRPr="000A53C0" w:rsidRDefault="00425098">
            <w:pPr>
              <w:pStyle w:val="TableBody"/>
              <w:rPr>
                <w:rFonts w:cs="Arial"/>
              </w:rPr>
            </w:pPr>
            <w:r w:rsidRPr="000A53C0">
              <w:rPr>
                <w:rFonts w:cs="Arial"/>
              </w:rPr>
              <w:t>Fisher formula</w:t>
            </w:r>
          </w:p>
        </w:tc>
      </w:tr>
    </w:tbl>
    <w:p w14:paraId="0BB651B5" w14:textId="72D891AD" w:rsidR="00425098" w:rsidRPr="000A53C0" w:rsidRDefault="00425098" w:rsidP="00030457">
      <w:pPr>
        <w:pStyle w:val="Caption"/>
        <w:rPr>
          <w:rFonts w:cs="Arial"/>
        </w:rPr>
      </w:pPr>
      <w:bookmarkStart w:id="235" w:name="_Ref135928043"/>
      <w:r w:rsidRPr="000A53C0">
        <w:rPr>
          <w:rFonts w:cs="Arial"/>
        </w:rPr>
        <w:t xml:space="preserve">Table </w:t>
      </w:r>
      <w:r w:rsidRPr="000A53C0">
        <w:rPr>
          <w:rFonts w:cs="Arial"/>
        </w:rPr>
        <w:fldChar w:fldCharType="begin"/>
      </w:r>
      <w:r w:rsidRPr="000A53C0">
        <w:rPr>
          <w:rFonts w:cs="Arial"/>
        </w:rPr>
        <w:instrText>SEQ Table \* ARABIC</w:instrText>
      </w:r>
      <w:r w:rsidRPr="000A53C0">
        <w:rPr>
          <w:rFonts w:cs="Arial"/>
        </w:rPr>
        <w:fldChar w:fldCharType="separate"/>
      </w:r>
      <w:r w:rsidR="00D16271">
        <w:rPr>
          <w:rFonts w:cs="Arial"/>
          <w:noProof/>
        </w:rPr>
        <w:t>28</w:t>
      </w:r>
      <w:r w:rsidRPr="000A53C0">
        <w:rPr>
          <w:rFonts w:cs="Arial"/>
        </w:rPr>
        <w:fldChar w:fldCharType="end"/>
      </w:r>
      <w:bookmarkEnd w:id="235"/>
      <w:r w:rsidRPr="000A53C0">
        <w:rPr>
          <w:rFonts w:cs="Arial"/>
        </w:rPr>
        <w:t>: Wages, redundancy and PCBU exit costs</w:t>
      </w:r>
    </w:p>
    <w:tbl>
      <w:tblP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
      </w:tblPr>
      <w:tblGrid>
        <w:gridCol w:w="3256"/>
        <w:gridCol w:w="3260"/>
        <w:gridCol w:w="7052"/>
      </w:tblGrid>
      <w:tr w:rsidR="00425098" w:rsidRPr="000A53C0" w14:paraId="33006A10" w14:textId="77777777" w:rsidTr="00DD381C">
        <w:trPr>
          <w:trHeight w:val="159"/>
          <w:tblHeader/>
        </w:trPr>
        <w:tc>
          <w:tcPr>
            <w:tcW w:w="3256" w:type="dxa"/>
            <w:shd w:val="clear" w:color="auto" w:fill="E81D32"/>
            <w:tcMar>
              <w:top w:w="72" w:type="dxa"/>
              <w:left w:w="144" w:type="dxa"/>
              <w:bottom w:w="72" w:type="dxa"/>
              <w:right w:w="144" w:type="dxa"/>
            </w:tcMar>
            <w:vAlign w:val="center"/>
            <w:hideMark/>
          </w:tcPr>
          <w:p w14:paraId="6C693669"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Input</w:t>
            </w:r>
          </w:p>
        </w:tc>
        <w:tc>
          <w:tcPr>
            <w:tcW w:w="3260" w:type="dxa"/>
            <w:shd w:val="clear" w:color="auto" w:fill="E81D32"/>
            <w:hideMark/>
          </w:tcPr>
          <w:p w14:paraId="1B595A0D"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Assumption</w:t>
            </w:r>
          </w:p>
        </w:tc>
        <w:tc>
          <w:tcPr>
            <w:tcW w:w="7052" w:type="dxa"/>
            <w:shd w:val="clear" w:color="auto" w:fill="E81D32"/>
          </w:tcPr>
          <w:p w14:paraId="4DE05A98" w14:textId="77777777" w:rsidR="00425098" w:rsidRPr="00DD381C" w:rsidRDefault="00425098" w:rsidP="00DD381C">
            <w:pPr>
              <w:pStyle w:val="TableHeading"/>
              <w:spacing w:before="0" w:after="0"/>
              <w:rPr>
                <w:rFonts w:ascii="Arial" w:hAnsi="Arial" w:cs="Arial"/>
                <w:color w:val="FFFFFF" w:themeColor="background1"/>
              </w:rPr>
            </w:pPr>
            <w:r w:rsidRPr="00DD381C">
              <w:rPr>
                <w:rFonts w:ascii="Arial" w:hAnsi="Arial" w:cs="Arial"/>
                <w:color w:val="FFFFFF" w:themeColor="background1"/>
              </w:rPr>
              <w:t>Source</w:t>
            </w:r>
          </w:p>
        </w:tc>
      </w:tr>
      <w:tr w:rsidR="00425098" w:rsidRPr="000A53C0" w14:paraId="1F04C422" w14:textId="77777777">
        <w:trPr>
          <w:trHeight w:val="391"/>
        </w:trPr>
        <w:tc>
          <w:tcPr>
            <w:tcW w:w="3256" w:type="dxa"/>
            <w:shd w:val="clear" w:color="auto" w:fill="auto"/>
            <w:tcMar>
              <w:top w:w="72" w:type="dxa"/>
              <w:left w:w="144" w:type="dxa"/>
              <w:bottom w:w="72" w:type="dxa"/>
              <w:right w:w="144" w:type="dxa"/>
            </w:tcMar>
          </w:tcPr>
          <w:p w14:paraId="31F1B06B" w14:textId="77777777" w:rsidR="00425098" w:rsidRPr="000A53C0" w:rsidRDefault="00425098">
            <w:pPr>
              <w:pStyle w:val="TableBody"/>
              <w:rPr>
                <w:rFonts w:cs="Arial"/>
                <w:color w:val="FFFFFF" w:themeColor="background1"/>
                <w:szCs w:val="18"/>
              </w:rPr>
            </w:pPr>
            <w:r w:rsidRPr="000A53C0">
              <w:rPr>
                <w:rFonts w:cs="Arial"/>
                <w:szCs w:val="18"/>
              </w:rPr>
              <w:t>Average hours of work per week</w:t>
            </w:r>
            <w:r w:rsidRPr="000A53C0">
              <w:rPr>
                <w:rFonts w:cs="Arial"/>
                <w:color w:val="auto"/>
                <w:szCs w:val="18"/>
              </w:rPr>
              <w:t xml:space="preserve"> for workers</w:t>
            </w:r>
          </w:p>
        </w:tc>
        <w:tc>
          <w:tcPr>
            <w:tcW w:w="3260" w:type="dxa"/>
            <w:shd w:val="clear" w:color="auto" w:fill="FFFFFF" w:themeFill="background1"/>
          </w:tcPr>
          <w:p w14:paraId="2009D316" w14:textId="77777777" w:rsidR="00425098" w:rsidRPr="000A53C0" w:rsidRDefault="00425098">
            <w:pPr>
              <w:pStyle w:val="TableBody"/>
              <w:rPr>
                <w:rFonts w:cs="Arial"/>
                <w:szCs w:val="18"/>
              </w:rPr>
            </w:pPr>
            <w:r w:rsidRPr="000A53C0">
              <w:rPr>
                <w:rFonts w:cs="Arial"/>
                <w:szCs w:val="18"/>
              </w:rPr>
              <w:t>38</w:t>
            </w:r>
          </w:p>
        </w:tc>
        <w:tc>
          <w:tcPr>
            <w:tcW w:w="7052" w:type="dxa"/>
            <w:shd w:val="clear" w:color="auto" w:fill="FFFFFF" w:themeFill="background1"/>
          </w:tcPr>
          <w:p w14:paraId="33F3C125" w14:textId="77777777" w:rsidR="00425098" w:rsidRPr="000A53C0" w:rsidRDefault="00425098">
            <w:pPr>
              <w:pStyle w:val="TableBody"/>
              <w:rPr>
                <w:rFonts w:cs="Arial"/>
                <w:szCs w:val="18"/>
              </w:rPr>
            </w:pPr>
            <w:r w:rsidRPr="000A53C0">
              <w:rPr>
                <w:rFonts w:cs="Arial"/>
                <w:szCs w:val="18"/>
              </w:rPr>
              <w:t xml:space="preserve">Australian Bureau of Statistics, 2022 </w:t>
            </w:r>
          </w:p>
          <w:p w14:paraId="29456D3A" w14:textId="77777777" w:rsidR="00425098" w:rsidRPr="000A53C0" w:rsidRDefault="00425098">
            <w:pPr>
              <w:pStyle w:val="TableBody"/>
              <w:rPr>
                <w:rFonts w:cs="Arial"/>
                <w:szCs w:val="18"/>
              </w:rPr>
            </w:pPr>
            <w:r w:rsidRPr="000A53C0">
              <w:rPr>
                <w:rFonts w:cs="Arial"/>
                <w:szCs w:val="18"/>
              </w:rPr>
              <w:t>Census of Population and Housing: Income and work data summary, 2021, Table 12. Hours worked by age by sex (ABS, 2022)</w:t>
            </w:r>
          </w:p>
          <w:p w14:paraId="677C1A2B" w14:textId="77777777" w:rsidR="00425098" w:rsidRPr="000A53C0" w:rsidRDefault="00425098">
            <w:pPr>
              <w:pStyle w:val="TableBody"/>
              <w:rPr>
                <w:rFonts w:cs="Arial"/>
                <w:szCs w:val="18"/>
              </w:rPr>
            </w:pPr>
            <w:r w:rsidRPr="000A53C0">
              <w:rPr>
                <w:rFonts w:cs="Arial"/>
                <w:szCs w:val="18"/>
              </w:rPr>
              <w:t>Also these hours are the maximum hours per week permitted under National Employment Standards (Fair Work Ombudsman, no date)</w:t>
            </w:r>
          </w:p>
        </w:tc>
      </w:tr>
      <w:tr w:rsidR="00425098" w:rsidRPr="000A53C0" w14:paraId="231855E0" w14:textId="77777777">
        <w:trPr>
          <w:trHeight w:val="391"/>
        </w:trPr>
        <w:tc>
          <w:tcPr>
            <w:tcW w:w="3256" w:type="dxa"/>
            <w:shd w:val="clear" w:color="auto" w:fill="auto"/>
            <w:tcMar>
              <w:top w:w="72" w:type="dxa"/>
              <w:left w:w="144" w:type="dxa"/>
              <w:bottom w:w="72" w:type="dxa"/>
              <w:right w:w="144" w:type="dxa"/>
            </w:tcMar>
          </w:tcPr>
          <w:p w14:paraId="14E4FE08" w14:textId="77777777" w:rsidR="00425098" w:rsidRPr="000A53C0" w:rsidRDefault="00425098">
            <w:pPr>
              <w:pStyle w:val="TableBody"/>
              <w:rPr>
                <w:rFonts w:cs="Arial"/>
              </w:rPr>
            </w:pPr>
            <w:r w:rsidRPr="000A53C0">
              <w:rPr>
                <w:rFonts w:cs="Arial"/>
              </w:rPr>
              <w:t xml:space="preserve">APS average hours of work per week </w:t>
            </w:r>
          </w:p>
        </w:tc>
        <w:tc>
          <w:tcPr>
            <w:tcW w:w="3260" w:type="dxa"/>
            <w:shd w:val="clear" w:color="auto" w:fill="FFFFFF" w:themeFill="background1"/>
          </w:tcPr>
          <w:p w14:paraId="2FF23CCB" w14:textId="77777777" w:rsidR="00425098" w:rsidRPr="000A53C0" w:rsidRDefault="00425098">
            <w:pPr>
              <w:pStyle w:val="TableBody"/>
              <w:rPr>
                <w:rFonts w:cs="Arial"/>
              </w:rPr>
            </w:pPr>
            <w:r w:rsidRPr="000A53C0">
              <w:rPr>
                <w:rFonts w:cs="Arial"/>
              </w:rPr>
              <w:t>37.5</w:t>
            </w:r>
          </w:p>
        </w:tc>
        <w:tc>
          <w:tcPr>
            <w:tcW w:w="7052" w:type="dxa"/>
            <w:shd w:val="clear" w:color="auto" w:fill="FFFFFF" w:themeFill="background1"/>
          </w:tcPr>
          <w:p w14:paraId="7B1300F3" w14:textId="77777777" w:rsidR="00425098" w:rsidRPr="000A53C0" w:rsidRDefault="00425098">
            <w:pPr>
              <w:pStyle w:val="TableBody"/>
              <w:rPr>
                <w:rFonts w:cs="Arial"/>
              </w:rPr>
            </w:pPr>
            <w:r w:rsidRPr="000A53C0">
              <w:rPr>
                <w:rFonts w:cs="Arial"/>
              </w:rPr>
              <w:t>APS positions: Australian Public Service Commission (Australian Public Service Commission, no date)</w:t>
            </w:r>
          </w:p>
        </w:tc>
      </w:tr>
      <w:tr w:rsidR="00425098" w:rsidRPr="000A53C0" w14:paraId="10391F63" w14:textId="77777777">
        <w:trPr>
          <w:trHeight w:val="391"/>
        </w:trPr>
        <w:tc>
          <w:tcPr>
            <w:tcW w:w="3256" w:type="dxa"/>
            <w:shd w:val="clear" w:color="auto" w:fill="auto"/>
            <w:tcMar>
              <w:top w:w="72" w:type="dxa"/>
              <w:left w:w="144" w:type="dxa"/>
              <w:bottom w:w="72" w:type="dxa"/>
              <w:right w:w="144" w:type="dxa"/>
            </w:tcMar>
          </w:tcPr>
          <w:p w14:paraId="77A345EB" w14:textId="77777777" w:rsidR="00425098" w:rsidRPr="000A53C0" w:rsidRDefault="00425098">
            <w:pPr>
              <w:pStyle w:val="TableBody"/>
              <w:rPr>
                <w:rFonts w:cs="Arial"/>
              </w:rPr>
            </w:pPr>
            <w:r w:rsidRPr="000A53C0">
              <w:rPr>
                <w:rFonts w:cs="Arial"/>
              </w:rPr>
              <w:lastRenderedPageBreak/>
              <w:t>APS weeks worked per year</w:t>
            </w:r>
          </w:p>
        </w:tc>
        <w:tc>
          <w:tcPr>
            <w:tcW w:w="3260" w:type="dxa"/>
            <w:shd w:val="clear" w:color="auto" w:fill="FFFFFF" w:themeFill="background1"/>
          </w:tcPr>
          <w:p w14:paraId="4DBE3684" w14:textId="77777777" w:rsidR="00425098" w:rsidRPr="000A53C0" w:rsidRDefault="00425098">
            <w:pPr>
              <w:pStyle w:val="TableBody"/>
              <w:rPr>
                <w:rFonts w:cs="Arial"/>
              </w:rPr>
            </w:pPr>
            <w:r w:rsidRPr="000A53C0">
              <w:rPr>
                <w:rFonts w:cs="Arial"/>
              </w:rPr>
              <w:t>45</w:t>
            </w:r>
          </w:p>
        </w:tc>
        <w:tc>
          <w:tcPr>
            <w:tcW w:w="7052" w:type="dxa"/>
            <w:shd w:val="clear" w:color="auto" w:fill="FFFFFF" w:themeFill="background1"/>
          </w:tcPr>
          <w:p w14:paraId="153E4065" w14:textId="77777777" w:rsidR="00425098" w:rsidRPr="000A53C0" w:rsidRDefault="00425098">
            <w:pPr>
              <w:pStyle w:val="TableBody"/>
              <w:rPr>
                <w:rFonts w:cs="Arial"/>
              </w:rPr>
            </w:pPr>
            <w:r w:rsidRPr="000A53C0">
              <w:rPr>
                <w:rFonts w:cs="Arial"/>
              </w:rPr>
              <w:t xml:space="preserve">4 weeks annual leave and 15 days sick leave= 45 working weeks based on APS (Department of Defence, no date) </w:t>
            </w:r>
          </w:p>
        </w:tc>
      </w:tr>
      <w:tr w:rsidR="00425098" w:rsidRPr="000A53C0" w14:paraId="13D9344F" w14:textId="77777777">
        <w:trPr>
          <w:trHeight w:val="391"/>
        </w:trPr>
        <w:tc>
          <w:tcPr>
            <w:tcW w:w="3256" w:type="dxa"/>
            <w:shd w:val="clear" w:color="auto" w:fill="auto"/>
            <w:tcMar>
              <w:top w:w="72" w:type="dxa"/>
              <w:left w:w="144" w:type="dxa"/>
              <w:bottom w:w="72" w:type="dxa"/>
              <w:right w:w="144" w:type="dxa"/>
            </w:tcMar>
          </w:tcPr>
          <w:p w14:paraId="7A75D162" w14:textId="77777777" w:rsidR="00425098" w:rsidRPr="000A53C0" w:rsidRDefault="00425098">
            <w:pPr>
              <w:pStyle w:val="TableBody"/>
              <w:rPr>
                <w:rFonts w:cs="Arial"/>
              </w:rPr>
            </w:pPr>
            <w:r w:rsidRPr="000A53C0">
              <w:rPr>
                <w:rFonts w:cs="Arial"/>
              </w:rPr>
              <w:t>Average weekly earnings for engineered stone PCBU and other industry PCBU workers</w:t>
            </w:r>
          </w:p>
        </w:tc>
        <w:tc>
          <w:tcPr>
            <w:tcW w:w="3260" w:type="dxa"/>
            <w:shd w:val="clear" w:color="auto" w:fill="FFFFFF" w:themeFill="background1"/>
          </w:tcPr>
          <w:p w14:paraId="14EE9431" w14:textId="77777777" w:rsidR="00425098" w:rsidRPr="000A53C0" w:rsidRDefault="00425098">
            <w:pPr>
              <w:pStyle w:val="TableBody"/>
              <w:rPr>
                <w:rFonts w:cs="Arial"/>
              </w:rPr>
            </w:pPr>
            <w:r w:rsidRPr="000A53C0">
              <w:rPr>
                <w:rFonts w:cs="Arial"/>
              </w:rPr>
              <w:t>$1,786.00</w:t>
            </w:r>
          </w:p>
        </w:tc>
        <w:tc>
          <w:tcPr>
            <w:tcW w:w="7052" w:type="dxa"/>
            <w:shd w:val="clear" w:color="auto" w:fill="FFFFFF" w:themeFill="background1"/>
          </w:tcPr>
          <w:p w14:paraId="1FB7CB62" w14:textId="77777777" w:rsidR="00425098" w:rsidRPr="000A53C0" w:rsidRDefault="00425098">
            <w:pPr>
              <w:pStyle w:val="TableBody"/>
              <w:rPr>
                <w:rFonts w:cs="Arial"/>
              </w:rPr>
            </w:pPr>
            <w:r w:rsidRPr="000A53C0">
              <w:rPr>
                <w:rFonts w:cs="Arial"/>
              </w:rPr>
              <w:t>Australian Bureau of Statistics, Average Weekly Earnings, Australia November 2022, Average weekly ordinary time earnings, full-time adults by industry, original series; construction industry</w:t>
            </w:r>
          </w:p>
          <w:p w14:paraId="69022F30" w14:textId="77777777" w:rsidR="00425098" w:rsidRPr="000A53C0" w:rsidRDefault="00425098">
            <w:pPr>
              <w:pStyle w:val="TableBody"/>
              <w:rPr>
                <w:rFonts w:cs="Arial"/>
              </w:rPr>
            </w:pPr>
            <w:r w:rsidRPr="000A53C0">
              <w:rPr>
                <w:rFonts w:cs="Arial"/>
              </w:rPr>
              <w:t>Use of this rate is a simplifying assumption given the various award rates for different types of trades and their various allowances on top of minimum hourly rates. In addition, it is a simplifying assumption that all employees are full-time employed.</w:t>
            </w:r>
          </w:p>
        </w:tc>
      </w:tr>
      <w:tr w:rsidR="00425098" w:rsidRPr="000A53C0" w14:paraId="60DBEE25" w14:textId="77777777">
        <w:trPr>
          <w:trHeight w:val="391"/>
        </w:trPr>
        <w:tc>
          <w:tcPr>
            <w:tcW w:w="3256" w:type="dxa"/>
            <w:shd w:val="clear" w:color="auto" w:fill="auto"/>
            <w:tcMar>
              <w:top w:w="72" w:type="dxa"/>
              <w:left w:w="144" w:type="dxa"/>
              <w:bottom w:w="72" w:type="dxa"/>
              <w:right w:w="144" w:type="dxa"/>
            </w:tcMar>
          </w:tcPr>
          <w:p w14:paraId="0EB87572" w14:textId="77777777" w:rsidR="00425098" w:rsidRPr="000A53C0" w:rsidRDefault="00425098">
            <w:pPr>
              <w:pStyle w:val="TableBody"/>
              <w:rPr>
                <w:rFonts w:cs="Arial"/>
              </w:rPr>
            </w:pPr>
            <w:r w:rsidRPr="000A53C0">
              <w:rPr>
                <w:rFonts w:cs="Arial"/>
              </w:rPr>
              <w:t>Engineered stone PCBU and other industry PCBU worker average hourly wage rate</w:t>
            </w:r>
          </w:p>
        </w:tc>
        <w:tc>
          <w:tcPr>
            <w:tcW w:w="3260" w:type="dxa"/>
            <w:shd w:val="clear" w:color="auto" w:fill="FFFFFF" w:themeFill="background1"/>
          </w:tcPr>
          <w:p w14:paraId="557E5979" w14:textId="77777777" w:rsidR="00425098" w:rsidRPr="000A53C0" w:rsidRDefault="00425098">
            <w:pPr>
              <w:pStyle w:val="TableBody"/>
              <w:rPr>
                <w:rFonts w:cs="Arial"/>
              </w:rPr>
            </w:pPr>
            <w:r w:rsidRPr="000A53C0">
              <w:rPr>
                <w:rFonts w:cs="Arial"/>
              </w:rPr>
              <w:t>$47.00</w:t>
            </w:r>
          </w:p>
        </w:tc>
        <w:tc>
          <w:tcPr>
            <w:tcW w:w="7052" w:type="dxa"/>
            <w:shd w:val="clear" w:color="auto" w:fill="FFFFFF" w:themeFill="background1"/>
          </w:tcPr>
          <w:p w14:paraId="6B3B6699" w14:textId="77777777" w:rsidR="00425098" w:rsidRPr="000A53C0" w:rsidRDefault="00425098">
            <w:pPr>
              <w:pStyle w:val="TableBody"/>
              <w:rPr>
                <w:rFonts w:cs="Arial"/>
              </w:rPr>
            </w:pPr>
            <w:r w:rsidRPr="000A53C0">
              <w:rPr>
                <w:rFonts w:cs="Arial"/>
              </w:rPr>
              <w:t>From average weekly earnings of $1,786.00 and average hours per week of 38</w:t>
            </w:r>
          </w:p>
        </w:tc>
      </w:tr>
      <w:tr w:rsidR="00425098" w:rsidRPr="000A53C0" w14:paraId="4F76F07C" w14:textId="77777777">
        <w:trPr>
          <w:trHeight w:val="391"/>
        </w:trPr>
        <w:tc>
          <w:tcPr>
            <w:tcW w:w="3256" w:type="dxa"/>
            <w:shd w:val="clear" w:color="auto" w:fill="auto"/>
            <w:tcMar>
              <w:top w:w="72" w:type="dxa"/>
              <w:left w:w="144" w:type="dxa"/>
              <w:bottom w:w="72" w:type="dxa"/>
              <w:right w:w="144" w:type="dxa"/>
            </w:tcMar>
          </w:tcPr>
          <w:p w14:paraId="704BF74D" w14:textId="77777777" w:rsidR="00425098" w:rsidRPr="000A53C0" w:rsidRDefault="00425098">
            <w:pPr>
              <w:pStyle w:val="TableBody"/>
              <w:rPr>
                <w:rFonts w:cs="Arial"/>
              </w:rPr>
            </w:pPr>
            <w:r w:rsidRPr="000A53C0">
              <w:rPr>
                <w:rFonts w:cs="Arial"/>
              </w:rPr>
              <w:t>APS 6 or equivalent average hourly rate</w:t>
            </w:r>
          </w:p>
        </w:tc>
        <w:tc>
          <w:tcPr>
            <w:tcW w:w="3260" w:type="dxa"/>
            <w:shd w:val="clear" w:color="auto" w:fill="FFFFFF" w:themeFill="background1"/>
          </w:tcPr>
          <w:p w14:paraId="2D5B3A76" w14:textId="77777777" w:rsidR="00425098" w:rsidRPr="000A53C0" w:rsidRDefault="00425098">
            <w:pPr>
              <w:pStyle w:val="TableBody"/>
              <w:rPr>
                <w:rFonts w:cs="Arial"/>
              </w:rPr>
            </w:pPr>
            <w:r w:rsidRPr="000A53C0">
              <w:rPr>
                <w:rFonts w:cs="Arial"/>
              </w:rPr>
              <w:t xml:space="preserve">$57.96 </w:t>
            </w:r>
          </w:p>
        </w:tc>
        <w:tc>
          <w:tcPr>
            <w:tcW w:w="7052" w:type="dxa"/>
            <w:shd w:val="clear" w:color="auto" w:fill="FFFFFF" w:themeFill="background1"/>
          </w:tcPr>
          <w:p w14:paraId="1FDE9384" w14:textId="77777777" w:rsidR="00425098" w:rsidRPr="000A53C0" w:rsidRDefault="00425098">
            <w:pPr>
              <w:pStyle w:val="TableBody"/>
              <w:rPr>
                <w:rFonts w:cs="Arial"/>
              </w:rPr>
            </w:pPr>
            <w:r w:rsidRPr="000A53C0">
              <w:rPr>
                <w:rFonts w:cs="Arial"/>
              </w:rPr>
              <w:t>Safe Work Australia 2023 (Safe Work Australia, 2023)</w:t>
            </w:r>
          </w:p>
          <w:p w14:paraId="38CDEFD7" w14:textId="77777777" w:rsidR="00425098" w:rsidRPr="000A53C0" w:rsidRDefault="00425098">
            <w:pPr>
              <w:pStyle w:val="TableBody"/>
              <w:rPr>
                <w:rFonts w:cs="Arial"/>
              </w:rPr>
            </w:pPr>
            <w:r w:rsidRPr="000A53C0">
              <w:rPr>
                <w:rFonts w:cs="Arial"/>
              </w:rPr>
              <w:t>Annual salary of $97,815 and average hours per week of 37.5</w:t>
            </w:r>
          </w:p>
        </w:tc>
      </w:tr>
      <w:tr w:rsidR="00425098" w:rsidRPr="000A53C0" w14:paraId="5A8FE0A2" w14:textId="77777777">
        <w:trPr>
          <w:trHeight w:val="391"/>
        </w:trPr>
        <w:tc>
          <w:tcPr>
            <w:tcW w:w="3256" w:type="dxa"/>
            <w:shd w:val="clear" w:color="auto" w:fill="auto"/>
            <w:tcMar>
              <w:top w:w="72" w:type="dxa"/>
              <w:left w:w="144" w:type="dxa"/>
              <w:bottom w:w="72" w:type="dxa"/>
              <w:right w:w="144" w:type="dxa"/>
            </w:tcMar>
          </w:tcPr>
          <w:p w14:paraId="20F495AC" w14:textId="77777777" w:rsidR="00425098" w:rsidRPr="000A53C0" w:rsidRDefault="00425098">
            <w:pPr>
              <w:pStyle w:val="TableBody"/>
              <w:rPr>
                <w:rFonts w:cs="Arial"/>
              </w:rPr>
            </w:pPr>
            <w:r w:rsidRPr="000A53C0">
              <w:rPr>
                <w:rFonts w:cs="Arial"/>
              </w:rPr>
              <w:t>EL1 or equivalent average hourly rate</w:t>
            </w:r>
          </w:p>
        </w:tc>
        <w:tc>
          <w:tcPr>
            <w:tcW w:w="3260" w:type="dxa"/>
            <w:shd w:val="clear" w:color="auto" w:fill="FFFFFF" w:themeFill="background1"/>
          </w:tcPr>
          <w:p w14:paraId="621EAC0B" w14:textId="77777777" w:rsidR="00425098" w:rsidRPr="000A53C0" w:rsidRDefault="00425098">
            <w:pPr>
              <w:pStyle w:val="TableBody"/>
              <w:rPr>
                <w:rFonts w:cs="Arial"/>
              </w:rPr>
            </w:pPr>
            <w:r w:rsidRPr="000A53C0">
              <w:rPr>
                <w:rFonts w:cs="Arial"/>
              </w:rPr>
              <w:t xml:space="preserve">$72.47 </w:t>
            </w:r>
          </w:p>
        </w:tc>
        <w:tc>
          <w:tcPr>
            <w:tcW w:w="7052" w:type="dxa"/>
            <w:shd w:val="clear" w:color="auto" w:fill="FFFFFF" w:themeFill="background1"/>
          </w:tcPr>
          <w:p w14:paraId="4DBB038D" w14:textId="77777777" w:rsidR="00425098" w:rsidRPr="000A53C0" w:rsidRDefault="00425098">
            <w:pPr>
              <w:pStyle w:val="TableBody"/>
              <w:rPr>
                <w:rFonts w:cs="Arial"/>
              </w:rPr>
            </w:pPr>
            <w:r w:rsidRPr="000A53C0">
              <w:rPr>
                <w:rFonts w:cs="Arial"/>
              </w:rPr>
              <w:t>Safe Work Australia 2023 (Safe Work Australia, 2023)</w:t>
            </w:r>
          </w:p>
          <w:p w14:paraId="1A842519" w14:textId="77777777" w:rsidR="00425098" w:rsidRPr="000A53C0" w:rsidRDefault="00425098">
            <w:pPr>
              <w:pStyle w:val="TableBody"/>
              <w:rPr>
                <w:rFonts w:cs="Arial"/>
              </w:rPr>
            </w:pPr>
            <w:r w:rsidRPr="000A53C0">
              <w:rPr>
                <w:rFonts w:cs="Arial"/>
              </w:rPr>
              <w:t>Annual salary of $122,295 and average hours per week of 37.5</w:t>
            </w:r>
          </w:p>
        </w:tc>
      </w:tr>
      <w:tr w:rsidR="00425098" w:rsidRPr="000A53C0" w14:paraId="524F52E9" w14:textId="77777777">
        <w:trPr>
          <w:trHeight w:val="391"/>
        </w:trPr>
        <w:tc>
          <w:tcPr>
            <w:tcW w:w="3256" w:type="dxa"/>
            <w:shd w:val="clear" w:color="auto" w:fill="auto"/>
            <w:tcMar>
              <w:top w:w="72" w:type="dxa"/>
              <w:left w:w="144" w:type="dxa"/>
              <w:bottom w:w="72" w:type="dxa"/>
              <w:right w:w="144" w:type="dxa"/>
            </w:tcMar>
          </w:tcPr>
          <w:p w14:paraId="5CA99BAA" w14:textId="77777777" w:rsidR="00425098" w:rsidRPr="000A53C0" w:rsidRDefault="00425098">
            <w:pPr>
              <w:pStyle w:val="TableBody"/>
              <w:rPr>
                <w:rFonts w:cs="Arial"/>
              </w:rPr>
            </w:pPr>
            <w:r w:rsidRPr="000A53C0">
              <w:rPr>
                <w:rFonts w:cs="Arial"/>
              </w:rPr>
              <w:t>EL2 or equivalent average hourly rate</w:t>
            </w:r>
          </w:p>
        </w:tc>
        <w:tc>
          <w:tcPr>
            <w:tcW w:w="3260" w:type="dxa"/>
            <w:shd w:val="clear" w:color="auto" w:fill="FFFFFF" w:themeFill="background1"/>
          </w:tcPr>
          <w:p w14:paraId="71C5A96A" w14:textId="77777777" w:rsidR="00425098" w:rsidRPr="000A53C0" w:rsidRDefault="00425098">
            <w:pPr>
              <w:pStyle w:val="TableBody"/>
              <w:rPr>
                <w:rFonts w:cs="Arial"/>
              </w:rPr>
            </w:pPr>
            <w:r w:rsidRPr="000A53C0">
              <w:rPr>
                <w:rFonts w:cs="Arial"/>
              </w:rPr>
              <w:t xml:space="preserve">$91.31 </w:t>
            </w:r>
          </w:p>
        </w:tc>
        <w:tc>
          <w:tcPr>
            <w:tcW w:w="7052" w:type="dxa"/>
            <w:shd w:val="clear" w:color="auto" w:fill="FFFFFF" w:themeFill="background1"/>
          </w:tcPr>
          <w:p w14:paraId="47012D7C" w14:textId="77777777" w:rsidR="00425098" w:rsidRPr="000A53C0" w:rsidRDefault="00425098">
            <w:pPr>
              <w:pStyle w:val="TableBody"/>
              <w:rPr>
                <w:rFonts w:cs="Arial"/>
              </w:rPr>
            </w:pPr>
            <w:r w:rsidRPr="000A53C0">
              <w:rPr>
                <w:rFonts w:cs="Arial"/>
              </w:rPr>
              <w:t>Safe Work Australia 2023 (Safe Work Australia, 2023)</w:t>
            </w:r>
          </w:p>
          <w:p w14:paraId="133AD022" w14:textId="77777777" w:rsidR="00425098" w:rsidRPr="000A53C0" w:rsidRDefault="00425098">
            <w:pPr>
              <w:pStyle w:val="TableBody"/>
              <w:rPr>
                <w:rFonts w:cs="Arial"/>
              </w:rPr>
            </w:pPr>
            <w:r w:rsidRPr="000A53C0">
              <w:rPr>
                <w:rFonts w:cs="Arial"/>
              </w:rPr>
              <w:t>Annual salary of $154,083 and average hours per week of 37.5</w:t>
            </w:r>
          </w:p>
        </w:tc>
      </w:tr>
      <w:tr w:rsidR="00425098" w:rsidRPr="000A53C0" w14:paraId="6ED56E46" w14:textId="77777777">
        <w:trPr>
          <w:trHeight w:val="391"/>
        </w:trPr>
        <w:tc>
          <w:tcPr>
            <w:tcW w:w="3256" w:type="dxa"/>
            <w:shd w:val="clear" w:color="auto" w:fill="auto"/>
            <w:tcMar>
              <w:top w:w="72" w:type="dxa"/>
              <w:left w:w="144" w:type="dxa"/>
              <w:bottom w:w="72" w:type="dxa"/>
              <w:right w:w="144" w:type="dxa"/>
            </w:tcMar>
          </w:tcPr>
          <w:p w14:paraId="482C9514" w14:textId="77777777" w:rsidR="00425098" w:rsidRPr="000A53C0" w:rsidRDefault="00425098">
            <w:pPr>
              <w:pStyle w:val="TableBody"/>
              <w:rPr>
                <w:rFonts w:cs="Arial"/>
              </w:rPr>
            </w:pPr>
            <w:r w:rsidRPr="000A53C0">
              <w:rPr>
                <w:rFonts w:cs="Arial"/>
              </w:rPr>
              <w:t>Average job tenure</w:t>
            </w:r>
          </w:p>
        </w:tc>
        <w:tc>
          <w:tcPr>
            <w:tcW w:w="3260" w:type="dxa"/>
            <w:shd w:val="clear" w:color="auto" w:fill="FFFFFF" w:themeFill="background1"/>
          </w:tcPr>
          <w:p w14:paraId="715FF156" w14:textId="77777777" w:rsidR="00425098" w:rsidRPr="000A53C0" w:rsidRDefault="00425098">
            <w:pPr>
              <w:pStyle w:val="TableBody"/>
              <w:rPr>
                <w:rFonts w:cs="Arial"/>
              </w:rPr>
            </w:pPr>
            <w:r w:rsidRPr="000A53C0">
              <w:rPr>
                <w:rFonts w:cs="Arial"/>
              </w:rPr>
              <w:t>7 years</w:t>
            </w:r>
          </w:p>
        </w:tc>
        <w:tc>
          <w:tcPr>
            <w:tcW w:w="7052" w:type="dxa"/>
            <w:shd w:val="clear" w:color="auto" w:fill="FFFFFF" w:themeFill="background1"/>
          </w:tcPr>
          <w:p w14:paraId="08BA5E9E" w14:textId="77777777" w:rsidR="00425098" w:rsidRPr="000A53C0" w:rsidRDefault="00425098">
            <w:pPr>
              <w:pStyle w:val="TableBody"/>
              <w:rPr>
                <w:rFonts w:cs="Arial"/>
              </w:rPr>
            </w:pPr>
            <w:r w:rsidRPr="000A53C0">
              <w:rPr>
                <w:rFonts w:cs="Arial"/>
              </w:rPr>
              <w:t>Source: Australian Bureau of Statistics, Job mobility February 2022 (ABS, 2022)</w:t>
            </w:r>
          </w:p>
          <w:p w14:paraId="70CC75F0" w14:textId="77777777" w:rsidR="00425098" w:rsidRPr="000A53C0" w:rsidRDefault="00425098">
            <w:pPr>
              <w:pStyle w:val="TableBody"/>
              <w:rPr>
                <w:rFonts w:cs="Arial"/>
              </w:rPr>
            </w:pPr>
            <w:r w:rsidRPr="000A53C0">
              <w:rPr>
                <w:rFonts w:cs="Arial"/>
              </w:rPr>
              <w:t>Weighted mid-point of range of duration</w:t>
            </w:r>
          </w:p>
        </w:tc>
      </w:tr>
      <w:tr w:rsidR="00425098" w:rsidRPr="000A53C0" w14:paraId="4ABCE17E" w14:textId="77777777">
        <w:trPr>
          <w:trHeight w:val="391"/>
        </w:trPr>
        <w:tc>
          <w:tcPr>
            <w:tcW w:w="3256" w:type="dxa"/>
            <w:shd w:val="clear" w:color="auto" w:fill="auto"/>
            <w:tcMar>
              <w:top w:w="72" w:type="dxa"/>
              <w:left w:w="144" w:type="dxa"/>
              <w:bottom w:w="72" w:type="dxa"/>
              <w:right w:w="144" w:type="dxa"/>
            </w:tcMar>
          </w:tcPr>
          <w:p w14:paraId="0CF45776" w14:textId="77777777" w:rsidR="00425098" w:rsidRPr="000A53C0" w:rsidRDefault="00425098">
            <w:pPr>
              <w:pStyle w:val="TableBody"/>
              <w:rPr>
                <w:rFonts w:cs="Arial"/>
              </w:rPr>
            </w:pPr>
            <w:r w:rsidRPr="000A53C0">
              <w:rPr>
                <w:rFonts w:cs="Arial"/>
              </w:rPr>
              <w:t>Fortnightly income support</w:t>
            </w:r>
          </w:p>
        </w:tc>
        <w:tc>
          <w:tcPr>
            <w:tcW w:w="3260" w:type="dxa"/>
            <w:shd w:val="clear" w:color="auto" w:fill="FFFFFF" w:themeFill="background1"/>
          </w:tcPr>
          <w:p w14:paraId="14CC103A" w14:textId="77777777" w:rsidR="00425098" w:rsidRPr="000A53C0" w:rsidRDefault="00425098">
            <w:pPr>
              <w:pStyle w:val="TableBody"/>
              <w:rPr>
                <w:rFonts w:cs="Arial"/>
              </w:rPr>
            </w:pPr>
            <w:r w:rsidRPr="000A53C0">
              <w:rPr>
                <w:rFonts w:cs="Arial"/>
              </w:rPr>
              <w:t>$631.20 (weekly rate of $335.60)</w:t>
            </w:r>
          </w:p>
        </w:tc>
        <w:tc>
          <w:tcPr>
            <w:tcW w:w="7052" w:type="dxa"/>
            <w:shd w:val="clear" w:color="auto" w:fill="FFFFFF" w:themeFill="background1"/>
          </w:tcPr>
          <w:p w14:paraId="73974A0C" w14:textId="77777777" w:rsidR="00425098" w:rsidRPr="000A53C0" w:rsidRDefault="00425098">
            <w:pPr>
              <w:pStyle w:val="TableBody"/>
              <w:rPr>
                <w:rFonts w:cs="Arial"/>
              </w:rPr>
            </w:pPr>
            <w:r w:rsidRPr="000A53C0">
              <w:rPr>
                <w:rFonts w:cs="Arial"/>
              </w:rPr>
              <w:t>Services Australia</w:t>
            </w:r>
          </w:p>
          <w:p w14:paraId="0E00AB6B" w14:textId="77777777" w:rsidR="00425098" w:rsidRPr="000A53C0" w:rsidRDefault="00425098">
            <w:pPr>
              <w:pStyle w:val="TableBody"/>
              <w:rPr>
                <w:rFonts w:cs="Arial"/>
              </w:rPr>
            </w:pPr>
            <w:r w:rsidRPr="000A53C0">
              <w:rPr>
                <w:rFonts w:cs="Arial"/>
              </w:rPr>
              <w:t>Partnered rate, 20 March 2023 (Service Australia, 2023)</w:t>
            </w:r>
          </w:p>
        </w:tc>
      </w:tr>
      <w:tr w:rsidR="00425098" w:rsidRPr="000A53C0" w14:paraId="2FE92D9E" w14:textId="77777777">
        <w:trPr>
          <w:trHeight w:val="391"/>
        </w:trPr>
        <w:tc>
          <w:tcPr>
            <w:tcW w:w="3256" w:type="dxa"/>
            <w:shd w:val="clear" w:color="auto" w:fill="auto"/>
            <w:tcMar>
              <w:top w:w="72" w:type="dxa"/>
              <w:left w:w="144" w:type="dxa"/>
              <w:bottom w:w="72" w:type="dxa"/>
              <w:right w:w="144" w:type="dxa"/>
            </w:tcMar>
          </w:tcPr>
          <w:p w14:paraId="4B236C66" w14:textId="77777777" w:rsidR="00425098" w:rsidRPr="000A53C0" w:rsidRDefault="00425098">
            <w:pPr>
              <w:pStyle w:val="TableBody"/>
              <w:rPr>
                <w:rFonts w:cs="Arial"/>
              </w:rPr>
            </w:pPr>
            <w:r w:rsidRPr="000A53C0">
              <w:rPr>
                <w:rFonts w:cs="Arial"/>
              </w:rPr>
              <w:t xml:space="preserve">Number of weeks redundancy </w:t>
            </w:r>
          </w:p>
        </w:tc>
        <w:tc>
          <w:tcPr>
            <w:tcW w:w="3260" w:type="dxa"/>
            <w:shd w:val="clear" w:color="auto" w:fill="FFFFFF" w:themeFill="background1"/>
          </w:tcPr>
          <w:p w14:paraId="290265CA" w14:textId="77777777" w:rsidR="00425098" w:rsidRPr="000A53C0" w:rsidRDefault="00425098">
            <w:pPr>
              <w:pStyle w:val="TableBody"/>
              <w:rPr>
                <w:rFonts w:cs="Arial"/>
              </w:rPr>
            </w:pPr>
            <w:r w:rsidRPr="000A53C0">
              <w:rPr>
                <w:rFonts w:cs="Arial"/>
              </w:rPr>
              <w:t xml:space="preserve">8 weeks </w:t>
            </w:r>
          </w:p>
        </w:tc>
        <w:tc>
          <w:tcPr>
            <w:tcW w:w="7052" w:type="dxa"/>
            <w:shd w:val="clear" w:color="auto" w:fill="FFFFFF" w:themeFill="background1"/>
          </w:tcPr>
          <w:p w14:paraId="5C07BCF7" w14:textId="77777777" w:rsidR="00425098" w:rsidRPr="000A53C0" w:rsidRDefault="00425098">
            <w:pPr>
              <w:pStyle w:val="TableBody"/>
              <w:rPr>
                <w:rFonts w:cs="Arial"/>
              </w:rPr>
            </w:pPr>
            <w:r w:rsidRPr="000A53C0">
              <w:rPr>
                <w:rFonts w:cs="Arial"/>
              </w:rPr>
              <w:t>Based on the average employee tenure in Australia of just under 7 years, under the Building and Construction General On-site Award 2020 (Housing Industry Association, 2022)</w:t>
            </w:r>
          </w:p>
        </w:tc>
      </w:tr>
      <w:tr w:rsidR="00425098" w:rsidRPr="000A53C0" w14:paraId="1E966AD2" w14:textId="77777777">
        <w:trPr>
          <w:trHeight w:val="391"/>
        </w:trPr>
        <w:tc>
          <w:tcPr>
            <w:tcW w:w="3256" w:type="dxa"/>
            <w:shd w:val="clear" w:color="auto" w:fill="auto"/>
            <w:tcMar>
              <w:top w:w="72" w:type="dxa"/>
              <w:left w:w="144" w:type="dxa"/>
              <w:bottom w:w="72" w:type="dxa"/>
              <w:right w:w="144" w:type="dxa"/>
            </w:tcMar>
          </w:tcPr>
          <w:p w14:paraId="1F87D0BB" w14:textId="77777777" w:rsidR="00425098" w:rsidRPr="000A53C0" w:rsidRDefault="00425098">
            <w:pPr>
              <w:pStyle w:val="TableBody"/>
              <w:rPr>
                <w:rFonts w:cs="Arial"/>
                <w:color w:val="FFFFFF" w:themeColor="background1"/>
              </w:rPr>
            </w:pPr>
            <w:r w:rsidRPr="000A53C0">
              <w:rPr>
                <w:rFonts w:cs="Arial"/>
              </w:rPr>
              <w:t>Time to find new employment following redundancy</w:t>
            </w:r>
            <w:r w:rsidRPr="000A53C0">
              <w:rPr>
                <w:rFonts w:cs="Arial"/>
                <w:color w:val="FFFFFF" w:themeColor="background1"/>
              </w:rPr>
              <w:t xml:space="preserve"> </w:t>
            </w:r>
          </w:p>
        </w:tc>
        <w:tc>
          <w:tcPr>
            <w:tcW w:w="3260" w:type="dxa"/>
            <w:shd w:val="clear" w:color="auto" w:fill="FFFFFF" w:themeFill="background1"/>
          </w:tcPr>
          <w:p w14:paraId="385F509A" w14:textId="77777777" w:rsidR="00425098" w:rsidRPr="000A53C0" w:rsidRDefault="00425098">
            <w:pPr>
              <w:pStyle w:val="TableBody"/>
              <w:rPr>
                <w:rFonts w:cs="Arial"/>
              </w:rPr>
            </w:pPr>
            <w:r w:rsidRPr="000A53C0">
              <w:rPr>
                <w:rFonts w:cs="Arial"/>
              </w:rPr>
              <w:t>0 weeks (no lost income after redundancy payments)</w:t>
            </w:r>
          </w:p>
        </w:tc>
        <w:tc>
          <w:tcPr>
            <w:tcW w:w="7052" w:type="dxa"/>
            <w:shd w:val="clear" w:color="auto" w:fill="FFFFFF" w:themeFill="background1"/>
          </w:tcPr>
          <w:p w14:paraId="3BA40667" w14:textId="77777777" w:rsidR="00425098" w:rsidRPr="000A53C0" w:rsidRDefault="00425098">
            <w:pPr>
              <w:pStyle w:val="TableBody"/>
              <w:rPr>
                <w:rFonts w:cs="Arial"/>
              </w:rPr>
            </w:pPr>
            <w:r w:rsidRPr="000A53C0">
              <w:rPr>
                <w:rFonts w:cs="Arial"/>
              </w:rPr>
              <w:t xml:space="preserve">Given tight labour market for tradespersons, employees who face redundancy due to the prohibition options have been assumed to find alternative employment by the end of their redundancy period. </w:t>
            </w:r>
          </w:p>
        </w:tc>
      </w:tr>
    </w:tbl>
    <w:p w14:paraId="0B8CC61F" w14:textId="138B3E38" w:rsidR="00425098" w:rsidRPr="000A53C0" w:rsidRDefault="00425098" w:rsidP="00030457">
      <w:pPr>
        <w:pStyle w:val="Caption"/>
        <w:rPr>
          <w:rFonts w:cs="Arial"/>
        </w:rPr>
      </w:pPr>
      <w:r w:rsidRPr="00713F69">
        <w:rPr>
          <w:rFonts w:cs="Arial"/>
          <w:b/>
          <w:bCs/>
        </w:rPr>
        <w:lastRenderedPageBreak/>
        <w:t xml:space="preserve">Table </w:t>
      </w:r>
      <w:r w:rsidRPr="00713F69">
        <w:rPr>
          <w:rFonts w:cs="Arial"/>
          <w:b/>
          <w:bCs/>
        </w:rPr>
        <w:fldChar w:fldCharType="begin"/>
      </w:r>
      <w:r w:rsidRPr="00713F69">
        <w:rPr>
          <w:rFonts w:cs="Arial"/>
          <w:b/>
          <w:bCs/>
        </w:rPr>
        <w:instrText>SEQ Table \* ARABIC</w:instrText>
      </w:r>
      <w:r w:rsidRPr="00713F69">
        <w:rPr>
          <w:rFonts w:cs="Arial"/>
          <w:b/>
          <w:bCs/>
        </w:rPr>
        <w:fldChar w:fldCharType="separate"/>
      </w:r>
      <w:r w:rsidR="00D16271">
        <w:rPr>
          <w:rFonts w:cs="Arial"/>
          <w:b/>
          <w:bCs/>
          <w:noProof/>
        </w:rPr>
        <w:t>29</w:t>
      </w:r>
      <w:r w:rsidRPr="00713F69">
        <w:rPr>
          <w:rFonts w:cs="Arial"/>
          <w:b/>
          <w:bCs/>
        </w:rPr>
        <w:fldChar w:fldCharType="end"/>
      </w:r>
      <w:r w:rsidRPr="000A53C0">
        <w:rPr>
          <w:rFonts w:cs="Arial"/>
        </w:rPr>
        <w:t xml:space="preserve"> External training costs and support available to apprentices and their employers from government and internal training costs</w:t>
      </w:r>
    </w:p>
    <w:tbl>
      <w:tblPr>
        <w:tblStyle w:val="PMCDefaultTableStyle"/>
        <w:tblW w:w="5002" w:type="pct"/>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UPSLIDE_TablePasted`_#[%£=+@*$*$UPSLIDE_TablePasted`_#[%£=+@*$*$UPSLIDE_TablePasted`_#[%£=+@"/>
      </w:tblPr>
      <w:tblGrid>
        <w:gridCol w:w="3260"/>
        <w:gridCol w:w="3260"/>
        <w:gridCol w:w="7053"/>
      </w:tblGrid>
      <w:tr w:rsidR="00EB5478" w:rsidRPr="000A53C0" w14:paraId="0CC972A4" w14:textId="77777777" w:rsidTr="00713F69">
        <w:trPr>
          <w:cnfStyle w:val="100000000000" w:firstRow="1" w:lastRow="0" w:firstColumn="0" w:lastColumn="0" w:oddVBand="0" w:evenVBand="0" w:oddHBand="0" w:evenHBand="0" w:firstRowFirstColumn="0" w:firstRowLastColumn="0" w:lastRowFirstColumn="0" w:lastRowLastColumn="0"/>
          <w:trHeight w:val="555"/>
        </w:trPr>
        <w:tc>
          <w:tcPr>
            <w:tcW w:w="1201" w:type="pct"/>
            <w:shd w:val="clear" w:color="auto" w:fill="E81D32"/>
            <w:vAlign w:val="center"/>
          </w:tcPr>
          <w:p w14:paraId="32993FD8" w14:textId="77777777" w:rsidR="00425098" w:rsidRPr="00713F69" w:rsidRDefault="00425098">
            <w:pPr>
              <w:pStyle w:val="TableBody"/>
              <w:spacing w:before="0" w:after="0"/>
              <w:rPr>
                <w:rFonts w:cs="Arial"/>
                <w:color w:val="FFFFFF" w:themeColor="background1"/>
                <w:sz w:val="20"/>
                <w:szCs w:val="28"/>
                <w:highlight w:val="cyan"/>
              </w:rPr>
            </w:pPr>
            <w:r w:rsidRPr="00713F69">
              <w:rPr>
                <w:rFonts w:cs="Arial"/>
                <w:color w:val="FFFFFF" w:themeColor="background1"/>
                <w:sz w:val="20"/>
                <w:szCs w:val="28"/>
              </w:rPr>
              <w:t>Input</w:t>
            </w:r>
          </w:p>
        </w:tc>
        <w:tc>
          <w:tcPr>
            <w:tcW w:w="1201" w:type="pct"/>
            <w:shd w:val="clear" w:color="auto" w:fill="E81D32"/>
            <w:vAlign w:val="center"/>
          </w:tcPr>
          <w:p w14:paraId="3C331E3B" w14:textId="77777777" w:rsidR="00425098" w:rsidRPr="00713F69" w:rsidRDefault="00425098">
            <w:pPr>
              <w:pStyle w:val="TableBody"/>
              <w:spacing w:before="0" w:after="0"/>
              <w:rPr>
                <w:rFonts w:cs="Arial"/>
                <w:color w:val="FFFFFF" w:themeColor="background1"/>
                <w:sz w:val="20"/>
                <w:szCs w:val="28"/>
                <w:highlight w:val="cyan"/>
              </w:rPr>
            </w:pPr>
            <w:r w:rsidRPr="00713F69">
              <w:rPr>
                <w:rFonts w:cs="Arial"/>
                <w:color w:val="FFFFFF" w:themeColor="background1"/>
                <w:sz w:val="20"/>
                <w:szCs w:val="28"/>
              </w:rPr>
              <w:t>Assumption</w:t>
            </w:r>
          </w:p>
        </w:tc>
        <w:tc>
          <w:tcPr>
            <w:tcW w:w="2598" w:type="pct"/>
            <w:shd w:val="clear" w:color="auto" w:fill="E81D32"/>
            <w:vAlign w:val="center"/>
          </w:tcPr>
          <w:p w14:paraId="101B9255" w14:textId="77777777" w:rsidR="00425098" w:rsidRPr="00713F69" w:rsidRDefault="00425098">
            <w:pPr>
              <w:pStyle w:val="TableBody"/>
              <w:spacing w:before="0" w:after="0"/>
              <w:rPr>
                <w:rFonts w:cs="Arial"/>
                <w:color w:val="FFFFFF" w:themeColor="background1"/>
                <w:sz w:val="20"/>
                <w:szCs w:val="28"/>
              </w:rPr>
            </w:pPr>
            <w:r w:rsidRPr="00713F69">
              <w:rPr>
                <w:rFonts w:cs="Arial"/>
                <w:color w:val="FFFFFF" w:themeColor="background1"/>
                <w:sz w:val="20"/>
                <w:szCs w:val="28"/>
              </w:rPr>
              <w:t>Source</w:t>
            </w:r>
          </w:p>
        </w:tc>
      </w:tr>
      <w:tr w:rsidR="00425098" w:rsidRPr="000A53C0" w14:paraId="773528FB" w14:textId="77777777">
        <w:trPr>
          <w:cnfStyle w:val="000000100000" w:firstRow="0" w:lastRow="0" w:firstColumn="0" w:lastColumn="0" w:oddVBand="0" w:evenVBand="0" w:oddHBand="1" w:evenHBand="0" w:firstRowFirstColumn="0" w:firstRowLastColumn="0" w:lastRowFirstColumn="0" w:lastRowLastColumn="0"/>
          <w:trHeight w:val="395"/>
        </w:trPr>
        <w:tc>
          <w:tcPr>
            <w:tcW w:w="1201" w:type="pct"/>
            <w:shd w:val="clear" w:color="auto" w:fill="auto"/>
          </w:tcPr>
          <w:p w14:paraId="273FB40E" w14:textId="77777777" w:rsidR="00425098" w:rsidRPr="000A53C0" w:rsidRDefault="00425098">
            <w:pPr>
              <w:pStyle w:val="TableBody"/>
              <w:rPr>
                <w:rFonts w:cs="Arial"/>
              </w:rPr>
            </w:pPr>
            <w:r w:rsidRPr="000A53C0">
              <w:rPr>
                <w:rFonts w:cs="Arial"/>
              </w:rPr>
              <w:t>Australian Apprentice Training Support Payment</w:t>
            </w:r>
          </w:p>
        </w:tc>
        <w:tc>
          <w:tcPr>
            <w:tcW w:w="1201" w:type="pct"/>
          </w:tcPr>
          <w:p w14:paraId="51EB3295" w14:textId="77777777" w:rsidR="00425098" w:rsidRPr="000A53C0" w:rsidRDefault="00425098">
            <w:pPr>
              <w:pStyle w:val="TableBody"/>
              <w:rPr>
                <w:rFonts w:cs="Arial"/>
              </w:rPr>
            </w:pPr>
            <w:r w:rsidRPr="000A53C0">
              <w:rPr>
                <w:rFonts w:cs="Arial"/>
              </w:rPr>
              <w:t>$2,500 per annum over two years (Australian Government, no date)</w:t>
            </w:r>
          </w:p>
        </w:tc>
        <w:tc>
          <w:tcPr>
            <w:tcW w:w="2598" w:type="pct"/>
          </w:tcPr>
          <w:p w14:paraId="4700727E" w14:textId="77777777" w:rsidR="00425098" w:rsidRPr="000A53C0" w:rsidRDefault="00425098">
            <w:pPr>
              <w:rPr>
                <w:rFonts w:cs="Arial"/>
                <w:color w:val="000000"/>
                <w:sz w:val="20"/>
                <w:szCs w:val="20"/>
              </w:rPr>
            </w:pPr>
            <w:r w:rsidRPr="000A53C0">
              <w:rPr>
                <w:rFonts w:cs="Arial"/>
                <w:color w:val="000000" w:themeColor="text1"/>
                <w:sz w:val="18"/>
              </w:rPr>
              <w:t>Australian Government</w:t>
            </w:r>
          </w:p>
        </w:tc>
      </w:tr>
      <w:tr w:rsidR="00425098" w:rsidRPr="000A53C0" w14:paraId="4E6AE2E6" w14:textId="77777777">
        <w:trPr>
          <w:cnfStyle w:val="000000010000" w:firstRow="0" w:lastRow="0" w:firstColumn="0" w:lastColumn="0" w:oddVBand="0" w:evenVBand="0" w:oddHBand="0" w:evenHBand="1" w:firstRowFirstColumn="0" w:firstRowLastColumn="0" w:lastRowFirstColumn="0" w:lastRowLastColumn="0"/>
          <w:trHeight w:val="395"/>
        </w:trPr>
        <w:tc>
          <w:tcPr>
            <w:tcW w:w="1201" w:type="pct"/>
            <w:shd w:val="clear" w:color="auto" w:fill="auto"/>
          </w:tcPr>
          <w:p w14:paraId="4D7223E3" w14:textId="77777777" w:rsidR="00425098" w:rsidRPr="000A53C0" w:rsidRDefault="00425098">
            <w:pPr>
              <w:pStyle w:val="TableBody"/>
              <w:rPr>
                <w:rFonts w:cs="Arial"/>
              </w:rPr>
            </w:pPr>
            <w:r w:rsidRPr="000A53C0">
              <w:rPr>
                <w:rFonts w:cs="Arial"/>
              </w:rPr>
              <w:t>Australian Apprentice Priority Wage Subsidy</w:t>
            </w:r>
          </w:p>
        </w:tc>
        <w:tc>
          <w:tcPr>
            <w:tcW w:w="1201" w:type="pct"/>
          </w:tcPr>
          <w:p w14:paraId="2ED79B4D" w14:textId="77777777" w:rsidR="00425098" w:rsidRPr="000A53C0" w:rsidRDefault="00425098">
            <w:pPr>
              <w:pStyle w:val="TableBody"/>
              <w:rPr>
                <w:rFonts w:cs="Arial"/>
                <w:highlight w:val="green"/>
              </w:rPr>
            </w:pPr>
            <w:r w:rsidRPr="000A53C0">
              <w:rPr>
                <w:rFonts w:cs="Arial"/>
              </w:rPr>
              <w:t>$6,000 per annum over two years (Australian Government, no date)</w:t>
            </w:r>
          </w:p>
        </w:tc>
        <w:tc>
          <w:tcPr>
            <w:tcW w:w="2598" w:type="pct"/>
          </w:tcPr>
          <w:p w14:paraId="206D98AA" w14:textId="77777777" w:rsidR="00425098" w:rsidRPr="000A53C0" w:rsidRDefault="00425098">
            <w:pPr>
              <w:pStyle w:val="TableBody"/>
              <w:rPr>
                <w:rFonts w:cs="Arial"/>
              </w:rPr>
            </w:pPr>
            <w:r w:rsidRPr="000A53C0">
              <w:rPr>
                <w:rFonts w:cs="Arial"/>
              </w:rPr>
              <w:t>Australian Government</w:t>
            </w:r>
          </w:p>
          <w:p w14:paraId="2786745F" w14:textId="77777777" w:rsidR="00425098" w:rsidRPr="000A53C0" w:rsidRDefault="00425098">
            <w:pPr>
              <w:pStyle w:val="TableBody"/>
              <w:rPr>
                <w:rFonts w:cs="Arial"/>
              </w:rPr>
            </w:pPr>
            <w:r w:rsidRPr="000A53C0">
              <w:rPr>
                <w:rFonts w:cs="Arial"/>
              </w:rPr>
              <w:t>Support for Australian Apprentices, Australian Apprenticeships</w:t>
            </w:r>
          </w:p>
          <w:p w14:paraId="6C2B2658" w14:textId="77777777" w:rsidR="00425098" w:rsidRPr="000A53C0" w:rsidRDefault="00425098">
            <w:pPr>
              <w:pStyle w:val="TableBody"/>
              <w:rPr>
                <w:rFonts w:cs="Arial"/>
              </w:rPr>
            </w:pPr>
            <w:r w:rsidRPr="000A53C0">
              <w:rPr>
                <w:rFonts w:cs="Arial"/>
              </w:rPr>
              <w:t>Maximum subsidy available</w:t>
            </w:r>
          </w:p>
        </w:tc>
      </w:tr>
      <w:tr w:rsidR="00425098" w:rsidRPr="000A53C0" w14:paraId="44115A40" w14:textId="77777777">
        <w:trPr>
          <w:cnfStyle w:val="000000100000" w:firstRow="0" w:lastRow="0" w:firstColumn="0" w:lastColumn="0" w:oddVBand="0" w:evenVBand="0" w:oddHBand="1" w:evenHBand="0" w:firstRowFirstColumn="0" w:firstRowLastColumn="0" w:lastRowFirstColumn="0" w:lastRowLastColumn="0"/>
          <w:trHeight w:val="395"/>
        </w:trPr>
        <w:tc>
          <w:tcPr>
            <w:tcW w:w="1201" w:type="pct"/>
            <w:shd w:val="clear" w:color="auto" w:fill="auto"/>
          </w:tcPr>
          <w:p w14:paraId="758F5ECE" w14:textId="77777777" w:rsidR="00425098" w:rsidRPr="000A53C0" w:rsidRDefault="00425098">
            <w:pPr>
              <w:pStyle w:val="TableBody"/>
              <w:rPr>
                <w:rFonts w:cs="Arial"/>
              </w:rPr>
            </w:pPr>
            <w:r w:rsidRPr="000A53C0">
              <w:rPr>
                <w:rFonts w:cs="Arial"/>
              </w:rPr>
              <w:t>Cost to train workers on licence requirements</w:t>
            </w:r>
          </w:p>
        </w:tc>
        <w:tc>
          <w:tcPr>
            <w:tcW w:w="1201" w:type="pct"/>
          </w:tcPr>
          <w:p w14:paraId="1834E918" w14:textId="77777777" w:rsidR="00425098" w:rsidRPr="000A53C0" w:rsidRDefault="00425098">
            <w:pPr>
              <w:pStyle w:val="TableBody"/>
              <w:rPr>
                <w:rFonts w:cs="Arial"/>
              </w:rPr>
            </w:pPr>
            <w:r w:rsidRPr="000A53C0">
              <w:rPr>
                <w:rFonts w:cs="Arial"/>
              </w:rPr>
              <w:t>No training costs have been assumed for workers to understand licence requirements as the licence is not expected to add any additional safety requirements beyond the base case.</w:t>
            </w:r>
          </w:p>
        </w:tc>
        <w:tc>
          <w:tcPr>
            <w:tcW w:w="2598" w:type="pct"/>
          </w:tcPr>
          <w:p w14:paraId="40DEF2B1" w14:textId="77777777" w:rsidR="00425098" w:rsidRPr="000A53C0" w:rsidRDefault="00425098">
            <w:pPr>
              <w:pStyle w:val="TableBody"/>
              <w:rPr>
                <w:rFonts w:cs="Arial"/>
              </w:rPr>
            </w:pPr>
          </w:p>
        </w:tc>
      </w:tr>
    </w:tbl>
    <w:p w14:paraId="68C01CF1" w14:textId="77777777" w:rsidR="00425098" w:rsidRPr="000A53C0" w:rsidRDefault="00425098" w:rsidP="00425098">
      <w:pPr>
        <w:pStyle w:val="BodyText"/>
        <w:rPr>
          <w:rFonts w:cs="Arial"/>
          <w:color w:val="014463" w:themeColor="text2"/>
          <w:sz w:val="24"/>
          <w:szCs w:val="24"/>
        </w:rPr>
      </w:pPr>
    </w:p>
    <w:p w14:paraId="2D2345A2" w14:textId="0156E810" w:rsidR="00425098" w:rsidRPr="000A53C0" w:rsidRDefault="002D500D" w:rsidP="00D657D6">
      <w:pPr>
        <w:pStyle w:val="App3"/>
        <w:rPr>
          <w:rFonts w:cs="Arial"/>
        </w:rPr>
      </w:pPr>
      <w:r w:rsidRPr="000A53C0">
        <w:rPr>
          <w:rFonts w:cs="Arial"/>
        </w:rPr>
        <w:t>B.</w:t>
      </w:r>
      <w:r w:rsidR="00425098" w:rsidRPr="000A53C0">
        <w:rPr>
          <w:rFonts w:cs="Arial"/>
        </w:rPr>
        <w:t>8.2 Global assumptions</w:t>
      </w:r>
    </w:p>
    <w:p w14:paraId="3D3329E6" w14:textId="3B0205ED" w:rsidR="00425098" w:rsidRPr="000A53C0" w:rsidRDefault="00425098" w:rsidP="00766916">
      <w:pPr>
        <w:pStyle w:val="ListParagraph"/>
        <w:numPr>
          <w:ilvl w:val="0"/>
          <w:numId w:val="34"/>
        </w:numPr>
        <w:spacing w:after="200" w:line="260" w:lineRule="exact"/>
        <w:ind w:left="720"/>
        <w:contextualSpacing w:val="0"/>
        <w:rPr>
          <w:rFonts w:cs="Arial"/>
        </w:rPr>
      </w:pPr>
      <w:r w:rsidRPr="000A53C0">
        <w:rPr>
          <w:rFonts w:cs="Arial"/>
        </w:rPr>
        <w:t>No costs to retrain workers have been assumed for engineered stone PCBUs that move into natural stone or increase the proportion of their business activity with natural stone, given most engineered stone PCBUs work with natural stone already. The main difference between working with engineered stone and natural stone is a higher level of skill to handle more brittle natural stone slabs).</w:t>
      </w:r>
    </w:p>
    <w:p w14:paraId="6EDB326C" w14:textId="77777777" w:rsidR="00425098" w:rsidRPr="000A53C0" w:rsidRDefault="00425098" w:rsidP="00766916">
      <w:pPr>
        <w:pStyle w:val="ListParagraph"/>
        <w:numPr>
          <w:ilvl w:val="0"/>
          <w:numId w:val="34"/>
        </w:numPr>
        <w:spacing w:after="200" w:line="260" w:lineRule="exact"/>
        <w:ind w:left="720"/>
        <w:contextualSpacing w:val="0"/>
        <w:rPr>
          <w:rFonts w:cs="Arial"/>
        </w:rPr>
      </w:pPr>
      <w:r w:rsidRPr="000A53C0">
        <w:rPr>
          <w:rFonts w:cs="Arial"/>
        </w:rPr>
        <w:t>No costs to retrain workers to work with alternative products have been assumed for engineered stone PCBUs that move into alternative products or increase the proportion of their business activity with alternative products. The skills of existing workers may be transferable.</w:t>
      </w:r>
    </w:p>
    <w:p w14:paraId="6A2A3937" w14:textId="77777777" w:rsidR="00425098" w:rsidRPr="000A53C0" w:rsidRDefault="00425098" w:rsidP="00766916">
      <w:pPr>
        <w:pStyle w:val="ListParagraph"/>
        <w:numPr>
          <w:ilvl w:val="0"/>
          <w:numId w:val="34"/>
        </w:numPr>
        <w:spacing w:after="200" w:line="260" w:lineRule="exact"/>
        <w:ind w:left="720"/>
        <w:contextualSpacing w:val="0"/>
        <w:rPr>
          <w:rFonts w:cs="Arial"/>
        </w:rPr>
      </w:pPr>
      <w:r w:rsidRPr="000A53C0">
        <w:rPr>
          <w:rFonts w:cs="Arial"/>
        </w:rPr>
        <w:t xml:space="preserve">There will be no lost revenue over the period of transition to natural stone or alternative products or business closure. It has been assumed that the implementation period will allow engineered stone PCBUs to fulfil their existing orders, to offload stocks of engineered stone and to build up their business in natural stone, alternative products or alternative business ventures. </w:t>
      </w:r>
    </w:p>
    <w:p w14:paraId="70E1E70B" w14:textId="7ABD11D7" w:rsidR="00425098" w:rsidRPr="000A53C0" w:rsidRDefault="002D500D" w:rsidP="00D657D6">
      <w:pPr>
        <w:pStyle w:val="App3"/>
        <w:rPr>
          <w:rFonts w:cs="Arial"/>
        </w:rPr>
      </w:pPr>
      <w:r w:rsidRPr="000A53C0">
        <w:rPr>
          <w:rFonts w:cs="Arial"/>
        </w:rPr>
        <w:t>B.</w:t>
      </w:r>
      <w:r w:rsidR="00425098" w:rsidRPr="000A53C0">
        <w:rPr>
          <w:rFonts w:cs="Arial"/>
        </w:rPr>
        <w:t xml:space="preserve">8.3 Engineered stone and other industry PCBU costs </w:t>
      </w:r>
    </w:p>
    <w:p w14:paraId="256978B3" w14:textId="77777777" w:rsidR="00425098" w:rsidRPr="000A53C0" w:rsidRDefault="00425098" w:rsidP="00425098">
      <w:pPr>
        <w:pStyle w:val="BodyText"/>
        <w:rPr>
          <w:rFonts w:cs="Arial"/>
        </w:rPr>
      </w:pPr>
      <w:r w:rsidRPr="000A53C0">
        <w:rPr>
          <w:rFonts w:cs="Arial"/>
        </w:rPr>
        <w:t>The following table presents the key assumptions and calculations used to estimate the direct and indirect costs identified for engineered stone PCBUs and other industry PCBUs for each prohibition option.</w:t>
      </w:r>
    </w:p>
    <w:p w14:paraId="5A482D7D" w14:textId="4F7EDCAA" w:rsidR="00425098" w:rsidRPr="000A53C0" w:rsidRDefault="00425098" w:rsidP="00B7761C">
      <w:pPr>
        <w:pStyle w:val="Caption"/>
        <w:rPr>
          <w:rFonts w:cs="Arial"/>
        </w:rPr>
      </w:pPr>
      <w:bookmarkStart w:id="236" w:name="_Ref140678324"/>
      <w:r w:rsidRPr="00713F69">
        <w:rPr>
          <w:rFonts w:cs="Arial"/>
          <w:b/>
          <w:bCs/>
        </w:rPr>
        <w:lastRenderedPageBreak/>
        <w:t xml:space="preserve">Table </w:t>
      </w:r>
      <w:r w:rsidRPr="00713F69">
        <w:rPr>
          <w:rFonts w:cs="Arial"/>
          <w:b/>
          <w:bCs/>
        </w:rPr>
        <w:fldChar w:fldCharType="begin"/>
      </w:r>
      <w:r w:rsidRPr="00713F69">
        <w:rPr>
          <w:rFonts w:cs="Arial"/>
          <w:b/>
          <w:bCs/>
        </w:rPr>
        <w:instrText>SEQ Table \* ARABIC</w:instrText>
      </w:r>
      <w:r w:rsidRPr="00713F69">
        <w:rPr>
          <w:rFonts w:cs="Arial"/>
          <w:b/>
          <w:bCs/>
        </w:rPr>
        <w:fldChar w:fldCharType="separate"/>
      </w:r>
      <w:r w:rsidR="00D16271">
        <w:rPr>
          <w:rFonts w:cs="Arial"/>
          <w:b/>
          <w:bCs/>
          <w:noProof/>
        </w:rPr>
        <w:t>30</w:t>
      </w:r>
      <w:r w:rsidRPr="00713F69">
        <w:rPr>
          <w:rFonts w:cs="Arial"/>
          <w:b/>
          <w:bCs/>
        </w:rPr>
        <w:fldChar w:fldCharType="end"/>
      </w:r>
      <w:r w:rsidRPr="000A53C0">
        <w:rPr>
          <w:rFonts w:cs="Arial"/>
        </w:rPr>
        <w:t xml:space="preserve"> Detailed PCBU cost assumptions and calculations</w:t>
      </w:r>
      <w:bookmarkEnd w:id="236"/>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
      </w:tblPr>
      <w:tblGrid>
        <w:gridCol w:w="714"/>
        <w:gridCol w:w="3137"/>
        <w:gridCol w:w="4792"/>
        <w:gridCol w:w="4925"/>
      </w:tblGrid>
      <w:tr w:rsidR="00425098" w:rsidRPr="000A53C0" w14:paraId="751933B7" w14:textId="77777777" w:rsidTr="00713F69">
        <w:trPr>
          <w:trHeight w:val="20"/>
          <w:tblHeader/>
        </w:trPr>
        <w:tc>
          <w:tcPr>
            <w:tcW w:w="263" w:type="pct"/>
            <w:shd w:val="clear" w:color="auto" w:fill="E81D32"/>
          </w:tcPr>
          <w:p w14:paraId="1E05F2AC" w14:textId="77777777" w:rsidR="00425098" w:rsidRPr="00713F69" w:rsidRDefault="00425098">
            <w:pPr>
              <w:pStyle w:val="TableHeading"/>
              <w:rPr>
                <w:rFonts w:ascii="Arial" w:hAnsi="Arial" w:cs="Arial"/>
                <w:color w:val="FFFFFF" w:themeColor="background1"/>
              </w:rPr>
            </w:pPr>
            <w:r w:rsidRPr="00713F69">
              <w:rPr>
                <w:rFonts w:ascii="Arial" w:hAnsi="Arial" w:cs="Arial"/>
                <w:color w:val="FFFFFF" w:themeColor="background1"/>
              </w:rPr>
              <w:t>Ref#</w:t>
            </w:r>
          </w:p>
        </w:tc>
        <w:tc>
          <w:tcPr>
            <w:tcW w:w="1156" w:type="pct"/>
            <w:shd w:val="clear" w:color="auto" w:fill="E81D32"/>
            <w:tcMar>
              <w:top w:w="72" w:type="dxa"/>
              <w:left w:w="144" w:type="dxa"/>
              <w:bottom w:w="72" w:type="dxa"/>
              <w:right w:w="144" w:type="dxa"/>
            </w:tcMar>
            <w:vAlign w:val="center"/>
            <w:hideMark/>
          </w:tcPr>
          <w:p w14:paraId="653B774A" w14:textId="24F733A7" w:rsidR="00425098" w:rsidRPr="00713F69" w:rsidRDefault="00425098">
            <w:pPr>
              <w:pStyle w:val="TableHeading"/>
              <w:rPr>
                <w:rFonts w:ascii="Arial" w:hAnsi="Arial" w:cs="Arial"/>
                <w:color w:val="FFFFFF" w:themeColor="background1"/>
              </w:rPr>
            </w:pPr>
            <w:r w:rsidRPr="00713F69">
              <w:rPr>
                <w:rFonts w:ascii="Arial" w:hAnsi="Arial" w:cs="Arial"/>
                <w:color w:val="FFFFFF" w:themeColor="background1"/>
              </w:rPr>
              <w:t xml:space="preserve">Impact </w:t>
            </w:r>
            <w:r w:rsidR="00713F69">
              <w:rPr>
                <w:rFonts w:ascii="Arial" w:hAnsi="Arial" w:cs="Arial"/>
                <w:color w:val="FFFFFF" w:themeColor="background1"/>
              </w:rPr>
              <w:t>m</w:t>
            </w:r>
            <w:r w:rsidRPr="00713F69">
              <w:rPr>
                <w:rFonts w:ascii="Arial" w:hAnsi="Arial" w:cs="Arial"/>
                <w:color w:val="FFFFFF" w:themeColor="background1"/>
              </w:rPr>
              <w:t>easure</w:t>
            </w:r>
          </w:p>
        </w:tc>
        <w:tc>
          <w:tcPr>
            <w:tcW w:w="1766" w:type="pct"/>
            <w:shd w:val="clear" w:color="auto" w:fill="E81D32"/>
            <w:vAlign w:val="center"/>
          </w:tcPr>
          <w:p w14:paraId="355C44AD" w14:textId="77777777" w:rsidR="00425098" w:rsidRPr="00713F69" w:rsidRDefault="00425098">
            <w:pPr>
              <w:pStyle w:val="TableHeading"/>
              <w:rPr>
                <w:rFonts w:ascii="Arial" w:hAnsi="Arial" w:cs="Arial"/>
                <w:color w:val="FFFFFF" w:themeColor="background1"/>
              </w:rPr>
            </w:pPr>
            <w:r w:rsidRPr="00713F69">
              <w:rPr>
                <w:rFonts w:ascii="Arial" w:hAnsi="Arial" w:cs="Arial"/>
                <w:color w:val="FFFFFF" w:themeColor="background1"/>
              </w:rPr>
              <w:t>Formula</w:t>
            </w:r>
          </w:p>
        </w:tc>
        <w:tc>
          <w:tcPr>
            <w:tcW w:w="1815" w:type="pct"/>
            <w:shd w:val="clear" w:color="auto" w:fill="E81D32"/>
            <w:vAlign w:val="center"/>
            <w:hideMark/>
          </w:tcPr>
          <w:p w14:paraId="2FC35ED1" w14:textId="54AAEA46" w:rsidR="00425098" w:rsidRPr="00713F69" w:rsidRDefault="00425098">
            <w:pPr>
              <w:pStyle w:val="TableHeading"/>
              <w:rPr>
                <w:rFonts w:ascii="Arial" w:hAnsi="Arial" w:cs="Arial"/>
                <w:color w:val="FFFFFF" w:themeColor="background1"/>
              </w:rPr>
            </w:pPr>
            <w:r w:rsidRPr="00713F69">
              <w:rPr>
                <w:rFonts w:ascii="Arial" w:hAnsi="Arial" w:cs="Arial"/>
                <w:color w:val="FFFFFF" w:themeColor="background1"/>
              </w:rPr>
              <w:t>Input</w:t>
            </w:r>
            <w:r w:rsidR="00713F69">
              <w:rPr>
                <w:rFonts w:ascii="Arial" w:hAnsi="Arial" w:cs="Arial"/>
                <w:color w:val="FFFFFF" w:themeColor="background1"/>
              </w:rPr>
              <w:t xml:space="preserve"> </w:t>
            </w:r>
            <w:r w:rsidRPr="00713F69">
              <w:rPr>
                <w:rFonts w:ascii="Arial" w:hAnsi="Arial" w:cs="Arial"/>
                <w:color w:val="FFFFFF" w:themeColor="background1"/>
              </w:rPr>
              <w:t>/</w:t>
            </w:r>
            <w:r w:rsidR="00713F69">
              <w:rPr>
                <w:rFonts w:ascii="Arial" w:hAnsi="Arial" w:cs="Arial"/>
                <w:color w:val="FFFFFF" w:themeColor="background1"/>
              </w:rPr>
              <w:t xml:space="preserve"> a</w:t>
            </w:r>
            <w:r w:rsidRPr="00713F69">
              <w:rPr>
                <w:rFonts w:ascii="Arial" w:hAnsi="Arial" w:cs="Arial"/>
                <w:color w:val="FFFFFF" w:themeColor="background1"/>
              </w:rPr>
              <w:t>ssumption</w:t>
            </w:r>
          </w:p>
        </w:tc>
      </w:tr>
      <w:tr w:rsidR="00425098" w:rsidRPr="000A53C0" w14:paraId="5F8DD24B" w14:textId="77777777" w:rsidTr="00713F69">
        <w:trPr>
          <w:trHeight w:val="20"/>
        </w:trPr>
        <w:tc>
          <w:tcPr>
            <w:tcW w:w="263" w:type="pct"/>
            <w:vMerge w:val="restart"/>
            <w:shd w:val="clear" w:color="auto" w:fill="D9D9D9" w:themeFill="background1" w:themeFillShade="D9"/>
            <w:vAlign w:val="center"/>
          </w:tcPr>
          <w:p w14:paraId="62E1F1BC"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#1</w:t>
            </w:r>
          </w:p>
        </w:tc>
        <w:tc>
          <w:tcPr>
            <w:tcW w:w="1156" w:type="pct"/>
            <w:vMerge w:val="restart"/>
            <w:shd w:val="clear" w:color="auto" w:fill="D9D9D9" w:themeFill="background1" w:themeFillShade="D9"/>
            <w:tcMar>
              <w:top w:w="72" w:type="dxa"/>
              <w:left w:w="144" w:type="dxa"/>
              <w:bottom w:w="72" w:type="dxa"/>
              <w:right w:w="144" w:type="dxa"/>
            </w:tcMar>
            <w:vAlign w:val="center"/>
          </w:tcPr>
          <w:p w14:paraId="110395B0"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Business closure costs</w:t>
            </w:r>
          </w:p>
          <w:p w14:paraId="519232FD"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(engineered stone PBCUs only)</w:t>
            </w:r>
          </w:p>
        </w:tc>
        <w:tc>
          <w:tcPr>
            <w:tcW w:w="1766" w:type="pct"/>
            <w:vMerge w:val="restart"/>
            <w:shd w:val="clear" w:color="auto" w:fill="auto"/>
            <w:vAlign w:val="center"/>
          </w:tcPr>
          <w:p w14:paraId="70BAFAA2"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Business closure costs</w:t>
            </w:r>
          </w:p>
          <w:p w14:paraId="502E1A2D"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13AF1DF9"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Exit costs per business</w:t>
            </w:r>
          </w:p>
          <w:p w14:paraId="401D82F8"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x</w:t>
            </w:r>
          </w:p>
          <w:p w14:paraId="47362FB2"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No. of PBCUs business </w:t>
            </w:r>
            <w:r w:rsidRPr="000A53C0">
              <w:rPr>
                <w:rFonts w:cs="Arial"/>
                <w:szCs w:val="18"/>
              </w:rPr>
              <w:t>closures</w:t>
            </w:r>
            <w:r w:rsidRPr="000A53C0">
              <w:rPr>
                <w:rFonts w:cs="Arial"/>
                <w:color w:val="262626" w:themeColor="text1" w:themeTint="D9"/>
                <w:szCs w:val="18"/>
              </w:rPr>
              <w:t>, by size</w:t>
            </w:r>
          </w:p>
          <w:p w14:paraId="04D0A412" w14:textId="77777777" w:rsidR="00425098" w:rsidRPr="000A53C0" w:rsidRDefault="00425098">
            <w:pPr>
              <w:pStyle w:val="TableBody"/>
              <w:widowControl w:val="0"/>
              <w:spacing w:before="0" w:after="0"/>
              <w:rPr>
                <w:rFonts w:cs="Arial"/>
                <w:color w:val="262626" w:themeColor="text1" w:themeTint="D9"/>
                <w:szCs w:val="18"/>
              </w:rPr>
            </w:pPr>
          </w:p>
        </w:tc>
        <w:tc>
          <w:tcPr>
            <w:tcW w:w="1815" w:type="pct"/>
            <w:shd w:val="clear" w:color="auto" w:fill="auto"/>
            <w:vAlign w:val="center"/>
          </w:tcPr>
          <w:p w14:paraId="5333094D" w14:textId="77777777" w:rsidR="00425098" w:rsidRPr="000A53C0" w:rsidRDefault="00425098">
            <w:pPr>
              <w:pStyle w:val="TableHeading"/>
              <w:spacing w:after="6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 xml:space="preserve">Businesses that cease operating incur exit costs to wind up or liquidate their businesses such as deregistering their companies. While financial exit costs will be different for every PCBU, t estimates have been made by size of the PCBU. </w:t>
            </w:r>
          </w:p>
          <w:p w14:paraId="67F8A2BE" w14:textId="77777777" w:rsidR="00425098" w:rsidRPr="000A53C0" w:rsidRDefault="00425098">
            <w:pPr>
              <w:pStyle w:val="TableHeading"/>
              <w:spacing w:after="6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 xml:space="preserve">Closure cost by size: </w:t>
            </w:r>
          </w:p>
          <w:p w14:paraId="48882FB6"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$6,000</w:t>
            </w:r>
          </w:p>
          <w:p w14:paraId="2B9B270B"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$6,000</w:t>
            </w:r>
          </w:p>
          <w:p w14:paraId="7A35A73C"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$8,000 (Australian Debt Solvers, 2021)</w:t>
            </w:r>
            <w:r w:rsidRPr="000A53C0">
              <w:rPr>
                <w:rFonts w:ascii="Arial" w:hAnsi="Arial" w:cs="Arial"/>
                <w:b w:val="0"/>
                <w:color w:val="262626" w:themeColor="text1" w:themeTint="D9"/>
                <w:sz w:val="18"/>
                <w:szCs w:val="18"/>
                <w:lang w:val="en-AU"/>
              </w:rPr>
              <w:tab/>
            </w:r>
          </w:p>
          <w:p w14:paraId="775DAB9E" w14:textId="77777777" w:rsidR="00425098" w:rsidRPr="000A53C0" w:rsidRDefault="00425098">
            <w:pPr>
              <w:pStyle w:val="TableHeading"/>
              <w:spacing w:after="6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 xml:space="preserve">Redundancy payments have been calculated separately at Ref#2 </w:t>
            </w:r>
          </w:p>
        </w:tc>
      </w:tr>
      <w:tr w:rsidR="00425098" w:rsidRPr="000A53C0" w14:paraId="7E5737E2" w14:textId="77777777" w:rsidTr="00713F69">
        <w:trPr>
          <w:trHeight w:val="864"/>
        </w:trPr>
        <w:tc>
          <w:tcPr>
            <w:tcW w:w="263" w:type="pct"/>
            <w:vMerge/>
            <w:shd w:val="clear" w:color="auto" w:fill="D9D9D9" w:themeFill="background1" w:themeFillShade="D9"/>
          </w:tcPr>
          <w:p w14:paraId="5EC977DD"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72083359"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3FA6C3E9"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BB68EBE" w14:textId="77777777" w:rsidR="00425098" w:rsidRPr="000A53C0" w:rsidRDefault="00425098">
            <w:pPr>
              <w:pStyle w:val="TableHeading"/>
              <w:spacing w:before="0"/>
              <w:rPr>
                <w:rFonts w:ascii="Arial" w:hAnsi="Arial" w:cs="Arial"/>
                <w:b w:val="0"/>
                <w:bCs/>
                <w:sz w:val="18"/>
                <w:szCs w:val="18"/>
              </w:rPr>
            </w:pPr>
            <w:r w:rsidRPr="000A53C0">
              <w:rPr>
                <w:rFonts w:ascii="Arial" w:hAnsi="Arial" w:cs="Arial"/>
                <w:sz w:val="18"/>
                <w:szCs w:val="18"/>
              </w:rPr>
              <w:t xml:space="preserve">Number of </w:t>
            </w:r>
            <w:r w:rsidRPr="000A53C0">
              <w:rPr>
                <w:rFonts w:ascii="Arial" w:hAnsi="Arial" w:cs="Arial"/>
                <w:color w:val="262626" w:themeColor="text1" w:themeTint="D9"/>
                <w:sz w:val="18"/>
                <w:szCs w:val="18"/>
                <w:lang w:val="en-AU"/>
              </w:rPr>
              <w:t xml:space="preserve">engineered stone PCBU </w:t>
            </w:r>
            <w:r w:rsidRPr="000A53C0">
              <w:rPr>
                <w:rFonts w:ascii="Arial" w:hAnsi="Arial" w:cs="Arial"/>
                <w:sz w:val="18"/>
                <w:szCs w:val="18"/>
              </w:rPr>
              <w:t>closures, by size (by option)</w:t>
            </w:r>
            <w:r w:rsidRPr="000A53C0">
              <w:rPr>
                <w:rStyle w:val="FootnoteReference"/>
                <w:rFonts w:ascii="Arial" w:hAnsi="Arial" w:cs="Arial"/>
                <w:sz w:val="18"/>
                <w:szCs w:val="18"/>
              </w:rPr>
              <w:footnoteReference w:id="60"/>
            </w:r>
            <w:r w:rsidRPr="000A53C0">
              <w:rPr>
                <w:rFonts w:ascii="Arial" w:hAnsi="Arial" w:cs="Arial"/>
                <w:sz w:val="18"/>
                <w:szCs w:val="18"/>
              </w:rPr>
              <w:t xml:space="preserve">: </w:t>
            </w:r>
          </w:p>
          <w:p w14:paraId="258F0BB5" w14:textId="77777777" w:rsidR="00425098" w:rsidRPr="000A53C0" w:rsidRDefault="00425098">
            <w:pPr>
              <w:pStyle w:val="TableHeading"/>
              <w:spacing w:before="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Option 1</w:t>
            </w:r>
          </w:p>
          <w:p w14:paraId="7BC0DBD1"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 xml:space="preserve">Sole Traders: 44 </w:t>
            </w:r>
          </w:p>
          <w:p w14:paraId="30BDE28E"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42</w:t>
            </w:r>
          </w:p>
          <w:p w14:paraId="7FA91E5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Medium: 7</w:t>
            </w:r>
          </w:p>
          <w:p w14:paraId="15FE4873" w14:textId="77777777" w:rsidR="00425098" w:rsidRPr="000A53C0" w:rsidRDefault="00425098">
            <w:pPr>
              <w:pStyle w:val="TableHeading"/>
              <w:spacing w:before="0" w:after="0" w:line="240" w:lineRule="auto"/>
              <w:ind w:left="360"/>
              <w:rPr>
                <w:rFonts w:ascii="Arial" w:eastAsia="Times New Roman" w:hAnsi="Arial" w:cs="Arial"/>
                <w:b w:val="0"/>
                <w:color w:val="262626" w:themeColor="text1" w:themeTint="D9"/>
                <w:sz w:val="18"/>
                <w:szCs w:val="18"/>
                <w:lang w:val="en-AU" w:eastAsia="en-AU"/>
              </w:rPr>
            </w:pPr>
          </w:p>
          <w:p w14:paraId="572E3107" w14:textId="77777777" w:rsidR="00425098" w:rsidRPr="000A53C0" w:rsidRDefault="00425098">
            <w:pPr>
              <w:pStyle w:val="TableHeading"/>
              <w:spacing w:before="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Option 2</w:t>
            </w:r>
          </w:p>
          <w:p w14:paraId="221BBDCD"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0</w:t>
            </w:r>
          </w:p>
          <w:p w14:paraId="1D4D164D"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0</w:t>
            </w:r>
          </w:p>
          <w:p w14:paraId="315D3D9F"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Medium: 0</w:t>
            </w:r>
          </w:p>
          <w:p w14:paraId="6111D8B2" w14:textId="77777777" w:rsidR="00425098" w:rsidRPr="000A53C0" w:rsidRDefault="00425098">
            <w:pPr>
              <w:pStyle w:val="TableHeading"/>
              <w:spacing w:before="0" w:after="0" w:line="240" w:lineRule="auto"/>
              <w:ind w:left="360"/>
              <w:rPr>
                <w:rFonts w:ascii="Arial" w:eastAsia="Times New Roman" w:hAnsi="Arial" w:cs="Arial"/>
                <w:b w:val="0"/>
                <w:color w:val="262626" w:themeColor="text1" w:themeTint="D9"/>
                <w:sz w:val="18"/>
                <w:szCs w:val="18"/>
                <w:lang w:val="en-AU" w:eastAsia="en-AU"/>
              </w:rPr>
            </w:pPr>
          </w:p>
          <w:p w14:paraId="04B32000" w14:textId="77777777" w:rsidR="00425098" w:rsidRPr="000A53C0" w:rsidRDefault="00425098">
            <w:pPr>
              <w:pStyle w:val="TableHeading"/>
              <w:spacing w:before="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Option 3</w:t>
            </w:r>
          </w:p>
          <w:p w14:paraId="66DF52B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22</w:t>
            </w:r>
          </w:p>
          <w:p w14:paraId="2075824A"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21</w:t>
            </w:r>
          </w:p>
          <w:p w14:paraId="571406C1"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Medium: 3</w:t>
            </w:r>
          </w:p>
          <w:p w14:paraId="36540AF5" w14:textId="77777777" w:rsidR="00425098" w:rsidRPr="000A53C0" w:rsidRDefault="00425098">
            <w:pPr>
              <w:pStyle w:val="TableHeading"/>
              <w:spacing w:before="0" w:after="0" w:line="240" w:lineRule="auto"/>
              <w:ind w:left="360"/>
              <w:rPr>
                <w:rFonts w:ascii="Arial" w:eastAsia="Times New Roman" w:hAnsi="Arial" w:cs="Arial"/>
                <w:b w:val="0"/>
                <w:color w:val="262626" w:themeColor="text1" w:themeTint="D9"/>
                <w:sz w:val="18"/>
                <w:szCs w:val="18"/>
                <w:lang w:val="en-AU" w:eastAsia="en-AU"/>
              </w:rPr>
            </w:pPr>
          </w:p>
          <w:p w14:paraId="5135219C" w14:textId="77777777" w:rsidR="00425098" w:rsidRPr="000A53C0" w:rsidRDefault="00425098">
            <w:pPr>
              <w:pStyle w:val="TableHeading"/>
              <w:spacing w:before="0"/>
              <w:rPr>
                <w:rFonts w:ascii="Arial" w:hAnsi="Arial" w:cs="Arial"/>
                <w:sz w:val="18"/>
                <w:szCs w:val="18"/>
              </w:rPr>
            </w:pPr>
            <w:r w:rsidRPr="000A53C0">
              <w:rPr>
                <w:rFonts w:ascii="Arial" w:hAnsi="Arial" w:cs="Arial"/>
                <w:b w:val="0"/>
                <w:bCs/>
                <w:sz w:val="18"/>
                <w:szCs w:val="18"/>
              </w:rPr>
              <w:lastRenderedPageBreak/>
              <w:t>It has been assumed that business closures would only be seen in the engineered stone PCBUs who cut and install new stone.</w:t>
            </w:r>
            <w:r w:rsidRPr="000A53C0">
              <w:rPr>
                <w:rFonts w:ascii="Arial" w:hAnsi="Arial" w:cs="Arial"/>
                <w:sz w:val="18"/>
                <w:szCs w:val="18"/>
              </w:rPr>
              <w:t xml:space="preserve"> </w:t>
            </w:r>
            <w:r w:rsidRPr="000A53C0">
              <w:rPr>
                <w:rFonts w:ascii="Arial" w:hAnsi="Arial" w:cs="Arial"/>
                <w:b w:val="0"/>
                <w:bCs/>
                <w:sz w:val="18"/>
                <w:szCs w:val="18"/>
              </w:rPr>
              <w:t xml:space="preserve">Work with engineered stone is not a core part of business for other industry PCBUs. </w:t>
            </w:r>
          </w:p>
        </w:tc>
      </w:tr>
      <w:tr w:rsidR="00425098" w:rsidRPr="000A53C0" w14:paraId="3A7A95E9" w14:textId="77777777" w:rsidTr="00713F69">
        <w:trPr>
          <w:trHeight w:val="308"/>
        </w:trPr>
        <w:tc>
          <w:tcPr>
            <w:tcW w:w="263" w:type="pct"/>
            <w:vMerge/>
            <w:shd w:val="clear" w:color="auto" w:fill="D9D9D9" w:themeFill="background1" w:themeFillShade="D9"/>
          </w:tcPr>
          <w:p w14:paraId="7307CD9D"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0D67EB43"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66B91A1E"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62BD440"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 xml:space="preserve">Time period: </w:t>
            </w:r>
            <w:r w:rsidRPr="000A53C0">
              <w:rPr>
                <w:rFonts w:ascii="Arial" w:hAnsi="Arial" w:cs="Arial"/>
                <w:b w:val="0"/>
                <w:sz w:val="18"/>
                <w:szCs w:val="18"/>
              </w:rPr>
              <w:t>half in implementation year and half in year of prohibition taking effect.</w:t>
            </w:r>
          </w:p>
        </w:tc>
      </w:tr>
      <w:tr w:rsidR="00425098" w:rsidRPr="000A53C0" w14:paraId="31E9D586" w14:textId="77777777" w:rsidTr="00713F69">
        <w:trPr>
          <w:trHeight w:val="360"/>
        </w:trPr>
        <w:tc>
          <w:tcPr>
            <w:tcW w:w="263" w:type="pct"/>
            <w:vMerge w:val="restart"/>
            <w:shd w:val="clear" w:color="auto" w:fill="D9D9D9" w:themeFill="background1" w:themeFillShade="D9"/>
            <w:vAlign w:val="center"/>
          </w:tcPr>
          <w:p w14:paraId="0BD5CC63"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#2</w:t>
            </w:r>
          </w:p>
        </w:tc>
        <w:tc>
          <w:tcPr>
            <w:tcW w:w="1156" w:type="pct"/>
            <w:vMerge w:val="restart"/>
            <w:shd w:val="clear" w:color="auto" w:fill="D9D9D9" w:themeFill="background1" w:themeFillShade="D9"/>
            <w:tcMar>
              <w:top w:w="72" w:type="dxa"/>
              <w:left w:w="144" w:type="dxa"/>
              <w:bottom w:w="72" w:type="dxa"/>
              <w:right w:w="144" w:type="dxa"/>
            </w:tcMar>
            <w:vAlign w:val="center"/>
          </w:tcPr>
          <w:p w14:paraId="240EA30B"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 xml:space="preserve">Redundancy packages paid to workers  </w:t>
            </w:r>
          </w:p>
          <w:p w14:paraId="6091B5DC"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(engineered stone PBCUs only)</w:t>
            </w:r>
          </w:p>
        </w:tc>
        <w:tc>
          <w:tcPr>
            <w:tcW w:w="1766" w:type="pct"/>
            <w:vMerge w:val="restart"/>
            <w:shd w:val="clear" w:color="auto" w:fill="auto"/>
          </w:tcPr>
          <w:p w14:paraId="50FAA318"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Total redundancy payments</w:t>
            </w:r>
          </w:p>
          <w:p w14:paraId="3A4FB852"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1F5EEB25"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No. of medium-large business closures, by size</w:t>
            </w:r>
          </w:p>
          <w:p w14:paraId="176FBD9D"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x</w:t>
            </w:r>
          </w:p>
          <w:p w14:paraId="34C9FB57"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Average no. of workers for medium-large businesses</w:t>
            </w:r>
          </w:p>
          <w:p w14:paraId="43BC0123" w14:textId="77777777" w:rsidR="00425098" w:rsidRPr="000A53C0" w:rsidRDefault="00425098">
            <w:pPr>
              <w:pStyle w:val="TableHeading"/>
              <w:widowControl w:val="0"/>
              <w:spacing w:before="0"/>
              <w:jc w:val="center"/>
              <w:rPr>
                <w:rFonts w:ascii="Arial" w:hAnsi="Arial" w:cs="Arial"/>
                <w:b w:val="0"/>
                <w:color w:val="262626" w:themeColor="text1" w:themeTint="D9"/>
                <w:sz w:val="18"/>
                <w:szCs w:val="18"/>
                <w:lang w:val="en-AU"/>
              </w:rPr>
            </w:pPr>
            <w:r w:rsidRPr="000A53C0">
              <w:rPr>
                <w:rFonts w:ascii="Arial" w:hAnsi="Arial" w:cs="Arial"/>
                <w:b w:val="0"/>
                <w:iCs/>
                <w:color w:val="262626" w:themeColor="text1" w:themeTint="D9"/>
                <w:sz w:val="18"/>
                <w:szCs w:val="18"/>
                <w:lang w:val="en-AU"/>
              </w:rPr>
              <w:t>x</w:t>
            </w:r>
          </w:p>
          <w:p w14:paraId="1E846EF6"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Average wage/hour</w:t>
            </w:r>
          </w:p>
          <w:p w14:paraId="59A1A5A3"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295C48FD"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Average hours per week</w:t>
            </w:r>
          </w:p>
          <w:p w14:paraId="5468E587"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573A6128"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szCs w:val="18"/>
              </w:rPr>
              <w:t>Weeks of redundancy pay</w:t>
            </w:r>
          </w:p>
        </w:tc>
        <w:tc>
          <w:tcPr>
            <w:tcW w:w="1815" w:type="pct"/>
            <w:shd w:val="clear" w:color="auto" w:fill="auto"/>
            <w:vAlign w:val="center"/>
          </w:tcPr>
          <w:p w14:paraId="75AE11B2" w14:textId="77777777" w:rsidR="00425098" w:rsidRPr="000A53C0" w:rsidRDefault="00425098">
            <w:pPr>
              <w:pStyle w:val="TableHeading"/>
              <w:spacing w:before="0"/>
              <w:rPr>
                <w:rFonts w:ascii="Arial" w:hAnsi="Arial" w:cs="Arial"/>
                <w:sz w:val="18"/>
                <w:szCs w:val="18"/>
                <w:highlight w:val="green"/>
              </w:rPr>
            </w:pPr>
            <w:r w:rsidRPr="000A53C0">
              <w:rPr>
                <w:rFonts w:ascii="Arial" w:hAnsi="Arial" w:cs="Arial"/>
                <w:sz w:val="18"/>
                <w:szCs w:val="18"/>
              </w:rPr>
              <w:t xml:space="preserve">Number of medium-large </w:t>
            </w:r>
            <w:r w:rsidRPr="000A53C0">
              <w:rPr>
                <w:rFonts w:ascii="Arial" w:hAnsi="Arial" w:cs="Arial"/>
                <w:color w:val="262626" w:themeColor="text1" w:themeTint="D9"/>
                <w:sz w:val="18"/>
                <w:szCs w:val="18"/>
                <w:lang w:val="en-AU"/>
              </w:rPr>
              <w:t xml:space="preserve">engineered stone PCBUS </w:t>
            </w:r>
            <w:r w:rsidRPr="000A53C0">
              <w:rPr>
                <w:rFonts w:ascii="Arial" w:hAnsi="Arial" w:cs="Arial"/>
                <w:sz w:val="18"/>
                <w:szCs w:val="18"/>
              </w:rPr>
              <w:t xml:space="preserve">closures (by option): </w:t>
            </w:r>
            <w:r w:rsidRPr="000A53C0">
              <w:rPr>
                <w:rFonts w:ascii="Arial" w:hAnsi="Arial" w:cs="Arial"/>
                <w:b w:val="0"/>
                <w:sz w:val="18"/>
                <w:szCs w:val="18"/>
              </w:rPr>
              <w:t>See Ref #1 above</w:t>
            </w:r>
          </w:p>
        </w:tc>
      </w:tr>
      <w:tr w:rsidR="00425098" w:rsidRPr="000A53C0" w14:paraId="0AB668F4" w14:textId="77777777" w:rsidTr="00713F69">
        <w:trPr>
          <w:trHeight w:val="360"/>
        </w:trPr>
        <w:tc>
          <w:tcPr>
            <w:tcW w:w="263" w:type="pct"/>
            <w:vMerge/>
            <w:shd w:val="clear" w:color="auto" w:fill="D9D9D9" w:themeFill="background1" w:themeFillShade="D9"/>
          </w:tcPr>
          <w:p w14:paraId="72B132E5"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12FA6465"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2AEA2B11"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48303BD" w14:textId="77777777" w:rsidR="00425098" w:rsidRPr="000A53C0" w:rsidRDefault="00425098">
            <w:pPr>
              <w:pStyle w:val="TableHeading"/>
              <w:spacing w:before="0"/>
              <w:rPr>
                <w:rFonts w:ascii="Arial" w:hAnsi="Arial" w:cs="Arial"/>
                <w:b w:val="0"/>
                <w:sz w:val="18"/>
                <w:szCs w:val="18"/>
              </w:rPr>
            </w:pPr>
            <w:r w:rsidRPr="000A53C0">
              <w:rPr>
                <w:rFonts w:ascii="Arial" w:hAnsi="Arial" w:cs="Arial"/>
                <w:sz w:val="18"/>
                <w:szCs w:val="18"/>
              </w:rPr>
              <w:t>Average number of workers for medium-large engineered stone PCBUS:</w:t>
            </w:r>
            <w:r w:rsidRPr="000A53C0">
              <w:rPr>
                <w:rFonts w:ascii="Arial" w:hAnsi="Arial" w:cs="Arial"/>
                <w:b w:val="0"/>
                <w:sz w:val="18"/>
                <w:szCs w:val="18"/>
              </w:rPr>
              <w:t xml:space="preserve"> </w:t>
            </w:r>
          </w:p>
          <w:p w14:paraId="61335E52" w14:textId="77777777" w:rsidR="00425098" w:rsidRPr="000A53C0" w:rsidRDefault="00425098" w:rsidP="00766916">
            <w:pPr>
              <w:pStyle w:val="TableHeading"/>
              <w:numPr>
                <w:ilvl w:val="0"/>
                <w:numId w:val="37"/>
              </w:numPr>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Medium: 44</w:t>
            </w:r>
          </w:p>
        </w:tc>
      </w:tr>
      <w:tr w:rsidR="00425098" w:rsidRPr="000A53C0" w14:paraId="499D59B0" w14:textId="77777777" w:rsidTr="00713F69">
        <w:trPr>
          <w:trHeight w:val="360"/>
        </w:trPr>
        <w:tc>
          <w:tcPr>
            <w:tcW w:w="263" w:type="pct"/>
            <w:vMerge/>
            <w:shd w:val="clear" w:color="auto" w:fill="D9D9D9" w:themeFill="background1" w:themeFillShade="D9"/>
          </w:tcPr>
          <w:p w14:paraId="12E5011B"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76681F94"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13906881"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2605DA88" w14:textId="56B43443" w:rsidR="00425098" w:rsidRPr="000A53C0" w:rsidRDefault="00425098">
            <w:pPr>
              <w:pStyle w:val="TableHeading"/>
              <w:spacing w:before="0"/>
              <w:rPr>
                <w:rFonts w:ascii="Arial" w:hAnsi="Arial" w:cs="Arial"/>
                <w:color w:val="262626" w:themeColor="text1" w:themeTint="D9"/>
                <w:sz w:val="18"/>
                <w:szCs w:val="18"/>
                <w:lang w:val="en-AU"/>
              </w:rPr>
            </w:pPr>
            <w:r w:rsidRPr="000A53C0">
              <w:rPr>
                <w:rFonts w:ascii="Arial" w:hAnsi="Arial" w:cs="Arial"/>
                <w:color w:val="262626" w:themeColor="text1" w:themeTint="D9"/>
                <w:sz w:val="18"/>
                <w:szCs w:val="18"/>
                <w:lang w:val="en-AU"/>
              </w:rPr>
              <w:t>Average wage per hour:</w:t>
            </w:r>
            <w:r w:rsidRPr="000A53C0">
              <w:rPr>
                <w:rFonts w:ascii="Arial" w:hAnsi="Arial" w:cs="Arial"/>
                <w:b w:val="0"/>
                <w:iCs/>
                <w:color w:val="262626" w:themeColor="text1" w:themeTint="D9"/>
                <w:sz w:val="18"/>
                <w:szCs w:val="18"/>
                <w:lang w:val="en-AU"/>
              </w:rPr>
              <w:t xml:space="preserve"> $47 (</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iCs/>
                <w:color w:val="262626" w:themeColor="text1" w:themeTint="D9"/>
                <w:sz w:val="18"/>
                <w:szCs w:val="18"/>
                <w:lang w:val="en-AU"/>
              </w:rPr>
              <w:t>)</w:t>
            </w:r>
          </w:p>
        </w:tc>
      </w:tr>
      <w:tr w:rsidR="00425098" w:rsidRPr="000A53C0" w14:paraId="0FE425C0" w14:textId="77777777" w:rsidTr="00713F69">
        <w:trPr>
          <w:trHeight w:val="360"/>
        </w:trPr>
        <w:tc>
          <w:tcPr>
            <w:tcW w:w="263" w:type="pct"/>
            <w:vMerge/>
            <w:shd w:val="clear" w:color="auto" w:fill="D9D9D9" w:themeFill="background1" w:themeFillShade="D9"/>
          </w:tcPr>
          <w:p w14:paraId="34869D50"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2B4DE0E1"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65B8D0E8"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E3344D2" w14:textId="18111497" w:rsidR="00425098" w:rsidRPr="000A53C0" w:rsidRDefault="00425098">
            <w:pPr>
              <w:pStyle w:val="TableHeading"/>
              <w:spacing w:before="0"/>
              <w:rPr>
                <w:rFonts w:ascii="Arial" w:hAnsi="Arial" w:cs="Arial"/>
                <w:b w:val="0"/>
                <w:bCs/>
                <w:color w:val="262626" w:themeColor="text1" w:themeTint="D9"/>
                <w:sz w:val="18"/>
                <w:szCs w:val="18"/>
                <w:lang w:val="en-AU"/>
              </w:rPr>
            </w:pPr>
            <w:r w:rsidRPr="000A53C0">
              <w:rPr>
                <w:rFonts w:ascii="Arial" w:hAnsi="Arial" w:cs="Arial"/>
                <w:color w:val="262626" w:themeColor="text1" w:themeTint="D9"/>
                <w:sz w:val="18"/>
                <w:szCs w:val="18"/>
                <w:lang w:val="en-AU"/>
              </w:rPr>
              <w:t xml:space="preserve">Average hours per week: </w:t>
            </w:r>
            <w:r w:rsidRPr="000A53C0">
              <w:rPr>
                <w:rFonts w:ascii="Arial" w:hAnsi="Arial" w:cs="Arial"/>
                <w:b w:val="0"/>
                <w:bCs/>
                <w:color w:val="262626" w:themeColor="text1" w:themeTint="D9"/>
                <w:sz w:val="18"/>
                <w:szCs w:val="18"/>
                <w:lang w:val="en-AU"/>
              </w:rPr>
              <w:t>38</w:t>
            </w:r>
            <w:r w:rsidRPr="000A53C0">
              <w:rPr>
                <w:rFonts w:ascii="Arial" w:hAnsi="Arial" w:cs="Arial"/>
              </w:rPr>
              <w:t xml:space="preserve"> </w:t>
            </w:r>
            <w:r w:rsidRPr="000A53C0">
              <w:rPr>
                <w:rFonts w:ascii="Arial" w:hAnsi="Arial" w:cs="Arial"/>
                <w:b w:val="0"/>
                <w:iCs/>
                <w:color w:val="262626" w:themeColor="text1" w:themeTint="D9"/>
                <w:sz w:val="18"/>
                <w:szCs w:val="18"/>
                <w:lang w:val="en-AU"/>
              </w:rPr>
              <w:t>(</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iCs/>
                <w:color w:val="262626" w:themeColor="text1" w:themeTint="D9"/>
                <w:sz w:val="18"/>
                <w:szCs w:val="18"/>
                <w:lang w:val="en-AU"/>
              </w:rPr>
              <w:t>)</w:t>
            </w:r>
          </w:p>
        </w:tc>
      </w:tr>
      <w:tr w:rsidR="00425098" w:rsidRPr="000A53C0" w14:paraId="7296FF71" w14:textId="77777777" w:rsidTr="00713F69">
        <w:trPr>
          <w:trHeight w:val="200"/>
        </w:trPr>
        <w:tc>
          <w:tcPr>
            <w:tcW w:w="263" w:type="pct"/>
            <w:vMerge/>
            <w:shd w:val="clear" w:color="auto" w:fill="D9D9D9" w:themeFill="background1" w:themeFillShade="D9"/>
          </w:tcPr>
          <w:p w14:paraId="3E88FB29"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28182784"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41B0C1B4"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503EC8F" w14:textId="5533445A"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Weeks of redundancy </w:t>
            </w:r>
            <w:r w:rsidRPr="000A53C0">
              <w:rPr>
                <w:rFonts w:ascii="Arial" w:hAnsi="Arial" w:cs="Arial"/>
                <w:bCs/>
                <w:sz w:val="18"/>
                <w:szCs w:val="18"/>
              </w:rPr>
              <w:t xml:space="preserve">pay: </w:t>
            </w:r>
            <w:r w:rsidRPr="000A53C0">
              <w:rPr>
                <w:rFonts w:ascii="Arial" w:hAnsi="Arial" w:cs="Arial"/>
                <w:b w:val="0"/>
                <w:sz w:val="18"/>
                <w:szCs w:val="18"/>
              </w:rPr>
              <w:t>8 weeks</w:t>
            </w:r>
            <w:r w:rsidRPr="000A53C0">
              <w:rPr>
                <w:rFonts w:ascii="Arial" w:hAnsi="Arial" w:cs="Arial"/>
                <w:sz w:val="18"/>
                <w:szCs w:val="18"/>
              </w:rPr>
              <w:t xml:space="preserve"> </w:t>
            </w:r>
            <w:r w:rsidRPr="000A53C0">
              <w:rPr>
                <w:rFonts w:ascii="Arial" w:hAnsi="Arial" w:cs="Arial"/>
                <w:b w:val="0"/>
                <w:iCs/>
                <w:color w:val="262626" w:themeColor="text1" w:themeTint="D9"/>
                <w:sz w:val="18"/>
                <w:szCs w:val="18"/>
                <w:lang w:val="en-AU"/>
              </w:rPr>
              <w:t>(</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iCs/>
                <w:color w:val="262626" w:themeColor="text1" w:themeTint="D9"/>
                <w:sz w:val="18"/>
                <w:szCs w:val="18"/>
                <w:lang w:val="en-AU"/>
              </w:rPr>
              <w:t xml:space="preserve">) </w:t>
            </w:r>
          </w:p>
        </w:tc>
      </w:tr>
      <w:tr w:rsidR="00425098" w:rsidRPr="000A53C0" w14:paraId="5013A670" w14:textId="77777777" w:rsidTr="00713F69">
        <w:trPr>
          <w:trHeight w:val="199"/>
        </w:trPr>
        <w:tc>
          <w:tcPr>
            <w:tcW w:w="263" w:type="pct"/>
            <w:vMerge/>
            <w:shd w:val="clear" w:color="auto" w:fill="D9D9D9" w:themeFill="background1" w:themeFillShade="D9"/>
          </w:tcPr>
          <w:p w14:paraId="25D2758F" w14:textId="77777777" w:rsidR="00425098" w:rsidRPr="000A53C0" w:rsidRDefault="00425098">
            <w:pPr>
              <w:pStyle w:val="TableHeading"/>
              <w:spacing w:before="0"/>
              <w:rPr>
                <w:rFonts w:ascii="Arial" w:hAnsi="Arial" w:cs="Arial"/>
                <w:color w:val="FFFFFF" w:themeColor="background1"/>
                <w:sz w:val="18"/>
                <w:szCs w:val="18"/>
              </w:rPr>
            </w:pPr>
          </w:p>
        </w:tc>
        <w:tc>
          <w:tcPr>
            <w:tcW w:w="1156" w:type="pct"/>
            <w:vMerge/>
            <w:shd w:val="clear" w:color="auto" w:fill="D9D9D9" w:themeFill="background1" w:themeFillShade="D9"/>
            <w:tcMar>
              <w:top w:w="72" w:type="dxa"/>
              <w:left w:w="144" w:type="dxa"/>
              <w:bottom w:w="72" w:type="dxa"/>
              <w:right w:w="144" w:type="dxa"/>
            </w:tcMar>
            <w:vAlign w:val="center"/>
          </w:tcPr>
          <w:p w14:paraId="15F4AAD2" w14:textId="77777777" w:rsidR="00425098" w:rsidRPr="000A53C0" w:rsidRDefault="00425098">
            <w:pPr>
              <w:pStyle w:val="TableHeading"/>
              <w:spacing w:before="0"/>
              <w:rPr>
                <w:rFonts w:ascii="Arial" w:hAnsi="Arial" w:cs="Arial"/>
                <w:color w:val="FFFFFF" w:themeColor="background1"/>
                <w:sz w:val="18"/>
                <w:szCs w:val="18"/>
              </w:rPr>
            </w:pPr>
          </w:p>
        </w:tc>
        <w:tc>
          <w:tcPr>
            <w:tcW w:w="1766" w:type="pct"/>
            <w:vMerge/>
            <w:shd w:val="clear" w:color="auto" w:fill="auto"/>
            <w:vAlign w:val="center"/>
          </w:tcPr>
          <w:p w14:paraId="6649F2C8"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DF3E136"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Time period: </w:t>
            </w:r>
            <w:r w:rsidRPr="000A53C0">
              <w:rPr>
                <w:rFonts w:ascii="Arial" w:hAnsi="Arial" w:cs="Arial"/>
                <w:b w:val="0"/>
                <w:sz w:val="18"/>
                <w:szCs w:val="18"/>
              </w:rPr>
              <w:t>half in implementation year and half in year of prohibition taking effect.</w:t>
            </w:r>
          </w:p>
        </w:tc>
      </w:tr>
      <w:tr w:rsidR="00425098" w:rsidRPr="000A53C0" w14:paraId="7FC1C4E6" w14:textId="77777777" w:rsidTr="00713F69">
        <w:trPr>
          <w:trHeight w:val="456"/>
        </w:trPr>
        <w:tc>
          <w:tcPr>
            <w:tcW w:w="263" w:type="pct"/>
            <w:vMerge w:val="restart"/>
            <w:shd w:val="clear" w:color="auto" w:fill="D9D9D9" w:themeFill="background1" w:themeFillShade="D9"/>
            <w:vAlign w:val="center"/>
          </w:tcPr>
          <w:p w14:paraId="1CE4FE04"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#3</w:t>
            </w:r>
          </w:p>
        </w:tc>
        <w:tc>
          <w:tcPr>
            <w:tcW w:w="1156" w:type="pct"/>
            <w:vMerge w:val="restart"/>
            <w:shd w:val="clear" w:color="auto" w:fill="D9D9D9" w:themeFill="background1" w:themeFillShade="D9"/>
            <w:tcMar>
              <w:top w:w="72" w:type="dxa"/>
              <w:left w:w="144" w:type="dxa"/>
              <w:bottom w:w="72" w:type="dxa"/>
              <w:right w:w="144" w:type="dxa"/>
            </w:tcMar>
            <w:vAlign w:val="center"/>
          </w:tcPr>
          <w:p w14:paraId="17F1A570"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Licence application and renewal costs</w:t>
            </w:r>
          </w:p>
          <w:p w14:paraId="2C648631"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(legacy stone – all options)</w:t>
            </w:r>
          </w:p>
        </w:tc>
        <w:tc>
          <w:tcPr>
            <w:tcW w:w="1766" w:type="pct"/>
            <w:vMerge w:val="restart"/>
            <w:shd w:val="clear" w:color="auto" w:fill="auto"/>
            <w:vAlign w:val="center"/>
          </w:tcPr>
          <w:p w14:paraId="277CCABD"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b/>
                <w:color w:val="262626" w:themeColor="text1" w:themeTint="D9"/>
                <w:szCs w:val="18"/>
              </w:rPr>
              <w:t xml:space="preserve">Licence application costs (legacy) </w:t>
            </w:r>
            <w:r w:rsidRPr="000A53C0">
              <w:rPr>
                <w:rFonts w:cs="Arial"/>
                <w:color w:val="262626" w:themeColor="text1" w:themeTint="D9"/>
                <w:szCs w:val="18"/>
              </w:rPr>
              <w:t>(for each year of licence application)</w:t>
            </w:r>
          </w:p>
          <w:p w14:paraId="797A6C54"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689AD124"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Number of other industry PCBUs </w:t>
            </w:r>
          </w:p>
          <w:p w14:paraId="16565162"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x</w:t>
            </w:r>
          </w:p>
          <w:p w14:paraId="087CE762"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Proportion applying for legacy licence</w:t>
            </w:r>
          </w:p>
          <w:p w14:paraId="3AC558B8"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3FE95493"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szCs w:val="18"/>
              </w:rPr>
              <w:t xml:space="preserve">Hours to </w:t>
            </w:r>
            <w:r w:rsidRPr="000A53C0">
              <w:rPr>
                <w:rFonts w:cs="Arial"/>
                <w:color w:val="262626" w:themeColor="text1" w:themeTint="D9"/>
                <w:szCs w:val="18"/>
              </w:rPr>
              <w:t>prepare application (per PBCU)</w:t>
            </w:r>
          </w:p>
          <w:p w14:paraId="755E5B0C"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3FD7DEC9"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lastRenderedPageBreak/>
              <w:t>Average wage per hour</w:t>
            </w:r>
          </w:p>
        </w:tc>
        <w:tc>
          <w:tcPr>
            <w:tcW w:w="1815" w:type="pct"/>
            <w:shd w:val="clear" w:color="auto" w:fill="auto"/>
            <w:vAlign w:val="center"/>
          </w:tcPr>
          <w:p w14:paraId="578A8F92" w14:textId="77777777" w:rsidR="00425098" w:rsidRPr="000A53C0" w:rsidRDefault="00425098">
            <w:pPr>
              <w:pStyle w:val="TableBody"/>
              <w:widowControl w:val="0"/>
              <w:spacing w:before="0" w:after="0"/>
              <w:rPr>
                <w:rFonts w:cs="Arial"/>
                <w:b/>
                <w:strike/>
                <w:color w:val="262626" w:themeColor="text1" w:themeTint="D9"/>
                <w:szCs w:val="18"/>
              </w:rPr>
            </w:pPr>
            <w:r w:rsidRPr="000A53C0">
              <w:rPr>
                <w:rFonts w:cs="Arial"/>
                <w:b/>
                <w:color w:val="262626" w:themeColor="text1" w:themeTint="D9"/>
                <w:szCs w:val="18"/>
              </w:rPr>
              <w:lastRenderedPageBreak/>
              <w:t xml:space="preserve">Number of other industry PCBUs: </w:t>
            </w:r>
          </w:p>
          <w:p w14:paraId="79B2C9F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99,205</w:t>
            </w:r>
          </w:p>
          <w:p w14:paraId="5AFB51E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businesses: 78,569</w:t>
            </w:r>
          </w:p>
          <w:p w14:paraId="76824C9B"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Medium-large businesses: 1,976</w:t>
            </w:r>
          </w:p>
        </w:tc>
      </w:tr>
      <w:tr w:rsidR="00425098" w:rsidRPr="000A53C0" w14:paraId="4C4DD3D8" w14:textId="77777777" w:rsidTr="00713F69">
        <w:trPr>
          <w:trHeight w:val="456"/>
        </w:trPr>
        <w:tc>
          <w:tcPr>
            <w:tcW w:w="263" w:type="pct"/>
            <w:vMerge/>
            <w:shd w:val="clear" w:color="auto" w:fill="D9D9D9" w:themeFill="background1" w:themeFillShade="D9"/>
          </w:tcPr>
          <w:p w14:paraId="47ABAFA7"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207E7C80"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2F7B0461"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D63DAD3" w14:textId="77777777" w:rsidR="00425098" w:rsidRPr="000A53C0" w:rsidRDefault="00425098">
            <w:pPr>
              <w:pStyle w:val="TableBody"/>
              <w:widowControl w:val="0"/>
              <w:spacing w:before="0" w:after="0"/>
              <w:rPr>
                <w:rFonts w:cs="Arial"/>
                <w:b/>
                <w:szCs w:val="18"/>
              </w:rPr>
            </w:pPr>
            <w:r w:rsidRPr="000A53C0">
              <w:rPr>
                <w:rFonts w:cs="Arial"/>
                <w:b/>
                <w:szCs w:val="18"/>
              </w:rPr>
              <w:t>Proportion applying for a legacy licence:</w:t>
            </w:r>
          </w:p>
          <w:p w14:paraId="1ACEA57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30% (29,762 PCBUs)</w:t>
            </w:r>
          </w:p>
          <w:p w14:paraId="04AEDE1D"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businesses: 35% (27,499 PCBUs)</w:t>
            </w:r>
          </w:p>
          <w:p w14:paraId="438BB921" w14:textId="77777777" w:rsidR="00425098" w:rsidRPr="000A53C0" w:rsidRDefault="00425098" w:rsidP="00766916">
            <w:pPr>
              <w:pStyle w:val="TableHeading"/>
              <w:numPr>
                <w:ilvl w:val="0"/>
                <w:numId w:val="38"/>
              </w:numPr>
              <w:spacing w:before="0" w:after="0" w:line="240" w:lineRule="auto"/>
              <w:rPr>
                <w:rFonts w:ascii="Arial" w:hAnsi="Arial" w:cs="Arial"/>
                <w:bCs/>
                <w:szCs w:val="18"/>
              </w:rPr>
            </w:pPr>
            <w:r w:rsidRPr="000A53C0">
              <w:rPr>
                <w:rFonts w:ascii="Arial" w:eastAsia="Times New Roman" w:hAnsi="Arial" w:cs="Arial"/>
                <w:b w:val="0"/>
                <w:color w:val="262626" w:themeColor="text1" w:themeTint="D9"/>
                <w:sz w:val="18"/>
                <w:szCs w:val="18"/>
                <w:lang w:val="en-AU" w:eastAsia="en-AU"/>
              </w:rPr>
              <w:t>Medium-large businesses: 40% (790 PCBUs)</w:t>
            </w:r>
          </w:p>
          <w:p w14:paraId="624A0279" w14:textId="77777777" w:rsidR="00425098" w:rsidRPr="000A53C0" w:rsidRDefault="00425098" w:rsidP="00766916">
            <w:pPr>
              <w:pStyle w:val="TableHeading"/>
              <w:numPr>
                <w:ilvl w:val="0"/>
                <w:numId w:val="38"/>
              </w:numPr>
              <w:spacing w:before="0" w:after="0" w:line="240" w:lineRule="auto"/>
              <w:rPr>
                <w:rFonts w:ascii="Arial" w:hAnsi="Arial" w:cs="Arial"/>
                <w:szCs w:val="18"/>
              </w:rPr>
            </w:pPr>
            <w:r w:rsidRPr="000A53C0">
              <w:rPr>
                <w:rFonts w:ascii="Arial" w:eastAsia="Times New Roman" w:hAnsi="Arial" w:cs="Arial"/>
                <w:b w:val="0"/>
                <w:color w:val="262626" w:themeColor="text1" w:themeTint="D9"/>
                <w:sz w:val="18"/>
                <w:szCs w:val="18"/>
                <w:lang w:val="en-AU" w:eastAsia="en-AU"/>
              </w:rPr>
              <w:t>Total: 58,051</w:t>
            </w:r>
          </w:p>
        </w:tc>
      </w:tr>
      <w:tr w:rsidR="00425098" w:rsidRPr="000A53C0" w14:paraId="57A8C037" w14:textId="77777777" w:rsidTr="00713F69">
        <w:trPr>
          <w:trHeight w:val="456"/>
        </w:trPr>
        <w:tc>
          <w:tcPr>
            <w:tcW w:w="263" w:type="pct"/>
            <w:vMerge/>
            <w:shd w:val="clear" w:color="auto" w:fill="D9D9D9" w:themeFill="background1" w:themeFillShade="D9"/>
          </w:tcPr>
          <w:p w14:paraId="60C4D0EB"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798FC433"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1B66C9E5"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15C2949"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szCs w:val="18"/>
              </w:rPr>
              <w:t>Frequency of licence application:</w:t>
            </w:r>
            <w:r w:rsidRPr="000A53C0">
              <w:rPr>
                <w:rFonts w:cs="Arial"/>
                <w:szCs w:val="18"/>
              </w:rPr>
              <w:t xml:space="preserve"> 1 every 5 years</w:t>
            </w:r>
            <w:r w:rsidRPr="000A53C0">
              <w:rPr>
                <w:rStyle w:val="FootnoteReference"/>
                <w:rFonts w:cs="Arial"/>
                <w:szCs w:val="18"/>
              </w:rPr>
              <w:footnoteReference w:id="61"/>
            </w:r>
          </w:p>
        </w:tc>
      </w:tr>
      <w:tr w:rsidR="00425098" w:rsidRPr="000A53C0" w14:paraId="68686B63" w14:textId="77777777" w:rsidTr="00713F69">
        <w:trPr>
          <w:trHeight w:val="456"/>
        </w:trPr>
        <w:tc>
          <w:tcPr>
            <w:tcW w:w="263" w:type="pct"/>
            <w:vMerge/>
            <w:shd w:val="clear" w:color="auto" w:fill="D9D9D9" w:themeFill="background1" w:themeFillShade="D9"/>
          </w:tcPr>
          <w:p w14:paraId="7FE2F0FE"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40443982"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145F062C"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C7C8693" w14:textId="77777777" w:rsidR="00425098" w:rsidRPr="000A53C0" w:rsidRDefault="00425098">
            <w:pPr>
              <w:pStyle w:val="TableHeading"/>
              <w:widowControl w:val="0"/>
              <w:spacing w:before="0"/>
              <w:rPr>
                <w:rFonts w:ascii="Arial" w:hAnsi="Arial" w:cs="Arial"/>
                <w:b w:val="0"/>
                <w:bCs/>
                <w:sz w:val="18"/>
                <w:szCs w:val="18"/>
              </w:rPr>
            </w:pPr>
            <w:r w:rsidRPr="000A53C0">
              <w:rPr>
                <w:rFonts w:ascii="Arial" w:hAnsi="Arial" w:cs="Arial"/>
                <w:sz w:val="18"/>
                <w:szCs w:val="18"/>
              </w:rPr>
              <w:t xml:space="preserve">Time to prepare first application (hours): </w:t>
            </w:r>
            <w:r w:rsidRPr="000A53C0">
              <w:rPr>
                <w:rFonts w:ascii="Arial" w:hAnsi="Arial" w:cs="Arial"/>
                <w:b w:val="0"/>
                <w:bCs/>
                <w:sz w:val="18"/>
                <w:szCs w:val="18"/>
              </w:rPr>
              <w:t>18.75 (Deloitte, 2021)</w:t>
            </w:r>
          </w:p>
          <w:p w14:paraId="70437EE8"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bCs/>
                <w:color w:val="262626" w:themeColor="text1" w:themeTint="D9"/>
                <w:sz w:val="18"/>
                <w:szCs w:val="18"/>
                <w:lang w:val="en-AU"/>
              </w:rPr>
              <w:t>Hours to prepare renewal application</w:t>
            </w:r>
            <w:r w:rsidRPr="000A53C0">
              <w:rPr>
                <w:rFonts w:ascii="Arial" w:hAnsi="Arial" w:cs="Arial"/>
                <w:b w:val="0"/>
                <w:bCs/>
                <w:szCs w:val="18"/>
              </w:rPr>
              <w:t xml:space="preserve"> </w:t>
            </w:r>
            <w:r w:rsidRPr="000A53C0">
              <w:rPr>
                <w:rFonts w:ascii="Arial" w:hAnsi="Arial" w:cs="Arial"/>
                <w:bCs/>
                <w:color w:val="262626" w:themeColor="text1" w:themeTint="D9"/>
                <w:sz w:val="18"/>
                <w:szCs w:val="18"/>
                <w:lang w:val="en-AU"/>
              </w:rPr>
              <w:t>(per PBCU):</w:t>
            </w:r>
            <w:r w:rsidRPr="000A53C0">
              <w:rPr>
                <w:rFonts w:ascii="Arial" w:hAnsi="Arial" w:cs="Arial"/>
                <w:szCs w:val="18"/>
              </w:rPr>
              <w:t xml:space="preserve"> </w:t>
            </w:r>
            <w:r w:rsidRPr="000A53C0">
              <w:rPr>
                <w:rFonts w:ascii="Arial" w:hAnsi="Arial" w:cs="Arial"/>
                <w:b w:val="0"/>
                <w:bCs/>
                <w:sz w:val="18"/>
                <w:szCs w:val="18"/>
              </w:rPr>
              <w:t>9.375</w:t>
            </w:r>
            <w:r w:rsidRPr="000A53C0">
              <w:rPr>
                <w:rStyle w:val="FootnoteReference"/>
                <w:rFonts w:ascii="Arial" w:hAnsi="Arial" w:cs="Arial"/>
                <w:b w:val="0"/>
                <w:bCs/>
                <w:sz w:val="18"/>
                <w:szCs w:val="18"/>
              </w:rPr>
              <w:footnoteReference w:id="62"/>
            </w:r>
          </w:p>
        </w:tc>
      </w:tr>
      <w:tr w:rsidR="00425098" w:rsidRPr="000A53C0" w14:paraId="0A5BA381" w14:textId="77777777" w:rsidTr="00713F69">
        <w:trPr>
          <w:trHeight w:val="255"/>
        </w:trPr>
        <w:tc>
          <w:tcPr>
            <w:tcW w:w="263" w:type="pct"/>
            <w:vMerge/>
            <w:shd w:val="clear" w:color="auto" w:fill="D9D9D9" w:themeFill="background1" w:themeFillShade="D9"/>
          </w:tcPr>
          <w:p w14:paraId="08EC9E65"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78852B9B"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27E6CBE0"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C281FDF" w14:textId="6ACFEEAA"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Average wage per hour:</w:t>
            </w:r>
            <w:r w:rsidRPr="000A53C0">
              <w:rPr>
                <w:rFonts w:ascii="Arial" w:hAnsi="Arial" w:cs="Arial"/>
                <w:b w:val="0"/>
                <w:color w:val="262626" w:themeColor="text1" w:themeTint="D9"/>
                <w:sz w:val="18"/>
                <w:szCs w:val="18"/>
                <w:lang w:val="en-AU"/>
              </w:rPr>
              <w:t xml:space="preserve"> $47 </w:t>
            </w:r>
            <w:r w:rsidRPr="000A53C0">
              <w:rPr>
                <w:rFonts w:ascii="Arial" w:hAnsi="Arial" w:cs="Arial"/>
                <w:b w:val="0"/>
                <w:iCs/>
                <w:color w:val="262626" w:themeColor="text1" w:themeTint="D9"/>
                <w:sz w:val="18"/>
                <w:szCs w:val="18"/>
                <w:lang w:val="en-AU"/>
              </w:rPr>
              <w:t>(</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color w:val="262626" w:themeColor="text1" w:themeTint="D9"/>
                <w:sz w:val="18"/>
                <w:szCs w:val="18"/>
                <w:lang w:val="en-AU"/>
              </w:rPr>
              <w:t>)</w:t>
            </w:r>
          </w:p>
        </w:tc>
      </w:tr>
      <w:tr w:rsidR="00425098" w:rsidRPr="000A53C0" w14:paraId="64C55B6E" w14:textId="77777777" w:rsidTr="00713F69">
        <w:trPr>
          <w:trHeight w:val="255"/>
        </w:trPr>
        <w:tc>
          <w:tcPr>
            <w:tcW w:w="263" w:type="pct"/>
            <w:vMerge/>
            <w:shd w:val="clear" w:color="auto" w:fill="D9D9D9" w:themeFill="background1" w:themeFillShade="D9"/>
          </w:tcPr>
          <w:p w14:paraId="789C3825"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1C22CAB2"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7DC6CDD3"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4ED31C93" w14:textId="77777777"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Time period</w:t>
            </w:r>
          </w:p>
          <w:p w14:paraId="13FC163C" w14:textId="77777777" w:rsidR="00425098" w:rsidRPr="000A53C0" w:rsidRDefault="00425098">
            <w:pPr>
              <w:pStyle w:val="TableHeading"/>
              <w:widowControl w:val="0"/>
              <w:spacing w:before="0"/>
              <w:rPr>
                <w:rFonts w:ascii="Arial" w:hAnsi="Arial" w:cs="Arial"/>
                <w:b w:val="0"/>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First application: </w:t>
            </w:r>
            <w:r w:rsidRPr="000A53C0">
              <w:rPr>
                <w:rFonts w:ascii="Arial" w:hAnsi="Arial" w:cs="Arial"/>
                <w:b w:val="0"/>
                <w:color w:val="262626" w:themeColor="text1" w:themeTint="D9"/>
                <w:sz w:val="18"/>
                <w:szCs w:val="18"/>
                <w:lang w:val="en-AU"/>
              </w:rPr>
              <w:t>year before prohibition taking effect</w:t>
            </w:r>
          </w:p>
          <w:p w14:paraId="48EDC5AD" w14:textId="77777777"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Licence renewal: </w:t>
            </w:r>
            <w:r w:rsidRPr="000A53C0">
              <w:rPr>
                <w:rFonts w:ascii="Arial" w:hAnsi="Arial" w:cs="Arial"/>
                <w:b w:val="0"/>
                <w:color w:val="262626" w:themeColor="text1" w:themeTint="D9"/>
                <w:sz w:val="18"/>
                <w:szCs w:val="18"/>
                <w:lang w:val="en-AU"/>
              </w:rPr>
              <w:t>five years afterwards</w:t>
            </w:r>
          </w:p>
        </w:tc>
      </w:tr>
      <w:tr w:rsidR="00425098" w:rsidRPr="000A53C0" w14:paraId="07E88DA5" w14:textId="77777777" w:rsidTr="00713F69">
        <w:trPr>
          <w:trHeight w:val="470"/>
        </w:trPr>
        <w:tc>
          <w:tcPr>
            <w:tcW w:w="263" w:type="pct"/>
            <w:vMerge w:val="restart"/>
            <w:shd w:val="clear" w:color="auto" w:fill="D9D9D9" w:themeFill="background1" w:themeFillShade="D9"/>
            <w:vAlign w:val="center"/>
          </w:tcPr>
          <w:p w14:paraId="02518626"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#4</w:t>
            </w:r>
          </w:p>
        </w:tc>
        <w:tc>
          <w:tcPr>
            <w:tcW w:w="1156" w:type="pct"/>
            <w:vMerge w:val="restart"/>
            <w:shd w:val="clear" w:color="auto" w:fill="D9D9D9" w:themeFill="background1" w:themeFillShade="D9"/>
            <w:tcMar>
              <w:top w:w="72" w:type="dxa"/>
              <w:left w:w="144" w:type="dxa"/>
              <w:bottom w:w="72" w:type="dxa"/>
              <w:right w:w="144" w:type="dxa"/>
            </w:tcMar>
            <w:vAlign w:val="center"/>
          </w:tcPr>
          <w:p w14:paraId="0C940499"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Licence application and renewal costs</w:t>
            </w:r>
          </w:p>
          <w:p w14:paraId="25811C2E" w14:textId="77777777"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(Option 3 – licensing framework for work with lower silica engineered stone)</w:t>
            </w:r>
          </w:p>
        </w:tc>
        <w:tc>
          <w:tcPr>
            <w:tcW w:w="1766" w:type="pct"/>
            <w:vMerge w:val="restart"/>
            <w:shd w:val="clear" w:color="auto" w:fill="auto"/>
            <w:vAlign w:val="center"/>
          </w:tcPr>
          <w:p w14:paraId="6522DCD4"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b/>
                <w:szCs w:val="18"/>
              </w:rPr>
              <w:t>Licence application costs (</w:t>
            </w:r>
            <w:r w:rsidRPr="000A53C0">
              <w:rPr>
                <w:rFonts w:cs="Arial"/>
                <w:b/>
                <w:color w:val="262626" w:themeColor="text1" w:themeTint="D9"/>
                <w:szCs w:val="18"/>
              </w:rPr>
              <w:t xml:space="preserve">Option 3 - engineered stone &lt;40%) </w:t>
            </w:r>
            <w:r w:rsidRPr="000A53C0">
              <w:rPr>
                <w:rFonts w:cs="Arial"/>
                <w:color w:val="262626" w:themeColor="text1" w:themeTint="D9"/>
                <w:szCs w:val="18"/>
              </w:rPr>
              <w:t>(for each year of licence application)</w:t>
            </w:r>
          </w:p>
          <w:p w14:paraId="057E9097"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637DAB4C"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Number of engineered stone PCBUs applying for licence</w:t>
            </w:r>
          </w:p>
          <w:p w14:paraId="67217685"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09CCCC73"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szCs w:val="18"/>
              </w:rPr>
              <w:t xml:space="preserve">Hours to </w:t>
            </w:r>
            <w:r w:rsidRPr="000A53C0">
              <w:rPr>
                <w:rFonts w:cs="Arial"/>
                <w:color w:val="262626" w:themeColor="text1" w:themeTint="D9"/>
                <w:szCs w:val="18"/>
              </w:rPr>
              <w:t>prepare application (per PBCU)</w:t>
            </w:r>
          </w:p>
          <w:p w14:paraId="10CBFC1F"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C93E868" w14:textId="77777777" w:rsidR="00425098" w:rsidRPr="000A53C0" w:rsidRDefault="00425098">
            <w:pPr>
              <w:pStyle w:val="TableBody"/>
              <w:jc w:val="center"/>
              <w:rPr>
                <w:rFonts w:cs="Arial"/>
                <w:b/>
                <w:szCs w:val="18"/>
              </w:rPr>
            </w:pPr>
            <w:r w:rsidRPr="000A53C0">
              <w:rPr>
                <w:rFonts w:cs="Arial"/>
                <w:color w:val="262626" w:themeColor="text1" w:themeTint="D9"/>
                <w:szCs w:val="18"/>
              </w:rPr>
              <w:t>Average wage per hour</w:t>
            </w:r>
          </w:p>
        </w:tc>
        <w:tc>
          <w:tcPr>
            <w:tcW w:w="1815" w:type="pct"/>
            <w:vAlign w:val="center"/>
          </w:tcPr>
          <w:p w14:paraId="5147D1FF"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color w:val="262626" w:themeColor="text1" w:themeTint="D9"/>
                <w:szCs w:val="18"/>
              </w:rPr>
              <w:t>Number of engineered stone PCBUs applying for licence</w:t>
            </w:r>
            <w:r w:rsidRPr="000A53C0">
              <w:rPr>
                <w:rStyle w:val="FootnoteReference"/>
                <w:rFonts w:cs="Arial"/>
                <w:b/>
                <w:color w:val="262626" w:themeColor="text1" w:themeTint="D9"/>
                <w:szCs w:val="18"/>
              </w:rPr>
              <w:footnoteReference w:id="63"/>
            </w:r>
            <w:r w:rsidRPr="000A53C0">
              <w:rPr>
                <w:rFonts w:cs="Arial"/>
                <w:color w:val="262626" w:themeColor="text1" w:themeTint="D9"/>
                <w:szCs w:val="18"/>
              </w:rPr>
              <w:t xml:space="preserve">: </w:t>
            </w:r>
          </w:p>
          <w:p w14:paraId="4B4FF2FC" w14:textId="77777777" w:rsidR="00425098" w:rsidRPr="000A53C0" w:rsidRDefault="00425098">
            <w:pPr>
              <w:pStyle w:val="TableHeading"/>
              <w:spacing w:before="0"/>
              <w:rPr>
                <w:rFonts w:ascii="Arial" w:hAnsi="Arial" w:cs="Arial"/>
                <w:b w:val="0"/>
                <w:color w:val="262626" w:themeColor="text1" w:themeTint="D9"/>
                <w:sz w:val="18"/>
                <w:szCs w:val="18"/>
                <w:u w:val="single"/>
                <w:lang w:val="en-AU"/>
              </w:rPr>
            </w:pPr>
            <w:r w:rsidRPr="000A53C0">
              <w:rPr>
                <w:rFonts w:ascii="Arial" w:hAnsi="Arial" w:cs="Arial"/>
                <w:b w:val="0"/>
                <w:color w:val="262626" w:themeColor="text1" w:themeTint="D9"/>
                <w:sz w:val="18"/>
                <w:szCs w:val="18"/>
                <w:u w:val="single"/>
                <w:lang w:val="en-AU"/>
              </w:rPr>
              <w:t>Option 3</w:t>
            </w:r>
          </w:p>
          <w:p w14:paraId="5529951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418</w:t>
            </w:r>
          </w:p>
          <w:p w14:paraId="3749BAF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businesses: 399</w:t>
            </w:r>
          </w:p>
          <w:p w14:paraId="2296A299"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businesses: 137</w:t>
            </w:r>
          </w:p>
        </w:tc>
      </w:tr>
      <w:tr w:rsidR="00425098" w:rsidRPr="000A53C0" w14:paraId="6E7E2094" w14:textId="77777777" w:rsidTr="00713F69">
        <w:trPr>
          <w:trHeight w:val="471"/>
        </w:trPr>
        <w:tc>
          <w:tcPr>
            <w:tcW w:w="263" w:type="pct"/>
            <w:vMerge/>
            <w:shd w:val="clear" w:color="auto" w:fill="D9D9D9" w:themeFill="background1" w:themeFillShade="D9"/>
            <w:vAlign w:val="center"/>
          </w:tcPr>
          <w:p w14:paraId="7F8EA00B"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1D9ED38A"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71260D40" w14:textId="77777777" w:rsidR="00425098" w:rsidRPr="000A53C0" w:rsidRDefault="00425098">
            <w:pPr>
              <w:pStyle w:val="TableBody"/>
              <w:widowControl w:val="0"/>
              <w:spacing w:before="0" w:after="0"/>
              <w:jc w:val="center"/>
              <w:rPr>
                <w:rFonts w:cs="Arial"/>
                <w:b/>
              </w:rPr>
            </w:pPr>
          </w:p>
        </w:tc>
        <w:tc>
          <w:tcPr>
            <w:tcW w:w="1815" w:type="pct"/>
            <w:vAlign w:val="center"/>
          </w:tcPr>
          <w:p w14:paraId="5BD75253"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rPr>
              <w:t>Licence frequency</w:t>
            </w:r>
            <w:r w:rsidRPr="000A53C0">
              <w:rPr>
                <w:rFonts w:cs="Arial"/>
              </w:rPr>
              <w:t xml:space="preserve">: </w:t>
            </w:r>
            <w:r w:rsidRPr="000A53C0">
              <w:rPr>
                <w:rFonts w:cs="Arial"/>
                <w:szCs w:val="18"/>
              </w:rPr>
              <w:t>Same as Ref#3</w:t>
            </w:r>
          </w:p>
        </w:tc>
      </w:tr>
      <w:tr w:rsidR="00425098" w:rsidRPr="000A53C0" w14:paraId="078374F2" w14:textId="77777777" w:rsidTr="00713F69">
        <w:trPr>
          <w:trHeight w:val="471"/>
        </w:trPr>
        <w:tc>
          <w:tcPr>
            <w:tcW w:w="263" w:type="pct"/>
            <w:vMerge/>
            <w:shd w:val="clear" w:color="auto" w:fill="D9D9D9" w:themeFill="background1" w:themeFillShade="D9"/>
            <w:vAlign w:val="center"/>
          </w:tcPr>
          <w:p w14:paraId="77B4B337"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6A4C4315"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0AB67172" w14:textId="77777777" w:rsidR="00425098" w:rsidRPr="000A53C0" w:rsidRDefault="00425098">
            <w:pPr>
              <w:pStyle w:val="TableBody"/>
              <w:widowControl w:val="0"/>
              <w:spacing w:before="0" w:after="0"/>
              <w:jc w:val="center"/>
              <w:rPr>
                <w:rFonts w:cs="Arial"/>
                <w:b/>
              </w:rPr>
            </w:pPr>
          </w:p>
        </w:tc>
        <w:tc>
          <w:tcPr>
            <w:tcW w:w="1815" w:type="pct"/>
            <w:vAlign w:val="center"/>
          </w:tcPr>
          <w:p w14:paraId="142ADCB6" w14:textId="77777777" w:rsidR="00425098" w:rsidRPr="000A53C0" w:rsidRDefault="00425098">
            <w:pPr>
              <w:pStyle w:val="TableBody"/>
              <w:rPr>
                <w:rFonts w:cs="Arial"/>
                <w:szCs w:val="18"/>
              </w:rPr>
            </w:pPr>
            <w:r w:rsidRPr="000A53C0">
              <w:rPr>
                <w:rFonts w:cs="Arial"/>
                <w:b/>
              </w:rPr>
              <w:t xml:space="preserve">Hours to </w:t>
            </w:r>
            <w:r w:rsidRPr="000A53C0">
              <w:rPr>
                <w:rFonts w:cs="Arial"/>
                <w:b/>
                <w:color w:val="262626" w:themeColor="text1" w:themeTint="D9"/>
                <w:szCs w:val="18"/>
              </w:rPr>
              <w:t>prepare first application (per PBCU)</w:t>
            </w:r>
            <w:r w:rsidRPr="000A53C0">
              <w:rPr>
                <w:rFonts w:cs="Arial"/>
                <w:color w:val="262626" w:themeColor="text1" w:themeTint="D9"/>
                <w:szCs w:val="18"/>
              </w:rPr>
              <w:t xml:space="preserve">: </w:t>
            </w:r>
            <w:r w:rsidRPr="000A53C0">
              <w:rPr>
                <w:rFonts w:cs="Arial"/>
                <w:szCs w:val="18"/>
              </w:rPr>
              <w:t>Same as Ref#3</w:t>
            </w:r>
          </w:p>
          <w:p w14:paraId="4B61F1BB" w14:textId="77777777" w:rsidR="00425098" w:rsidRPr="000A53C0" w:rsidRDefault="00425098">
            <w:pPr>
              <w:pStyle w:val="TableBody"/>
              <w:rPr>
                <w:rFonts w:cs="Arial"/>
                <w:szCs w:val="18"/>
              </w:rPr>
            </w:pPr>
            <w:r w:rsidRPr="000A53C0">
              <w:rPr>
                <w:rFonts w:cs="Arial"/>
                <w:b/>
                <w:szCs w:val="18"/>
              </w:rPr>
              <w:t>Hours to prepare renewal application (per PBCU):</w:t>
            </w:r>
            <w:r w:rsidRPr="000A53C0">
              <w:rPr>
                <w:rFonts w:cs="Arial"/>
                <w:szCs w:val="18"/>
              </w:rPr>
              <w:t xml:space="preserve"> Same as Ref#3</w:t>
            </w:r>
          </w:p>
        </w:tc>
      </w:tr>
      <w:tr w:rsidR="00425098" w:rsidRPr="000A53C0" w14:paraId="5E078D1C" w14:textId="77777777" w:rsidTr="00713F69">
        <w:trPr>
          <w:trHeight w:val="261"/>
        </w:trPr>
        <w:tc>
          <w:tcPr>
            <w:tcW w:w="263" w:type="pct"/>
            <w:vMerge/>
            <w:shd w:val="clear" w:color="auto" w:fill="D9D9D9" w:themeFill="background1" w:themeFillShade="D9"/>
            <w:vAlign w:val="center"/>
          </w:tcPr>
          <w:p w14:paraId="592A0B81"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3D08386B"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7F693191" w14:textId="77777777" w:rsidR="00425098" w:rsidRPr="000A53C0" w:rsidRDefault="00425098">
            <w:pPr>
              <w:pStyle w:val="TableBody"/>
              <w:widowControl w:val="0"/>
              <w:spacing w:before="0" w:after="0"/>
              <w:jc w:val="center"/>
              <w:rPr>
                <w:rFonts w:cs="Arial"/>
                <w:b/>
              </w:rPr>
            </w:pPr>
          </w:p>
        </w:tc>
        <w:tc>
          <w:tcPr>
            <w:tcW w:w="1815" w:type="pct"/>
            <w:vAlign w:val="center"/>
          </w:tcPr>
          <w:p w14:paraId="019F7992" w14:textId="22AA6C9D" w:rsidR="00425098" w:rsidRPr="000A53C0" w:rsidRDefault="00425098">
            <w:pPr>
              <w:pStyle w:val="TableBody"/>
              <w:widowControl w:val="0"/>
              <w:spacing w:before="0" w:after="0"/>
              <w:rPr>
                <w:rFonts w:cs="Arial"/>
                <w:color w:val="262626" w:themeColor="text1" w:themeTint="D9"/>
                <w:szCs w:val="18"/>
              </w:rPr>
            </w:pPr>
            <w:r w:rsidRPr="000A53C0">
              <w:rPr>
                <w:rFonts w:cs="Arial"/>
                <w:b/>
                <w:color w:val="262626" w:themeColor="text1" w:themeTint="D9"/>
                <w:szCs w:val="18"/>
              </w:rPr>
              <w:t xml:space="preserve">Average wage per hour: </w:t>
            </w:r>
            <w:r w:rsidRPr="000A53C0">
              <w:rPr>
                <w:rFonts w:cs="Arial"/>
                <w:color w:val="262626" w:themeColor="text1" w:themeTint="D9"/>
                <w:szCs w:val="18"/>
              </w:rPr>
              <w:t>$47 (</w:t>
            </w:r>
            <w:r w:rsidRPr="000A53C0">
              <w:rPr>
                <w:rFonts w:cs="Arial"/>
                <w:b/>
                <w:bCs/>
                <w:szCs w:val="18"/>
              </w:rPr>
              <w:t xml:space="preserve">see </w:t>
            </w:r>
            <w:r w:rsidRPr="000A53C0">
              <w:rPr>
                <w:rFonts w:cs="Arial"/>
                <w:b/>
                <w:bCs/>
                <w:szCs w:val="18"/>
              </w:rPr>
              <w:fldChar w:fldCharType="begin" w:fldLock="1"/>
            </w:r>
            <w:r w:rsidRPr="000A53C0">
              <w:rPr>
                <w:rFonts w:cs="Arial"/>
                <w:b/>
                <w:bCs/>
                <w:szCs w:val="18"/>
              </w:rPr>
              <w:instrText xml:space="preserve"> REF _Ref135928043 \h  \* MERGEFORMAT </w:instrText>
            </w:r>
            <w:r w:rsidRPr="000A53C0">
              <w:rPr>
                <w:rFonts w:cs="Arial"/>
                <w:b/>
                <w:bCs/>
                <w:szCs w:val="18"/>
              </w:rPr>
            </w:r>
            <w:r w:rsidRPr="000A53C0">
              <w:rPr>
                <w:rFonts w:cs="Arial"/>
                <w:b/>
                <w:bCs/>
                <w:szCs w:val="18"/>
              </w:rPr>
              <w:fldChar w:fldCharType="separate"/>
            </w:r>
            <w:r w:rsidR="00D16271" w:rsidRPr="00D16271">
              <w:rPr>
                <w:rFonts w:cs="Arial"/>
                <w:b/>
                <w:bCs/>
                <w:szCs w:val="18"/>
              </w:rPr>
              <w:t>Table 28</w:t>
            </w:r>
            <w:r w:rsidRPr="000A53C0">
              <w:rPr>
                <w:rFonts w:cs="Arial"/>
                <w:b/>
                <w:bCs/>
                <w:szCs w:val="18"/>
              </w:rPr>
              <w:fldChar w:fldCharType="end"/>
            </w:r>
            <w:r w:rsidRPr="000A53C0">
              <w:rPr>
                <w:rFonts w:cs="Arial"/>
                <w:color w:val="262626" w:themeColor="text1" w:themeTint="D9"/>
                <w:szCs w:val="18"/>
              </w:rPr>
              <w:t>)</w:t>
            </w:r>
          </w:p>
        </w:tc>
      </w:tr>
      <w:tr w:rsidR="00425098" w:rsidRPr="000A53C0" w14:paraId="220C9A61" w14:textId="77777777" w:rsidTr="00713F69">
        <w:trPr>
          <w:trHeight w:val="260"/>
        </w:trPr>
        <w:tc>
          <w:tcPr>
            <w:tcW w:w="263" w:type="pct"/>
            <w:vMerge/>
            <w:shd w:val="clear" w:color="auto" w:fill="D9D9D9" w:themeFill="background1" w:themeFillShade="D9"/>
            <w:vAlign w:val="center"/>
          </w:tcPr>
          <w:p w14:paraId="62BD586B"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14F5DFBC"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3794E120" w14:textId="77777777" w:rsidR="00425098" w:rsidRPr="000A53C0" w:rsidRDefault="00425098">
            <w:pPr>
              <w:pStyle w:val="TableBody"/>
              <w:widowControl w:val="0"/>
              <w:spacing w:before="0" w:after="0"/>
              <w:jc w:val="center"/>
              <w:rPr>
                <w:rFonts w:cs="Arial"/>
                <w:b/>
              </w:rPr>
            </w:pPr>
          </w:p>
        </w:tc>
        <w:tc>
          <w:tcPr>
            <w:tcW w:w="1815" w:type="pct"/>
            <w:vAlign w:val="center"/>
          </w:tcPr>
          <w:p w14:paraId="658D5A72" w14:textId="77777777"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Time period: </w:t>
            </w:r>
          </w:p>
          <w:p w14:paraId="7AD3AEBD" w14:textId="77777777" w:rsidR="00425098" w:rsidRPr="000A53C0" w:rsidRDefault="00425098">
            <w:pPr>
              <w:pStyle w:val="TableHeading"/>
              <w:widowControl w:val="0"/>
              <w:spacing w:before="0"/>
              <w:rPr>
                <w:rFonts w:ascii="Arial" w:hAnsi="Arial" w:cs="Arial"/>
                <w:b w:val="0"/>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First application: </w:t>
            </w:r>
            <w:r w:rsidRPr="000A53C0">
              <w:rPr>
                <w:rFonts w:ascii="Arial" w:hAnsi="Arial" w:cs="Arial"/>
                <w:b w:val="0"/>
                <w:color w:val="262626" w:themeColor="text1" w:themeTint="D9"/>
                <w:sz w:val="18"/>
                <w:szCs w:val="18"/>
                <w:lang w:val="en-AU"/>
              </w:rPr>
              <w:t>year before prohibition taking effect</w:t>
            </w:r>
          </w:p>
          <w:p w14:paraId="25E37502" w14:textId="77777777" w:rsidR="00425098" w:rsidRPr="000A53C0" w:rsidRDefault="00425098">
            <w:pPr>
              <w:pStyle w:val="TableBody"/>
              <w:widowControl w:val="0"/>
              <w:spacing w:before="0" w:after="0"/>
              <w:rPr>
                <w:rFonts w:cs="Arial"/>
                <w:b/>
                <w:color w:val="262626" w:themeColor="text1" w:themeTint="D9"/>
                <w:szCs w:val="18"/>
              </w:rPr>
            </w:pPr>
            <w:r w:rsidRPr="000A53C0">
              <w:rPr>
                <w:rFonts w:cs="Arial"/>
                <w:b/>
                <w:color w:val="262626" w:themeColor="text1" w:themeTint="D9"/>
                <w:szCs w:val="18"/>
              </w:rPr>
              <w:t>Licence renewal:</w:t>
            </w:r>
            <w:r w:rsidRPr="000A53C0">
              <w:rPr>
                <w:rFonts w:cs="Arial"/>
                <w:color w:val="262626" w:themeColor="text1" w:themeTint="D9"/>
                <w:szCs w:val="18"/>
              </w:rPr>
              <w:t xml:space="preserve"> five years afterwards</w:t>
            </w:r>
          </w:p>
        </w:tc>
      </w:tr>
      <w:tr w:rsidR="00425098" w:rsidRPr="000A53C0" w14:paraId="70D9DE7C" w14:textId="77777777" w:rsidTr="00713F69">
        <w:trPr>
          <w:trHeight w:val="650"/>
        </w:trPr>
        <w:tc>
          <w:tcPr>
            <w:tcW w:w="263" w:type="pct"/>
            <w:vMerge w:val="restart"/>
            <w:shd w:val="clear" w:color="auto" w:fill="D9D9D9" w:themeFill="background1" w:themeFillShade="D9"/>
            <w:vAlign w:val="center"/>
          </w:tcPr>
          <w:p w14:paraId="588B4E1C"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t>#5</w:t>
            </w:r>
          </w:p>
        </w:tc>
        <w:tc>
          <w:tcPr>
            <w:tcW w:w="1156" w:type="pct"/>
            <w:vMerge w:val="restart"/>
            <w:shd w:val="clear" w:color="auto" w:fill="D9D9D9" w:themeFill="background1" w:themeFillShade="D9"/>
            <w:tcMar>
              <w:top w:w="72" w:type="dxa"/>
              <w:left w:w="144" w:type="dxa"/>
              <w:bottom w:w="72" w:type="dxa"/>
              <w:right w:w="144" w:type="dxa"/>
            </w:tcMar>
            <w:vAlign w:val="center"/>
          </w:tcPr>
          <w:p w14:paraId="73405DF6" w14:textId="563F4DCA" w:rsidR="00425098" w:rsidRPr="00713F69" w:rsidRDefault="00425098">
            <w:pPr>
              <w:pStyle w:val="TableHeading"/>
              <w:spacing w:before="0"/>
              <w:rPr>
                <w:rFonts w:ascii="Arial" w:hAnsi="Arial" w:cs="Arial"/>
                <w:sz w:val="18"/>
                <w:szCs w:val="18"/>
              </w:rPr>
            </w:pPr>
            <w:r w:rsidRPr="00713F69">
              <w:rPr>
                <w:rFonts w:ascii="Arial" w:hAnsi="Arial" w:cs="Arial"/>
                <w:sz w:val="18"/>
                <w:szCs w:val="18"/>
              </w:rPr>
              <w:t>Costs of compliance audits</w:t>
            </w:r>
          </w:p>
        </w:tc>
        <w:tc>
          <w:tcPr>
            <w:tcW w:w="1766" w:type="pct"/>
            <w:vMerge w:val="restart"/>
            <w:shd w:val="clear" w:color="auto" w:fill="auto"/>
            <w:vAlign w:val="center"/>
          </w:tcPr>
          <w:p w14:paraId="0761A5C0" w14:textId="77777777" w:rsidR="00425098" w:rsidRPr="000A53C0" w:rsidRDefault="00425098">
            <w:pPr>
              <w:pStyle w:val="TableBody"/>
              <w:jc w:val="center"/>
              <w:rPr>
                <w:rFonts w:cs="Arial"/>
                <w:b/>
                <w:color w:val="262626" w:themeColor="text1" w:themeTint="D9"/>
                <w:szCs w:val="18"/>
              </w:rPr>
            </w:pPr>
            <w:r w:rsidRPr="000A53C0">
              <w:rPr>
                <w:rFonts w:cs="Arial"/>
                <w:b/>
                <w:szCs w:val="18"/>
              </w:rPr>
              <w:t>Total cost of compliance audits</w:t>
            </w:r>
          </w:p>
          <w:p w14:paraId="48206222"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1D6192B6"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Total number of licenses held</w:t>
            </w:r>
          </w:p>
          <w:p w14:paraId="43461A39"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368C8D5" w14:textId="77777777" w:rsidR="00425098" w:rsidRPr="000A53C0" w:rsidRDefault="00425098">
            <w:pPr>
              <w:pStyle w:val="TableBody"/>
              <w:jc w:val="center"/>
              <w:rPr>
                <w:rFonts w:cs="Arial"/>
                <w:color w:val="262626" w:themeColor="text1" w:themeTint="D9"/>
                <w:szCs w:val="18"/>
              </w:rPr>
            </w:pPr>
            <w:r w:rsidRPr="000A53C0">
              <w:rPr>
                <w:rFonts w:cs="Arial"/>
                <w:szCs w:val="18"/>
              </w:rPr>
              <w:t>Frequency of compliance audits</w:t>
            </w:r>
          </w:p>
          <w:p w14:paraId="15ED8233"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53A8AAE1" w14:textId="77777777" w:rsidR="00425098" w:rsidRPr="000A53C0" w:rsidRDefault="00425098">
            <w:pPr>
              <w:pStyle w:val="TableBody"/>
              <w:jc w:val="center"/>
              <w:rPr>
                <w:rFonts w:cs="Arial"/>
                <w:color w:val="262626" w:themeColor="text1" w:themeTint="D9"/>
                <w:szCs w:val="18"/>
              </w:rPr>
            </w:pPr>
            <w:r w:rsidRPr="000A53C0">
              <w:rPr>
                <w:rFonts w:cs="Arial"/>
                <w:szCs w:val="18"/>
              </w:rPr>
              <w:t>Number of workers to participate in compliance audits</w:t>
            </w:r>
          </w:p>
          <w:p w14:paraId="08B0571A" w14:textId="77777777" w:rsidR="00425098" w:rsidRPr="000A53C0" w:rsidRDefault="00425098">
            <w:pPr>
              <w:pStyle w:val="TableBody"/>
              <w:jc w:val="center"/>
              <w:rPr>
                <w:rFonts w:cs="Arial"/>
                <w:szCs w:val="18"/>
              </w:rPr>
            </w:pPr>
            <w:r w:rsidRPr="000A53C0">
              <w:rPr>
                <w:rFonts w:cs="Arial"/>
                <w:szCs w:val="18"/>
              </w:rPr>
              <w:t>×</w:t>
            </w:r>
          </w:p>
          <w:p w14:paraId="700A405B" w14:textId="77777777" w:rsidR="00425098" w:rsidRPr="000A53C0" w:rsidRDefault="00425098">
            <w:pPr>
              <w:pStyle w:val="TableBody"/>
              <w:jc w:val="center"/>
              <w:rPr>
                <w:rFonts w:cs="Arial"/>
                <w:color w:val="262626" w:themeColor="text1" w:themeTint="D9"/>
                <w:szCs w:val="18"/>
              </w:rPr>
            </w:pPr>
            <w:r w:rsidRPr="000A53C0">
              <w:rPr>
                <w:rFonts w:cs="Arial"/>
                <w:szCs w:val="18"/>
              </w:rPr>
              <w:t>Hours per worker to participate in compliance audits</w:t>
            </w:r>
          </w:p>
          <w:p w14:paraId="5453E0F0"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30E93706"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szCs w:val="18"/>
              </w:rPr>
              <w:t xml:space="preserve">Average wage/hour” </w:t>
            </w:r>
          </w:p>
        </w:tc>
        <w:tc>
          <w:tcPr>
            <w:tcW w:w="1815" w:type="pct"/>
            <w:vAlign w:val="center"/>
          </w:tcPr>
          <w:p w14:paraId="7DF0A0DE"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color w:val="262626" w:themeColor="text1" w:themeTint="D9"/>
                <w:szCs w:val="18"/>
              </w:rPr>
              <w:t>Total number of licenses held:</w:t>
            </w:r>
          </w:p>
          <w:p w14:paraId="13584DA0" w14:textId="77777777"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Engineered stone PCBUs</w:t>
            </w:r>
          </w:p>
          <w:p w14:paraId="3DA6B90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Option 1 and 2: 0</w:t>
            </w:r>
          </w:p>
          <w:p w14:paraId="401553CE"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Option 3: As per Ref#4</w:t>
            </w:r>
          </w:p>
          <w:p w14:paraId="0D3CCEE5" w14:textId="77777777"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Other industry PCBUs: As per Ref#3</w:t>
            </w:r>
          </w:p>
        </w:tc>
      </w:tr>
      <w:tr w:rsidR="00425098" w:rsidRPr="000A53C0" w14:paraId="51F06FC9" w14:textId="77777777" w:rsidTr="00713F69">
        <w:trPr>
          <w:trHeight w:val="314"/>
        </w:trPr>
        <w:tc>
          <w:tcPr>
            <w:tcW w:w="263" w:type="pct"/>
            <w:vMerge/>
            <w:shd w:val="clear" w:color="auto" w:fill="D9D9D9" w:themeFill="background1" w:themeFillShade="D9"/>
          </w:tcPr>
          <w:p w14:paraId="71393D32"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3BED94A3"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246BF33B" w14:textId="77777777" w:rsidR="00425098" w:rsidRPr="000A53C0" w:rsidRDefault="00425098">
            <w:pPr>
              <w:pStyle w:val="TableBody"/>
              <w:jc w:val="center"/>
              <w:rPr>
                <w:rFonts w:cs="Arial"/>
                <w:b/>
              </w:rPr>
            </w:pPr>
          </w:p>
        </w:tc>
        <w:tc>
          <w:tcPr>
            <w:tcW w:w="1815" w:type="pct"/>
            <w:vAlign w:val="center"/>
          </w:tcPr>
          <w:p w14:paraId="5C5ED2E2" w14:textId="77777777" w:rsidR="00425098" w:rsidRPr="000A53C0" w:rsidRDefault="00425098">
            <w:pPr>
              <w:pStyle w:val="TableBody"/>
              <w:rPr>
                <w:rFonts w:cs="Arial"/>
                <w:b/>
              </w:rPr>
            </w:pPr>
            <w:r w:rsidRPr="000A53C0">
              <w:rPr>
                <w:rFonts w:cs="Arial"/>
                <w:b/>
              </w:rPr>
              <w:t xml:space="preserve">Frequency of compliance audits: </w:t>
            </w:r>
          </w:p>
          <w:p w14:paraId="3CCD07A3" w14:textId="77777777" w:rsidR="00425098" w:rsidRPr="000A53C0" w:rsidRDefault="00425098" w:rsidP="00766916">
            <w:pPr>
              <w:pStyle w:val="TableHeading"/>
              <w:numPr>
                <w:ilvl w:val="0"/>
                <w:numId w:val="37"/>
              </w:numPr>
              <w:spacing w:before="0" w:after="0"/>
              <w:ind w:left="357" w:hanging="357"/>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Engineered stone PCBUs: 1 every 3 years</w:t>
            </w:r>
            <w:r w:rsidRPr="000A53C0">
              <w:rPr>
                <w:rStyle w:val="FootnoteReference"/>
                <w:rFonts w:ascii="Arial" w:hAnsi="Arial" w:cs="Arial"/>
                <w:b w:val="0"/>
                <w:color w:val="262626" w:themeColor="text1" w:themeTint="D9"/>
                <w:sz w:val="18"/>
                <w:szCs w:val="18"/>
                <w:lang w:val="en-AU"/>
              </w:rPr>
              <w:footnoteReference w:id="64"/>
            </w:r>
          </w:p>
          <w:p w14:paraId="20AAC265" w14:textId="77777777" w:rsidR="00425098" w:rsidRPr="000A53C0" w:rsidRDefault="00425098" w:rsidP="00766916">
            <w:pPr>
              <w:pStyle w:val="TableHeading"/>
              <w:numPr>
                <w:ilvl w:val="0"/>
                <w:numId w:val="37"/>
              </w:numPr>
              <w:spacing w:before="0" w:after="0"/>
              <w:ind w:left="357" w:hanging="357"/>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Other industry PCBUs: 1 every 5 years</w:t>
            </w:r>
            <w:r w:rsidRPr="000A53C0">
              <w:rPr>
                <w:rStyle w:val="FootnoteReference"/>
                <w:rFonts w:ascii="Arial" w:hAnsi="Arial" w:cs="Arial"/>
                <w:b w:val="0"/>
                <w:color w:val="262626" w:themeColor="text1" w:themeTint="D9"/>
                <w:sz w:val="18"/>
                <w:szCs w:val="18"/>
                <w:lang w:val="en-AU"/>
              </w:rPr>
              <w:footnoteReference w:id="65"/>
            </w:r>
          </w:p>
        </w:tc>
      </w:tr>
      <w:tr w:rsidR="00425098" w:rsidRPr="000A53C0" w14:paraId="76EA2605" w14:textId="77777777" w:rsidTr="00713F69">
        <w:trPr>
          <w:trHeight w:val="20"/>
        </w:trPr>
        <w:tc>
          <w:tcPr>
            <w:tcW w:w="263" w:type="pct"/>
            <w:vMerge/>
            <w:shd w:val="clear" w:color="auto" w:fill="D9D9D9" w:themeFill="background1" w:themeFillShade="D9"/>
          </w:tcPr>
          <w:p w14:paraId="0FFD5CB8"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05DACB80"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35BD9A02" w14:textId="77777777" w:rsidR="00425098" w:rsidRPr="000A53C0" w:rsidRDefault="00425098">
            <w:pPr>
              <w:pStyle w:val="TableBody"/>
              <w:jc w:val="center"/>
              <w:rPr>
                <w:rFonts w:cs="Arial"/>
                <w:b/>
              </w:rPr>
            </w:pPr>
          </w:p>
        </w:tc>
        <w:tc>
          <w:tcPr>
            <w:tcW w:w="1815" w:type="pct"/>
            <w:vAlign w:val="center"/>
          </w:tcPr>
          <w:p w14:paraId="45CA1485" w14:textId="77777777" w:rsidR="00425098" w:rsidRPr="000A53C0" w:rsidRDefault="00425098">
            <w:pPr>
              <w:pStyle w:val="TableBody"/>
              <w:rPr>
                <w:rFonts w:cs="Arial"/>
                <w:b/>
                <w:color w:val="262626" w:themeColor="text1" w:themeTint="D9"/>
              </w:rPr>
            </w:pPr>
            <w:r w:rsidRPr="000A53C0">
              <w:rPr>
                <w:rFonts w:cs="Arial"/>
                <w:b/>
              </w:rPr>
              <w:t>Number of workers to participate in compliance audits</w:t>
            </w:r>
          </w:p>
          <w:p w14:paraId="74820B54"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1</w:t>
            </w:r>
          </w:p>
          <w:p w14:paraId="3BF98DA0"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 2</w:t>
            </w:r>
          </w:p>
          <w:p w14:paraId="6FBB138E"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business: 2 (Deloitte, 2021)</w:t>
            </w:r>
            <w:r w:rsidRPr="000A53C0">
              <w:rPr>
                <w:rFonts w:ascii="Arial" w:hAnsi="Arial" w:cs="Arial"/>
                <w:b w:val="0"/>
                <w:color w:val="262626" w:themeColor="text1" w:themeTint="D9"/>
                <w:sz w:val="18"/>
                <w:szCs w:val="18"/>
                <w:lang w:val="en-AU"/>
              </w:rPr>
              <w:t xml:space="preserve"> </w:t>
            </w:r>
          </w:p>
        </w:tc>
      </w:tr>
      <w:tr w:rsidR="00425098" w:rsidRPr="000A53C0" w14:paraId="17028325" w14:textId="77777777" w:rsidTr="00713F69">
        <w:trPr>
          <w:trHeight w:val="20"/>
        </w:trPr>
        <w:tc>
          <w:tcPr>
            <w:tcW w:w="263" w:type="pct"/>
            <w:vMerge/>
            <w:shd w:val="clear" w:color="auto" w:fill="D9D9D9" w:themeFill="background1" w:themeFillShade="D9"/>
          </w:tcPr>
          <w:p w14:paraId="0FC17C57"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0CCBC616"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007B017A" w14:textId="77777777" w:rsidR="00425098" w:rsidRPr="000A53C0" w:rsidRDefault="00425098">
            <w:pPr>
              <w:pStyle w:val="TableBody"/>
              <w:jc w:val="center"/>
              <w:rPr>
                <w:rFonts w:cs="Arial"/>
                <w:b/>
              </w:rPr>
            </w:pPr>
          </w:p>
        </w:tc>
        <w:tc>
          <w:tcPr>
            <w:tcW w:w="1815" w:type="pct"/>
            <w:vAlign w:val="center"/>
          </w:tcPr>
          <w:p w14:paraId="09F463BD" w14:textId="77777777" w:rsidR="00425098" w:rsidRPr="000A53C0" w:rsidRDefault="00425098">
            <w:pPr>
              <w:pStyle w:val="TableBody"/>
              <w:rPr>
                <w:rFonts w:cs="Arial"/>
                <w:b/>
                <w:color w:val="262626" w:themeColor="text1" w:themeTint="D9"/>
              </w:rPr>
            </w:pPr>
            <w:r w:rsidRPr="000A53C0">
              <w:rPr>
                <w:rFonts w:cs="Arial"/>
                <w:b/>
              </w:rPr>
              <w:t>Hours per worker to participate in compliance audits:</w:t>
            </w:r>
          </w:p>
          <w:p w14:paraId="7FA308E6"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8</w:t>
            </w:r>
          </w:p>
          <w:p w14:paraId="2C995096"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 4</w:t>
            </w:r>
          </w:p>
          <w:p w14:paraId="10B55174"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business: 4</w:t>
            </w:r>
            <w:r w:rsidRPr="000A53C0">
              <w:rPr>
                <w:rStyle w:val="FootnoteReference"/>
                <w:rFonts w:ascii="Arial" w:hAnsi="Arial" w:cs="Arial"/>
                <w:b w:val="0"/>
                <w:color w:val="262626" w:themeColor="text1" w:themeTint="D9"/>
                <w:sz w:val="18"/>
                <w:szCs w:val="18"/>
                <w:lang w:val="en-AU"/>
              </w:rPr>
              <w:footnoteReference w:id="66"/>
            </w:r>
          </w:p>
        </w:tc>
      </w:tr>
      <w:tr w:rsidR="00425098" w:rsidRPr="000A53C0" w14:paraId="62CABD9F" w14:textId="77777777" w:rsidTr="00713F69">
        <w:trPr>
          <w:trHeight w:val="122"/>
        </w:trPr>
        <w:tc>
          <w:tcPr>
            <w:tcW w:w="263" w:type="pct"/>
            <w:vMerge/>
            <w:shd w:val="clear" w:color="auto" w:fill="D9D9D9" w:themeFill="background1" w:themeFillShade="D9"/>
          </w:tcPr>
          <w:p w14:paraId="566DD82A"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4F0AA62A"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66956A1A" w14:textId="77777777" w:rsidR="00425098" w:rsidRPr="000A53C0" w:rsidRDefault="00425098">
            <w:pPr>
              <w:pStyle w:val="TableBody"/>
              <w:jc w:val="center"/>
              <w:rPr>
                <w:rFonts w:cs="Arial"/>
                <w:b/>
              </w:rPr>
            </w:pPr>
          </w:p>
        </w:tc>
        <w:tc>
          <w:tcPr>
            <w:tcW w:w="1815" w:type="pct"/>
            <w:vAlign w:val="center"/>
          </w:tcPr>
          <w:p w14:paraId="0D146747" w14:textId="416B5802" w:rsidR="00425098" w:rsidRPr="000A53C0" w:rsidRDefault="00425098">
            <w:pPr>
              <w:pStyle w:val="TableHeading"/>
              <w:widowControl w:val="0"/>
              <w:spacing w:before="0"/>
              <w:rPr>
                <w:rFonts w:ascii="Arial" w:hAnsi="Arial" w:cs="Arial"/>
                <w:bCs/>
                <w:color w:val="262626" w:themeColor="text1" w:themeTint="D9"/>
                <w:sz w:val="18"/>
                <w:szCs w:val="18"/>
                <w:lang w:val="en-AU"/>
              </w:rPr>
            </w:pPr>
            <w:r w:rsidRPr="000A53C0">
              <w:rPr>
                <w:rFonts w:ascii="Arial" w:hAnsi="Arial" w:cs="Arial"/>
                <w:color w:val="000000" w:themeColor="text1"/>
                <w:sz w:val="18"/>
                <w:szCs w:val="22"/>
                <w:lang w:val="en-AU"/>
              </w:rPr>
              <w:t xml:space="preserve">Average wage/hour: </w:t>
            </w:r>
            <w:r w:rsidRPr="000A53C0">
              <w:rPr>
                <w:rFonts w:ascii="Arial" w:hAnsi="Arial" w:cs="Arial"/>
                <w:b w:val="0"/>
                <w:color w:val="262626" w:themeColor="text1" w:themeTint="D9"/>
                <w:sz w:val="18"/>
                <w:szCs w:val="18"/>
                <w:lang w:val="en-AU"/>
              </w:rPr>
              <w:t xml:space="preserve">$47 </w:t>
            </w:r>
            <w:r w:rsidRPr="000A53C0">
              <w:rPr>
                <w:rFonts w:ascii="Arial" w:hAnsi="Arial" w:cs="Arial"/>
                <w:b w:val="0"/>
                <w:iCs/>
                <w:color w:val="262626" w:themeColor="text1" w:themeTint="D9"/>
                <w:sz w:val="18"/>
                <w:szCs w:val="18"/>
                <w:lang w:val="en-AU"/>
              </w:rPr>
              <w:t>(</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r w:rsidRPr="000A53C0">
              <w:rPr>
                <w:rFonts w:ascii="Arial" w:hAnsi="Arial" w:cs="Arial"/>
                <w:b w:val="0"/>
                <w:color w:val="262626" w:themeColor="text1" w:themeTint="D9"/>
                <w:sz w:val="18"/>
                <w:szCs w:val="18"/>
                <w:lang w:val="en-AU"/>
              </w:rPr>
              <w:t>)</w:t>
            </w:r>
          </w:p>
        </w:tc>
      </w:tr>
      <w:tr w:rsidR="00425098" w:rsidRPr="000A53C0" w14:paraId="40DE46AF" w14:textId="77777777" w:rsidTr="00713F69">
        <w:trPr>
          <w:trHeight w:val="122"/>
        </w:trPr>
        <w:tc>
          <w:tcPr>
            <w:tcW w:w="263" w:type="pct"/>
            <w:vMerge/>
            <w:shd w:val="clear" w:color="auto" w:fill="D9D9D9" w:themeFill="background1" w:themeFillShade="D9"/>
          </w:tcPr>
          <w:p w14:paraId="16D96AC2" w14:textId="77777777" w:rsidR="00425098" w:rsidRPr="000A53C0" w:rsidRDefault="00425098">
            <w:pPr>
              <w:pStyle w:val="TableHeading"/>
              <w:spacing w:before="0"/>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vAlign w:val="center"/>
          </w:tcPr>
          <w:p w14:paraId="2DE160D4"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3A4C8260" w14:textId="77777777" w:rsidR="00425098" w:rsidRPr="000A53C0" w:rsidRDefault="00425098">
            <w:pPr>
              <w:pStyle w:val="TableBody"/>
              <w:jc w:val="center"/>
              <w:rPr>
                <w:rFonts w:cs="Arial"/>
                <w:b/>
              </w:rPr>
            </w:pPr>
          </w:p>
        </w:tc>
        <w:tc>
          <w:tcPr>
            <w:tcW w:w="1815" w:type="pct"/>
            <w:vAlign w:val="center"/>
          </w:tcPr>
          <w:p w14:paraId="24328327" w14:textId="77777777" w:rsidR="00425098" w:rsidRPr="000A53C0" w:rsidRDefault="00425098">
            <w:pPr>
              <w:pStyle w:val="TableHeading"/>
              <w:widowControl w:val="0"/>
              <w:spacing w:before="0"/>
              <w:rPr>
                <w:rFonts w:ascii="Arial" w:hAnsi="Arial" w:cs="Arial"/>
                <w:color w:val="000000" w:themeColor="text1"/>
                <w:sz w:val="18"/>
                <w:szCs w:val="22"/>
                <w:lang w:val="en-AU"/>
              </w:rPr>
            </w:pPr>
            <w:r w:rsidRPr="000A53C0">
              <w:rPr>
                <w:rFonts w:ascii="Arial" w:hAnsi="Arial" w:cs="Arial"/>
                <w:color w:val="000000" w:themeColor="text1"/>
                <w:sz w:val="18"/>
                <w:szCs w:val="22"/>
                <w:lang w:val="en-AU"/>
              </w:rPr>
              <w:t xml:space="preserve">Time period: </w:t>
            </w:r>
            <w:r w:rsidRPr="000A53C0">
              <w:rPr>
                <w:rFonts w:ascii="Arial" w:hAnsi="Arial" w:cs="Arial"/>
                <w:b w:val="0"/>
                <w:bCs/>
                <w:color w:val="000000" w:themeColor="text1"/>
                <w:sz w:val="18"/>
                <w:szCs w:val="22"/>
                <w:lang w:val="en-AU"/>
              </w:rPr>
              <w:t>annualised from the year following the prohibition taking effect</w:t>
            </w:r>
          </w:p>
        </w:tc>
      </w:tr>
      <w:tr w:rsidR="00425098" w:rsidRPr="000A53C0" w14:paraId="73E28AF2" w14:textId="77777777" w:rsidTr="00713F69">
        <w:trPr>
          <w:trHeight w:val="1034"/>
        </w:trPr>
        <w:tc>
          <w:tcPr>
            <w:tcW w:w="263" w:type="pct"/>
            <w:vMerge w:val="restart"/>
            <w:shd w:val="clear" w:color="auto" w:fill="D9D9D9" w:themeFill="background1" w:themeFillShade="D9"/>
            <w:vAlign w:val="center"/>
          </w:tcPr>
          <w:p w14:paraId="2A4A8769" w14:textId="77777777" w:rsidR="00425098" w:rsidRPr="00713F69" w:rsidRDefault="00425098">
            <w:pPr>
              <w:pStyle w:val="TableHeading"/>
              <w:spacing w:before="0"/>
              <w:jc w:val="center"/>
              <w:rPr>
                <w:rFonts w:ascii="Arial" w:hAnsi="Arial" w:cs="Arial"/>
                <w:sz w:val="18"/>
                <w:szCs w:val="18"/>
              </w:rPr>
            </w:pPr>
            <w:r w:rsidRPr="00713F69">
              <w:rPr>
                <w:rFonts w:ascii="Arial" w:hAnsi="Arial" w:cs="Arial"/>
                <w:sz w:val="18"/>
                <w:szCs w:val="18"/>
              </w:rPr>
              <w:lastRenderedPageBreak/>
              <w:t>#6</w:t>
            </w:r>
          </w:p>
        </w:tc>
        <w:tc>
          <w:tcPr>
            <w:tcW w:w="1156" w:type="pct"/>
            <w:vMerge w:val="restart"/>
            <w:shd w:val="clear" w:color="auto" w:fill="D9D9D9" w:themeFill="background1" w:themeFillShade="D9"/>
            <w:tcMar>
              <w:top w:w="72" w:type="dxa"/>
              <w:left w:w="144" w:type="dxa"/>
              <w:bottom w:w="72" w:type="dxa"/>
              <w:right w:w="144" w:type="dxa"/>
            </w:tcMar>
            <w:vAlign w:val="center"/>
          </w:tcPr>
          <w:p w14:paraId="083986D6" w14:textId="77777777" w:rsidR="00425098" w:rsidRPr="00713F69" w:rsidRDefault="00425098">
            <w:pPr>
              <w:pStyle w:val="TableHeading"/>
              <w:spacing w:before="0"/>
              <w:jc w:val="center"/>
              <w:rPr>
                <w:rFonts w:ascii="Arial" w:hAnsi="Arial" w:cs="Arial"/>
                <w:sz w:val="18"/>
                <w:szCs w:val="18"/>
                <w:highlight w:val="green"/>
              </w:rPr>
            </w:pPr>
            <w:r w:rsidRPr="00713F69">
              <w:rPr>
                <w:rFonts w:ascii="Arial" w:hAnsi="Arial" w:cs="Arial"/>
                <w:sz w:val="18"/>
                <w:szCs w:val="18"/>
              </w:rPr>
              <w:t>New equipment purchase costs</w:t>
            </w:r>
          </w:p>
        </w:tc>
        <w:tc>
          <w:tcPr>
            <w:tcW w:w="1766" w:type="pct"/>
            <w:vMerge w:val="restart"/>
            <w:shd w:val="clear" w:color="auto" w:fill="auto"/>
            <w:vAlign w:val="center"/>
          </w:tcPr>
          <w:p w14:paraId="21F6825B" w14:textId="77777777" w:rsidR="00425098" w:rsidRPr="000A53C0" w:rsidRDefault="00425098">
            <w:pPr>
              <w:pStyle w:val="TableBody"/>
              <w:widowControl w:val="0"/>
              <w:spacing w:before="0" w:after="0"/>
              <w:jc w:val="center"/>
              <w:rPr>
                <w:rFonts w:cs="Arial"/>
                <w:color w:val="262626" w:themeColor="text1" w:themeTint="D9"/>
                <w:szCs w:val="18"/>
                <w:highlight w:val="green"/>
              </w:rPr>
            </w:pPr>
          </w:p>
        </w:tc>
        <w:tc>
          <w:tcPr>
            <w:tcW w:w="1815" w:type="pct"/>
            <w:shd w:val="clear" w:color="auto" w:fill="auto"/>
          </w:tcPr>
          <w:p w14:paraId="08F3A2E5" w14:textId="77777777" w:rsidR="00425098" w:rsidRPr="000A53C0" w:rsidRDefault="00425098">
            <w:pPr>
              <w:pStyle w:val="TableBody"/>
              <w:rPr>
                <w:rFonts w:cs="Arial"/>
                <w:color w:val="262626" w:themeColor="text1" w:themeTint="D9"/>
                <w:szCs w:val="18"/>
              </w:rPr>
            </w:pPr>
            <w:r w:rsidRPr="000A53C0">
              <w:rPr>
                <w:rFonts w:cs="Arial"/>
                <w:color w:val="262626" w:themeColor="text1" w:themeTint="D9"/>
                <w:szCs w:val="18"/>
              </w:rPr>
              <w:t xml:space="preserve">New purchase costs: </w:t>
            </w:r>
          </w:p>
          <w:p w14:paraId="05BCE9C3"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$1,000</w:t>
            </w:r>
          </w:p>
          <w:p w14:paraId="3B6084A7"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business: $2,500</w:t>
            </w:r>
          </w:p>
          <w:p w14:paraId="00CDD7F5" w14:textId="77777777" w:rsidR="00425098" w:rsidRPr="000A53C0" w:rsidRDefault="00425098" w:rsidP="00766916">
            <w:pPr>
              <w:pStyle w:val="TableHeading"/>
              <w:numPr>
                <w:ilvl w:val="0"/>
                <w:numId w:val="37"/>
              </w:numPr>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Medium business: 22,000</w:t>
            </w:r>
            <w:r w:rsidRPr="000A53C0">
              <w:rPr>
                <w:rStyle w:val="FootnoteReference"/>
                <w:rFonts w:ascii="Arial" w:hAnsi="Arial" w:cs="Arial"/>
                <w:b w:val="0"/>
                <w:color w:val="262626" w:themeColor="text1" w:themeTint="D9"/>
                <w:sz w:val="18"/>
                <w:szCs w:val="18"/>
                <w:lang w:val="en-AU"/>
              </w:rPr>
              <w:footnoteReference w:id="67"/>
            </w:r>
          </w:p>
        </w:tc>
      </w:tr>
      <w:tr w:rsidR="00425098" w:rsidRPr="000A53C0" w14:paraId="190F7F7A" w14:textId="77777777" w:rsidTr="00713F69">
        <w:trPr>
          <w:trHeight w:val="166"/>
        </w:trPr>
        <w:tc>
          <w:tcPr>
            <w:tcW w:w="263" w:type="pct"/>
            <w:vMerge/>
            <w:shd w:val="clear" w:color="auto" w:fill="D9D9D9" w:themeFill="background1" w:themeFillShade="D9"/>
            <w:vAlign w:val="center"/>
          </w:tcPr>
          <w:p w14:paraId="54F967EA" w14:textId="77777777" w:rsidR="00425098" w:rsidRPr="000A53C0" w:rsidRDefault="00425098">
            <w:pPr>
              <w:pStyle w:val="TableHeading"/>
              <w:spacing w:before="0"/>
              <w:jc w:val="center"/>
              <w:rPr>
                <w:rFonts w:ascii="Arial" w:hAnsi="Arial" w:cs="Arial"/>
                <w:color w:val="FFFFFF" w:themeColor="background1"/>
              </w:rPr>
            </w:pPr>
          </w:p>
        </w:tc>
        <w:tc>
          <w:tcPr>
            <w:tcW w:w="1156" w:type="pct"/>
            <w:vMerge/>
            <w:shd w:val="clear" w:color="auto" w:fill="D9D9D9" w:themeFill="background1" w:themeFillShade="D9"/>
            <w:tcMar>
              <w:top w:w="72" w:type="dxa"/>
              <w:left w:w="144" w:type="dxa"/>
              <w:bottom w:w="72" w:type="dxa"/>
              <w:right w:w="144" w:type="dxa"/>
            </w:tcMar>
          </w:tcPr>
          <w:p w14:paraId="7F146714" w14:textId="77777777" w:rsidR="00425098" w:rsidRPr="000A53C0" w:rsidRDefault="00425098">
            <w:pPr>
              <w:pStyle w:val="TableHeading"/>
              <w:spacing w:before="0"/>
              <w:rPr>
                <w:rFonts w:ascii="Arial" w:hAnsi="Arial" w:cs="Arial"/>
                <w:color w:val="FFFFFF" w:themeColor="background1"/>
              </w:rPr>
            </w:pPr>
          </w:p>
        </w:tc>
        <w:tc>
          <w:tcPr>
            <w:tcW w:w="1766" w:type="pct"/>
            <w:vMerge/>
            <w:shd w:val="clear" w:color="auto" w:fill="auto"/>
            <w:vAlign w:val="center"/>
          </w:tcPr>
          <w:p w14:paraId="4CC359C2" w14:textId="77777777" w:rsidR="00425098" w:rsidRPr="000A53C0" w:rsidRDefault="00425098">
            <w:pPr>
              <w:pStyle w:val="TableBody"/>
              <w:widowControl w:val="0"/>
              <w:spacing w:before="0" w:after="0"/>
              <w:jc w:val="center"/>
              <w:rPr>
                <w:rFonts w:cs="Arial"/>
                <w:b/>
                <w:color w:val="262626" w:themeColor="text1" w:themeTint="D9"/>
                <w:szCs w:val="18"/>
                <w:highlight w:val="green"/>
              </w:rPr>
            </w:pPr>
          </w:p>
        </w:tc>
        <w:tc>
          <w:tcPr>
            <w:tcW w:w="1815" w:type="pct"/>
            <w:shd w:val="clear" w:color="auto" w:fill="auto"/>
          </w:tcPr>
          <w:p w14:paraId="7D574C1A" w14:textId="77777777" w:rsidR="00425098" w:rsidRPr="000A53C0" w:rsidRDefault="00425098">
            <w:pPr>
              <w:pStyle w:val="TableBody"/>
              <w:rPr>
                <w:rFonts w:cs="Arial"/>
                <w:b/>
                <w:color w:val="262626" w:themeColor="text1" w:themeTint="D9"/>
                <w:szCs w:val="18"/>
                <w:highlight w:val="green"/>
              </w:rPr>
            </w:pPr>
            <w:r w:rsidRPr="000A53C0">
              <w:rPr>
                <w:rFonts w:cs="Arial"/>
                <w:b/>
                <w:color w:val="262626" w:themeColor="text1" w:themeTint="D9"/>
                <w:szCs w:val="18"/>
              </w:rPr>
              <w:t xml:space="preserve">Time period: </w:t>
            </w:r>
            <w:r w:rsidRPr="000A53C0">
              <w:rPr>
                <w:rFonts w:cs="Arial"/>
                <w:color w:val="262626" w:themeColor="text1" w:themeTint="D9"/>
                <w:szCs w:val="18"/>
              </w:rPr>
              <w:t>50% in the year before the prohibition takes effect and 50% the year the prohibition takes effect</w:t>
            </w:r>
          </w:p>
        </w:tc>
      </w:tr>
    </w:tbl>
    <w:p w14:paraId="029A32E2" w14:textId="77777777" w:rsidR="00425098" w:rsidRPr="000A53C0" w:rsidRDefault="00425098" w:rsidP="00425098">
      <w:pPr>
        <w:pStyle w:val="BodyText"/>
        <w:rPr>
          <w:rFonts w:cs="Arial"/>
          <w:color w:val="014463" w:themeColor="text2"/>
          <w:sz w:val="24"/>
          <w:szCs w:val="24"/>
        </w:rPr>
      </w:pPr>
    </w:p>
    <w:p w14:paraId="709EA71F" w14:textId="50EFBAD0" w:rsidR="00425098" w:rsidRPr="000A53C0" w:rsidRDefault="002D500D" w:rsidP="00D657D6">
      <w:pPr>
        <w:pStyle w:val="App3"/>
        <w:rPr>
          <w:rFonts w:cs="Arial"/>
        </w:rPr>
      </w:pPr>
      <w:r w:rsidRPr="000A53C0">
        <w:rPr>
          <w:rFonts w:cs="Arial"/>
        </w:rPr>
        <w:t>B.</w:t>
      </w:r>
      <w:r w:rsidR="00425098" w:rsidRPr="000A53C0">
        <w:rPr>
          <w:rFonts w:cs="Arial"/>
        </w:rPr>
        <w:t>8.4 Government costs</w:t>
      </w:r>
    </w:p>
    <w:p w14:paraId="117E31C0" w14:textId="77777777" w:rsidR="00425098" w:rsidRPr="000A53C0" w:rsidRDefault="00425098" w:rsidP="00425098">
      <w:pPr>
        <w:pStyle w:val="BodyText"/>
        <w:rPr>
          <w:rFonts w:cs="Arial"/>
        </w:rPr>
      </w:pPr>
      <w:r w:rsidRPr="000A53C0">
        <w:rPr>
          <w:rFonts w:cs="Arial"/>
        </w:rPr>
        <w:t>The following table presents the key assumptions and calculations used to estimate the direct and indirect costs identified for government for each prohibition option.</w:t>
      </w:r>
    </w:p>
    <w:p w14:paraId="314742EE" w14:textId="5EAF2555" w:rsidR="00425098" w:rsidRPr="000A53C0" w:rsidRDefault="00425098" w:rsidP="00030457">
      <w:pPr>
        <w:pStyle w:val="Caption"/>
        <w:rPr>
          <w:rFonts w:cs="Arial"/>
          <w:b/>
        </w:rPr>
      </w:pPr>
      <w:r w:rsidRPr="00C142B0">
        <w:rPr>
          <w:rFonts w:cs="Arial"/>
          <w:b/>
          <w:bCs/>
        </w:rPr>
        <w:t xml:space="preserve">Table </w:t>
      </w:r>
      <w:r w:rsidRPr="00C142B0">
        <w:rPr>
          <w:rFonts w:cs="Arial"/>
          <w:b/>
          <w:bCs/>
        </w:rPr>
        <w:fldChar w:fldCharType="begin"/>
      </w:r>
      <w:r w:rsidRPr="00C142B0">
        <w:rPr>
          <w:rFonts w:cs="Arial"/>
          <w:b/>
          <w:bCs/>
        </w:rPr>
        <w:instrText>SEQ Table \* ARABIC</w:instrText>
      </w:r>
      <w:r w:rsidRPr="00C142B0">
        <w:rPr>
          <w:rFonts w:cs="Arial"/>
          <w:b/>
          <w:bCs/>
        </w:rPr>
        <w:fldChar w:fldCharType="separate"/>
      </w:r>
      <w:r w:rsidR="00D16271">
        <w:rPr>
          <w:rFonts w:cs="Arial"/>
          <w:b/>
          <w:bCs/>
          <w:noProof/>
        </w:rPr>
        <w:t>31</w:t>
      </w:r>
      <w:r w:rsidRPr="00C142B0">
        <w:rPr>
          <w:rFonts w:cs="Arial"/>
          <w:b/>
          <w:bCs/>
        </w:rPr>
        <w:fldChar w:fldCharType="end"/>
      </w:r>
      <w:r w:rsidRPr="000A53C0">
        <w:rPr>
          <w:rFonts w:cs="Arial"/>
        </w:rPr>
        <w:t xml:space="preserve"> Detailed government cost assumptions and calculations</w:t>
      </w: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
      </w:tblPr>
      <w:tblGrid>
        <w:gridCol w:w="703"/>
        <w:gridCol w:w="3121"/>
        <w:gridCol w:w="4819"/>
        <w:gridCol w:w="4925"/>
      </w:tblGrid>
      <w:tr w:rsidR="00425098" w:rsidRPr="000A53C0" w14:paraId="57C310D1" w14:textId="77777777" w:rsidTr="00C142B0">
        <w:trPr>
          <w:trHeight w:val="20"/>
          <w:tblHeader/>
        </w:trPr>
        <w:tc>
          <w:tcPr>
            <w:tcW w:w="259" w:type="pct"/>
            <w:shd w:val="clear" w:color="auto" w:fill="E81D32"/>
          </w:tcPr>
          <w:p w14:paraId="15DF766F" w14:textId="77777777" w:rsidR="00425098" w:rsidRPr="00C142B0" w:rsidRDefault="00425098" w:rsidP="00C142B0">
            <w:pPr>
              <w:pStyle w:val="TableHeading"/>
              <w:spacing w:before="0" w:after="0"/>
              <w:rPr>
                <w:rFonts w:ascii="Arial" w:hAnsi="Arial" w:cs="Arial"/>
                <w:color w:val="FFFFFF" w:themeColor="background1"/>
              </w:rPr>
            </w:pPr>
            <w:r w:rsidRPr="00C142B0">
              <w:rPr>
                <w:rFonts w:ascii="Arial" w:hAnsi="Arial" w:cs="Arial"/>
                <w:color w:val="FFFFFF" w:themeColor="background1"/>
              </w:rPr>
              <w:t>Ref#</w:t>
            </w:r>
          </w:p>
        </w:tc>
        <w:tc>
          <w:tcPr>
            <w:tcW w:w="1150" w:type="pct"/>
            <w:shd w:val="clear" w:color="auto" w:fill="E81D32"/>
            <w:tcMar>
              <w:top w:w="72" w:type="dxa"/>
              <w:left w:w="144" w:type="dxa"/>
              <w:bottom w:w="72" w:type="dxa"/>
              <w:right w:w="144" w:type="dxa"/>
            </w:tcMar>
            <w:vAlign w:val="center"/>
            <w:hideMark/>
          </w:tcPr>
          <w:p w14:paraId="38CF4F39" w14:textId="77777777" w:rsidR="00425098" w:rsidRPr="00C142B0" w:rsidRDefault="00425098" w:rsidP="00C142B0">
            <w:pPr>
              <w:pStyle w:val="TableHeading"/>
              <w:spacing w:before="0" w:after="0"/>
              <w:rPr>
                <w:rFonts w:ascii="Arial" w:hAnsi="Arial" w:cs="Arial"/>
                <w:color w:val="FFFFFF" w:themeColor="background1"/>
              </w:rPr>
            </w:pPr>
            <w:r w:rsidRPr="00C142B0">
              <w:rPr>
                <w:rFonts w:ascii="Arial" w:hAnsi="Arial" w:cs="Arial"/>
                <w:color w:val="FFFFFF" w:themeColor="background1"/>
              </w:rPr>
              <w:t>Impact Measure</w:t>
            </w:r>
          </w:p>
        </w:tc>
        <w:tc>
          <w:tcPr>
            <w:tcW w:w="1776" w:type="pct"/>
            <w:shd w:val="clear" w:color="auto" w:fill="E81D32"/>
            <w:vAlign w:val="center"/>
          </w:tcPr>
          <w:p w14:paraId="041F21D1" w14:textId="77777777" w:rsidR="00425098" w:rsidRPr="00C142B0" w:rsidRDefault="00425098" w:rsidP="00C142B0">
            <w:pPr>
              <w:pStyle w:val="TableHeading"/>
              <w:spacing w:before="0" w:after="0"/>
              <w:rPr>
                <w:rFonts w:ascii="Arial" w:hAnsi="Arial" w:cs="Arial"/>
                <w:color w:val="FFFFFF" w:themeColor="background1"/>
              </w:rPr>
            </w:pPr>
            <w:r w:rsidRPr="00C142B0">
              <w:rPr>
                <w:rFonts w:ascii="Arial" w:hAnsi="Arial" w:cs="Arial"/>
                <w:color w:val="FFFFFF" w:themeColor="background1"/>
              </w:rPr>
              <w:t>Formula</w:t>
            </w:r>
          </w:p>
        </w:tc>
        <w:tc>
          <w:tcPr>
            <w:tcW w:w="1815" w:type="pct"/>
            <w:shd w:val="clear" w:color="auto" w:fill="E81D32"/>
            <w:vAlign w:val="center"/>
            <w:hideMark/>
          </w:tcPr>
          <w:p w14:paraId="3960F5D0" w14:textId="77777777" w:rsidR="00425098" w:rsidRPr="00C142B0" w:rsidRDefault="00425098" w:rsidP="00C142B0">
            <w:pPr>
              <w:pStyle w:val="TableHeading"/>
              <w:spacing w:before="0" w:after="0"/>
              <w:rPr>
                <w:rFonts w:ascii="Arial" w:hAnsi="Arial" w:cs="Arial"/>
                <w:color w:val="FFFFFF" w:themeColor="background1"/>
              </w:rPr>
            </w:pPr>
            <w:r w:rsidRPr="00C142B0">
              <w:rPr>
                <w:rFonts w:ascii="Arial" w:hAnsi="Arial" w:cs="Arial"/>
                <w:color w:val="FFFFFF" w:themeColor="background1"/>
              </w:rPr>
              <w:t>Input/Assumption</w:t>
            </w:r>
          </w:p>
        </w:tc>
      </w:tr>
      <w:tr w:rsidR="00425098" w:rsidRPr="000A53C0" w14:paraId="4CE90B59" w14:textId="77777777" w:rsidTr="00C142B0">
        <w:trPr>
          <w:trHeight w:val="572"/>
        </w:trPr>
        <w:tc>
          <w:tcPr>
            <w:tcW w:w="259" w:type="pct"/>
            <w:vMerge w:val="restart"/>
            <w:shd w:val="clear" w:color="auto" w:fill="D9D9D9" w:themeFill="background1" w:themeFillShade="D9"/>
            <w:vAlign w:val="center"/>
          </w:tcPr>
          <w:p w14:paraId="7168FD1C" w14:textId="77777777" w:rsidR="00425098" w:rsidRPr="00650114" w:rsidRDefault="00425098">
            <w:pPr>
              <w:pStyle w:val="TableHeading"/>
              <w:spacing w:before="0"/>
              <w:jc w:val="center"/>
              <w:rPr>
                <w:rFonts w:ascii="Arial" w:hAnsi="Arial" w:cs="Arial"/>
              </w:rPr>
            </w:pPr>
            <w:r w:rsidRPr="00650114">
              <w:rPr>
                <w:rFonts w:ascii="Arial" w:hAnsi="Arial" w:cs="Arial"/>
              </w:rPr>
              <w:t>#7</w:t>
            </w:r>
          </w:p>
        </w:tc>
        <w:tc>
          <w:tcPr>
            <w:tcW w:w="1150" w:type="pct"/>
            <w:vMerge w:val="restart"/>
            <w:shd w:val="clear" w:color="auto" w:fill="D9D9D9" w:themeFill="background1" w:themeFillShade="D9"/>
            <w:tcMar>
              <w:top w:w="72" w:type="dxa"/>
              <w:left w:w="144" w:type="dxa"/>
              <w:bottom w:w="72" w:type="dxa"/>
              <w:right w:w="144" w:type="dxa"/>
            </w:tcMar>
            <w:vAlign w:val="center"/>
          </w:tcPr>
          <w:p w14:paraId="63C31D8C"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Jobseeker payments</w:t>
            </w:r>
          </w:p>
        </w:tc>
        <w:tc>
          <w:tcPr>
            <w:tcW w:w="1776" w:type="pct"/>
            <w:vMerge w:val="restart"/>
            <w:shd w:val="clear" w:color="auto" w:fill="auto"/>
          </w:tcPr>
          <w:p w14:paraId="4F515FCC"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Total Jobseeker payments</w:t>
            </w:r>
          </w:p>
          <w:p w14:paraId="7FD4EA13"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2624DA5B"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No. of sole trader and small business closures</w:t>
            </w:r>
          </w:p>
          <w:p w14:paraId="6ED9ADD9"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x</w:t>
            </w:r>
          </w:p>
          <w:p w14:paraId="2FEF410A" w14:textId="77777777" w:rsidR="00425098" w:rsidRPr="000A53C0" w:rsidRDefault="00425098">
            <w:pPr>
              <w:pStyle w:val="TableHeading"/>
              <w:widowControl w:val="0"/>
              <w:spacing w:before="0"/>
              <w:jc w:val="center"/>
              <w:rPr>
                <w:rFonts w:ascii="Arial" w:hAnsi="Arial" w:cs="Arial"/>
                <w:b w:val="0"/>
                <w:bCs/>
                <w:sz w:val="18"/>
                <w:szCs w:val="18"/>
              </w:rPr>
            </w:pPr>
            <w:r w:rsidRPr="000A53C0">
              <w:rPr>
                <w:rFonts w:ascii="Arial" w:hAnsi="Arial" w:cs="Arial"/>
                <w:b w:val="0"/>
                <w:bCs/>
                <w:sz w:val="18"/>
                <w:szCs w:val="18"/>
              </w:rPr>
              <w:t>Average no. of workers by business, by business size</w:t>
            </w:r>
          </w:p>
          <w:p w14:paraId="089EE2FF" w14:textId="77777777" w:rsidR="00425098" w:rsidRPr="000A53C0" w:rsidRDefault="00425098">
            <w:pPr>
              <w:pStyle w:val="TableHeading"/>
              <w:widowControl w:val="0"/>
              <w:spacing w:before="0"/>
              <w:jc w:val="center"/>
              <w:rPr>
                <w:rFonts w:ascii="Arial" w:hAnsi="Arial" w:cs="Arial"/>
                <w:b w:val="0"/>
                <w:color w:val="262626" w:themeColor="text1" w:themeTint="D9"/>
                <w:sz w:val="18"/>
                <w:szCs w:val="18"/>
                <w:lang w:val="en-AU"/>
              </w:rPr>
            </w:pPr>
            <w:r w:rsidRPr="000A53C0">
              <w:rPr>
                <w:rFonts w:ascii="Arial" w:hAnsi="Arial" w:cs="Arial"/>
                <w:b w:val="0"/>
                <w:iCs/>
                <w:color w:val="262626" w:themeColor="text1" w:themeTint="D9"/>
                <w:sz w:val="18"/>
                <w:szCs w:val="18"/>
                <w:lang w:val="en-AU"/>
              </w:rPr>
              <w:t>x</w:t>
            </w:r>
          </w:p>
          <w:p w14:paraId="5276F341"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Weekly Jobseeker payment</w:t>
            </w:r>
          </w:p>
          <w:p w14:paraId="385EDB4E"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2A101F3F" w14:textId="77777777" w:rsidR="00425098" w:rsidRPr="000A53C0" w:rsidRDefault="00425098">
            <w:pPr>
              <w:pStyle w:val="TableBody"/>
              <w:jc w:val="center"/>
              <w:rPr>
                <w:rFonts w:cs="Arial"/>
                <w:b/>
                <w:color w:val="262626" w:themeColor="text1" w:themeTint="D9"/>
                <w:szCs w:val="18"/>
              </w:rPr>
            </w:pPr>
            <w:r w:rsidRPr="000A53C0">
              <w:rPr>
                <w:rFonts w:cs="Arial"/>
                <w:szCs w:val="18"/>
              </w:rPr>
              <w:t>Number of weeks to secure alternative employment</w:t>
            </w:r>
          </w:p>
        </w:tc>
        <w:tc>
          <w:tcPr>
            <w:tcW w:w="1815" w:type="pct"/>
            <w:shd w:val="clear" w:color="auto" w:fill="auto"/>
            <w:vAlign w:val="center"/>
          </w:tcPr>
          <w:p w14:paraId="478B7A8B"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b w:val="0"/>
                <w:bCs/>
                <w:sz w:val="18"/>
                <w:szCs w:val="18"/>
              </w:rPr>
              <w:t>It has been assumed that sole traders and workers and owners of the small businesses are eligible for JobSeeker.</w:t>
            </w:r>
            <w:r w:rsidRPr="000A53C0">
              <w:rPr>
                <w:rFonts w:ascii="Arial" w:hAnsi="Arial" w:cs="Arial"/>
                <w:sz w:val="18"/>
                <w:szCs w:val="18"/>
              </w:rPr>
              <w:t xml:space="preserve"> </w:t>
            </w:r>
          </w:p>
        </w:tc>
      </w:tr>
      <w:tr w:rsidR="00425098" w:rsidRPr="000A53C0" w14:paraId="507FB7BD" w14:textId="77777777" w:rsidTr="00C142B0">
        <w:trPr>
          <w:trHeight w:val="316"/>
        </w:trPr>
        <w:tc>
          <w:tcPr>
            <w:tcW w:w="259" w:type="pct"/>
            <w:vMerge/>
            <w:shd w:val="clear" w:color="auto" w:fill="D9D9D9" w:themeFill="background1" w:themeFillShade="D9"/>
            <w:vAlign w:val="center"/>
          </w:tcPr>
          <w:p w14:paraId="236541E8"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7E9E1C52"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12B17B17"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DCBDA3A"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No. of sole trader and small business closures: </w:t>
            </w:r>
            <w:r w:rsidRPr="000A53C0">
              <w:rPr>
                <w:rFonts w:ascii="Arial" w:hAnsi="Arial" w:cs="Arial"/>
                <w:b w:val="0"/>
                <w:bCs/>
                <w:sz w:val="18"/>
                <w:szCs w:val="18"/>
              </w:rPr>
              <w:t>Ref#1</w:t>
            </w:r>
          </w:p>
        </w:tc>
      </w:tr>
      <w:tr w:rsidR="00425098" w:rsidRPr="000A53C0" w14:paraId="65715C40" w14:textId="77777777" w:rsidTr="00C142B0">
        <w:trPr>
          <w:trHeight w:val="211"/>
        </w:trPr>
        <w:tc>
          <w:tcPr>
            <w:tcW w:w="259" w:type="pct"/>
            <w:vMerge/>
            <w:shd w:val="clear" w:color="auto" w:fill="D9D9D9" w:themeFill="background1" w:themeFillShade="D9"/>
            <w:vAlign w:val="center"/>
          </w:tcPr>
          <w:p w14:paraId="4EB8B13D"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1E745A5D"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70BB5628"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DE53B75" w14:textId="77777777" w:rsidR="00425098" w:rsidRPr="000A53C0" w:rsidRDefault="00425098">
            <w:pPr>
              <w:pStyle w:val="TableHeading"/>
              <w:widowControl w:val="0"/>
              <w:spacing w:before="0"/>
              <w:rPr>
                <w:rFonts w:ascii="Arial" w:hAnsi="Arial" w:cs="Arial"/>
                <w:b w:val="0"/>
                <w:bCs/>
                <w:sz w:val="18"/>
                <w:szCs w:val="18"/>
              </w:rPr>
            </w:pPr>
            <w:r w:rsidRPr="000A53C0">
              <w:rPr>
                <w:rFonts w:ascii="Arial" w:hAnsi="Arial" w:cs="Arial"/>
                <w:sz w:val="18"/>
                <w:szCs w:val="18"/>
              </w:rPr>
              <w:t xml:space="preserve">Average no. of workers by business, by business size: </w:t>
            </w:r>
          </w:p>
          <w:p w14:paraId="3E26EC51"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 1</w:t>
            </w:r>
          </w:p>
          <w:p w14:paraId="7644C015" w14:textId="77777777" w:rsidR="00425098" w:rsidRPr="000A53C0" w:rsidRDefault="00425098" w:rsidP="00766916">
            <w:pPr>
              <w:pStyle w:val="TableHeading"/>
              <w:numPr>
                <w:ilvl w:val="0"/>
                <w:numId w:val="38"/>
              </w:numPr>
              <w:spacing w:before="0" w:after="0" w:line="240" w:lineRule="auto"/>
              <w:rPr>
                <w:rFonts w:ascii="Arial" w:hAnsi="Arial" w:cs="Arial"/>
                <w:sz w:val="18"/>
                <w:szCs w:val="18"/>
              </w:rPr>
            </w:pPr>
            <w:r w:rsidRPr="000A53C0">
              <w:rPr>
                <w:rFonts w:ascii="Arial" w:eastAsia="Times New Roman" w:hAnsi="Arial" w:cs="Arial"/>
                <w:b w:val="0"/>
                <w:color w:val="262626" w:themeColor="text1" w:themeTint="D9"/>
                <w:sz w:val="18"/>
                <w:szCs w:val="18"/>
                <w:lang w:val="en-AU" w:eastAsia="en-AU"/>
              </w:rPr>
              <w:t>Small: 5</w:t>
            </w:r>
          </w:p>
          <w:p w14:paraId="4689CB9B" w14:textId="77777777" w:rsidR="00425098" w:rsidRPr="000A53C0" w:rsidRDefault="00425098">
            <w:pPr>
              <w:pStyle w:val="TableHeading"/>
              <w:spacing w:before="0" w:after="0" w:line="240" w:lineRule="auto"/>
              <w:ind w:left="360"/>
              <w:rPr>
                <w:rFonts w:ascii="Arial" w:hAnsi="Arial" w:cs="Arial"/>
                <w:sz w:val="18"/>
                <w:szCs w:val="18"/>
              </w:rPr>
            </w:pPr>
          </w:p>
          <w:p w14:paraId="2F54DB64" w14:textId="0B75B0E8" w:rsidR="00425098" w:rsidRPr="000A53C0" w:rsidRDefault="00425098" w:rsidP="00D206E1">
            <w:pPr>
              <w:pStyle w:val="TableBody"/>
              <w:rPr>
                <w:rFonts w:cs="Arial"/>
                <w:color w:val="014463" w:themeColor="text2"/>
                <w:sz w:val="24"/>
                <w:szCs w:val="24"/>
              </w:rPr>
            </w:pPr>
            <w:r w:rsidRPr="000A53C0">
              <w:rPr>
                <w:rFonts w:cs="Arial"/>
                <w:lang w:eastAsia="en-AU"/>
              </w:rPr>
              <w:t xml:space="preserve">See </w:t>
            </w:r>
            <w:r w:rsidR="00D206E1" w:rsidRPr="000A53C0">
              <w:rPr>
                <w:rFonts w:cs="Arial"/>
                <w:lang w:eastAsia="en-AU"/>
              </w:rPr>
              <w:fldChar w:fldCharType="begin" w:fldLock="1"/>
            </w:r>
            <w:r w:rsidR="00D206E1" w:rsidRPr="000A53C0">
              <w:rPr>
                <w:rFonts w:cs="Arial"/>
                <w:lang w:eastAsia="en-AU"/>
              </w:rPr>
              <w:instrText xml:space="preserve"> REF _Ref138662108 \h  \* MERGEFORMAT </w:instrText>
            </w:r>
            <w:r w:rsidR="00D206E1" w:rsidRPr="000A53C0">
              <w:rPr>
                <w:rFonts w:cs="Arial"/>
                <w:lang w:eastAsia="en-AU"/>
              </w:rPr>
            </w:r>
            <w:r w:rsidR="00D206E1" w:rsidRPr="000A53C0">
              <w:rPr>
                <w:rFonts w:cs="Arial"/>
                <w:lang w:eastAsia="en-AU"/>
              </w:rPr>
              <w:fldChar w:fldCharType="separate"/>
            </w:r>
            <w:r w:rsidR="00D16271" w:rsidRPr="00D16271">
              <w:rPr>
                <w:rFonts w:cs="Arial"/>
              </w:rPr>
              <w:t xml:space="preserve">Table </w:t>
            </w:r>
            <w:r w:rsidR="00D16271" w:rsidRPr="00D16271">
              <w:rPr>
                <w:rFonts w:cs="Arial"/>
                <w:noProof/>
              </w:rPr>
              <w:t>19</w:t>
            </w:r>
            <w:r w:rsidR="00D206E1" w:rsidRPr="000A53C0">
              <w:rPr>
                <w:rFonts w:cs="Arial"/>
                <w:lang w:eastAsia="en-AU"/>
              </w:rPr>
              <w:fldChar w:fldCharType="end"/>
            </w:r>
          </w:p>
        </w:tc>
      </w:tr>
      <w:tr w:rsidR="00425098" w:rsidRPr="000A53C0" w14:paraId="145317F3" w14:textId="77777777" w:rsidTr="00C142B0">
        <w:trPr>
          <w:trHeight w:val="303"/>
        </w:trPr>
        <w:tc>
          <w:tcPr>
            <w:tcW w:w="259" w:type="pct"/>
            <w:vMerge/>
            <w:shd w:val="clear" w:color="auto" w:fill="D9D9D9" w:themeFill="background1" w:themeFillShade="D9"/>
            <w:vAlign w:val="center"/>
          </w:tcPr>
          <w:p w14:paraId="48ECE3AF"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42E781A6"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46658550"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tcPr>
          <w:p w14:paraId="3FB816E5" w14:textId="234B902E" w:rsidR="00425098" w:rsidRPr="000A53C0" w:rsidRDefault="00425098">
            <w:pPr>
              <w:pStyle w:val="TableHeading"/>
              <w:widowControl w:val="0"/>
              <w:spacing w:before="0"/>
              <w:rPr>
                <w:rFonts w:ascii="Arial" w:hAnsi="Arial" w:cs="Arial"/>
                <w:b w:val="0"/>
                <w:bCs/>
                <w:sz w:val="18"/>
                <w:szCs w:val="18"/>
              </w:rPr>
            </w:pPr>
            <w:r w:rsidRPr="000A53C0">
              <w:rPr>
                <w:rFonts w:ascii="Arial" w:hAnsi="Arial" w:cs="Arial"/>
                <w:bCs/>
                <w:iCs/>
                <w:color w:val="262626" w:themeColor="text1" w:themeTint="D9"/>
                <w:sz w:val="18"/>
                <w:szCs w:val="18"/>
                <w:lang w:val="en-AU"/>
              </w:rPr>
              <w:t xml:space="preserve">Weekly Jobseeker payment: </w:t>
            </w:r>
            <w:r w:rsidRPr="000A53C0">
              <w:rPr>
                <w:rFonts w:ascii="Arial" w:hAnsi="Arial" w:cs="Arial"/>
                <w:b w:val="0"/>
                <w:color w:val="262626" w:themeColor="text1" w:themeTint="D9"/>
                <w:sz w:val="18"/>
                <w:szCs w:val="18"/>
                <w:lang w:val="en-AU"/>
              </w:rPr>
              <w:t>$335.60</w:t>
            </w:r>
            <w:r w:rsidRPr="000A53C0">
              <w:rPr>
                <w:rFonts w:ascii="Arial" w:hAnsi="Arial" w:cs="Arial"/>
                <w:bCs/>
                <w:iCs/>
                <w:color w:val="262626" w:themeColor="text1" w:themeTint="D9"/>
                <w:sz w:val="18"/>
                <w:szCs w:val="18"/>
                <w:lang w:val="en-AU"/>
              </w:rPr>
              <w:t xml:space="preserve"> </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p>
        </w:tc>
      </w:tr>
      <w:tr w:rsidR="00425098" w:rsidRPr="000A53C0" w14:paraId="30D73AD2" w14:textId="77777777" w:rsidTr="00C142B0">
        <w:trPr>
          <w:trHeight w:val="122"/>
        </w:trPr>
        <w:tc>
          <w:tcPr>
            <w:tcW w:w="259" w:type="pct"/>
            <w:vMerge/>
            <w:shd w:val="clear" w:color="auto" w:fill="D9D9D9" w:themeFill="background1" w:themeFillShade="D9"/>
            <w:vAlign w:val="center"/>
          </w:tcPr>
          <w:p w14:paraId="52CA8710"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3EAC5D16"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757BDA86"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tcPr>
          <w:p w14:paraId="2B7B361A" w14:textId="5E79E59A" w:rsidR="00425098" w:rsidRPr="000A53C0" w:rsidRDefault="00425098">
            <w:pPr>
              <w:pStyle w:val="TableHeading"/>
              <w:widowControl w:val="0"/>
              <w:spacing w:before="0"/>
              <w:rPr>
                <w:rFonts w:ascii="Arial" w:hAnsi="Arial" w:cs="Arial"/>
                <w:sz w:val="18"/>
                <w:szCs w:val="18"/>
              </w:rPr>
            </w:pPr>
            <w:r w:rsidRPr="000A53C0">
              <w:rPr>
                <w:rFonts w:ascii="Arial" w:hAnsi="Arial" w:cs="Arial"/>
                <w:color w:val="262626" w:themeColor="text1" w:themeTint="D9"/>
                <w:sz w:val="18"/>
                <w:szCs w:val="18"/>
                <w:lang w:val="en-AU"/>
              </w:rPr>
              <w:t xml:space="preserve">Number of weeks to secure alternative employment: </w:t>
            </w:r>
            <w:r w:rsidRPr="000A53C0">
              <w:rPr>
                <w:rFonts w:ascii="Arial" w:hAnsi="Arial" w:cs="Arial"/>
                <w:b w:val="0"/>
                <w:color w:val="262626" w:themeColor="text1" w:themeTint="D9"/>
                <w:sz w:val="18"/>
                <w:szCs w:val="18"/>
                <w:lang w:val="en-AU"/>
              </w:rPr>
              <w:t xml:space="preserve">8 </w:t>
            </w:r>
            <w:r w:rsidRPr="000A53C0">
              <w:rPr>
                <w:rFonts w:ascii="Arial" w:hAnsi="Arial" w:cs="Arial"/>
                <w:b w:val="0"/>
                <w:color w:val="262626" w:themeColor="text1" w:themeTint="D9"/>
                <w:sz w:val="18"/>
                <w:szCs w:val="18"/>
                <w:lang w:val="en-AU"/>
              </w:rPr>
              <w:lastRenderedPageBreak/>
              <w:t>weeks</w:t>
            </w:r>
            <w:r w:rsidRPr="000A53C0">
              <w:rPr>
                <w:rFonts w:ascii="Arial" w:hAnsi="Arial" w:cs="Arial"/>
                <w:bCs/>
                <w:iCs/>
                <w:color w:val="262626" w:themeColor="text1" w:themeTint="D9"/>
                <w:sz w:val="18"/>
                <w:szCs w:val="18"/>
                <w:lang w:val="en-AU"/>
              </w:rPr>
              <w:t xml:space="preserve"> </w:t>
            </w:r>
            <w:r w:rsidRPr="000A53C0">
              <w:rPr>
                <w:rFonts w:ascii="Arial" w:hAnsi="Arial" w:cs="Arial"/>
                <w:b w:val="0"/>
                <w:bCs/>
                <w:sz w:val="18"/>
                <w:szCs w:val="18"/>
              </w:rPr>
              <w:t xml:space="preserve">see </w:t>
            </w:r>
            <w:r w:rsidRPr="000A53C0">
              <w:rPr>
                <w:rFonts w:ascii="Arial" w:hAnsi="Arial" w:cs="Arial"/>
                <w:b w:val="0"/>
                <w:bCs/>
                <w:sz w:val="18"/>
                <w:szCs w:val="18"/>
              </w:rPr>
              <w:fldChar w:fldCharType="begin" w:fldLock="1"/>
            </w:r>
            <w:r w:rsidRPr="000A53C0">
              <w:rPr>
                <w:rFonts w:ascii="Arial" w:hAnsi="Arial" w:cs="Arial"/>
                <w:b w:val="0"/>
                <w:bCs/>
                <w:sz w:val="18"/>
                <w:szCs w:val="18"/>
              </w:rPr>
              <w:instrText xml:space="preserve"> REF _Ref135928043 \h  \* MERGEFORMAT </w:instrText>
            </w:r>
            <w:r w:rsidRPr="000A53C0">
              <w:rPr>
                <w:rFonts w:ascii="Arial" w:hAnsi="Arial" w:cs="Arial"/>
                <w:b w:val="0"/>
                <w:bCs/>
                <w:sz w:val="18"/>
                <w:szCs w:val="18"/>
              </w:rPr>
            </w:r>
            <w:r w:rsidRPr="000A53C0">
              <w:rPr>
                <w:rFonts w:ascii="Arial" w:hAnsi="Arial" w:cs="Arial"/>
                <w:b w:val="0"/>
                <w:bCs/>
                <w:sz w:val="18"/>
                <w:szCs w:val="18"/>
              </w:rPr>
              <w:fldChar w:fldCharType="separate"/>
            </w:r>
            <w:r w:rsidR="00D16271" w:rsidRPr="00D16271">
              <w:rPr>
                <w:rFonts w:ascii="Arial" w:hAnsi="Arial" w:cs="Arial"/>
                <w:b w:val="0"/>
                <w:bCs/>
                <w:sz w:val="18"/>
                <w:szCs w:val="18"/>
              </w:rPr>
              <w:t>Table 28</w:t>
            </w:r>
            <w:r w:rsidRPr="000A53C0">
              <w:rPr>
                <w:rFonts w:ascii="Arial" w:hAnsi="Arial" w:cs="Arial"/>
                <w:b w:val="0"/>
                <w:bCs/>
                <w:sz w:val="18"/>
                <w:szCs w:val="18"/>
              </w:rPr>
              <w:fldChar w:fldCharType="end"/>
            </w:r>
          </w:p>
        </w:tc>
      </w:tr>
      <w:tr w:rsidR="00425098" w:rsidRPr="000A53C0" w14:paraId="161CB4B4" w14:textId="77777777" w:rsidTr="00C142B0">
        <w:trPr>
          <w:trHeight w:val="122"/>
        </w:trPr>
        <w:tc>
          <w:tcPr>
            <w:tcW w:w="259" w:type="pct"/>
            <w:vMerge/>
            <w:shd w:val="clear" w:color="auto" w:fill="D9D9D9" w:themeFill="background1" w:themeFillShade="D9"/>
            <w:vAlign w:val="center"/>
          </w:tcPr>
          <w:p w14:paraId="4BF846AE"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0EBC6A7D"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6D4DF8C0"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34CD88E"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Time period: </w:t>
            </w:r>
            <w:r w:rsidRPr="000A53C0">
              <w:rPr>
                <w:rFonts w:ascii="Arial" w:hAnsi="Arial" w:cs="Arial"/>
                <w:b w:val="0"/>
                <w:sz w:val="18"/>
                <w:szCs w:val="18"/>
              </w:rPr>
              <w:t>in the same year as business closures, assumed to half in implementation year and half in year of prohibition taking effect</w:t>
            </w:r>
          </w:p>
        </w:tc>
      </w:tr>
      <w:tr w:rsidR="00425098" w:rsidRPr="000A53C0" w14:paraId="45955C8E" w14:textId="77777777" w:rsidTr="00C142B0">
        <w:trPr>
          <w:trHeight w:val="390"/>
        </w:trPr>
        <w:tc>
          <w:tcPr>
            <w:tcW w:w="259" w:type="pct"/>
            <w:vMerge w:val="restart"/>
            <w:shd w:val="clear" w:color="auto" w:fill="D9D9D9" w:themeFill="background1" w:themeFillShade="D9"/>
            <w:vAlign w:val="center"/>
          </w:tcPr>
          <w:p w14:paraId="664D0D31" w14:textId="77777777" w:rsidR="00425098" w:rsidRPr="00650114" w:rsidRDefault="00425098">
            <w:pPr>
              <w:pStyle w:val="TableHeading"/>
              <w:spacing w:before="0"/>
              <w:jc w:val="center"/>
              <w:rPr>
                <w:rFonts w:ascii="Arial" w:hAnsi="Arial" w:cs="Arial"/>
              </w:rPr>
            </w:pPr>
            <w:r w:rsidRPr="00650114">
              <w:rPr>
                <w:rFonts w:ascii="Arial" w:hAnsi="Arial" w:cs="Arial"/>
              </w:rPr>
              <w:t>#8</w:t>
            </w:r>
          </w:p>
        </w:tc>
        <w:tc>
          <w:tcPr>
            <w:tcW w:w="1150" w:type="pct"/>
            <w:vMerge w:val="restart"/>
            <w:shd w:val="clear" w:color="auto" w:fill="D9D9D9" w:themeFill="background1" w:themeFillShade="D9"/>
            <w:tcMar>
              <w:top w:w="72" w:type="dxa"/>
              <w:left w:w="144" w:type="dxa"/>
              <w:bottom w:w="72" w:type="dxa"/>
              <w:right w:w="144" w:type="dxa"/>
            </w:tcMar>
            <w:vAlign w:val="center"/>
          </w:tcPr>
          <w:p w14:paraId="35000CA9"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Worker training support cost</w:t>
            </w:r>
          </w:p>
        </w:tc>
        <w:tc>
          <w:tcPr>
            <w:tcW w:w="1776" w:type="pct"/>
            <w:vMerge w:val="restart"/>
            <w:shd w:val="clear" w:color="auto" w:fill="auto"/>
          </w:tcPr>
          <w:p w14:paraId="5DF26C89" w14:textId="77777777" w:rsidR="00425098" w:rsidRPr="000A53C0" w:rsidRDefault="00425098">
            <w:pPr>
              <w:pStyle w:val="TableBody"/>
              <w:jc w:val="center"/>
              <w:rPr>
                <w:rFonts w:cs="Arial"/>
                <w:b/>
                <w:color w:val="262626" w:themeColor="text1" w:themeTint="D9"/>
                <w:szCs w:val="18"/>
              </w:rPr>
            </w:pPr>
            <w:r w:rsidRPr="000A53C0">
              <w:rPr>
                <w:rFonts w:cs="Arial"/>
                <w:b/>
                <w:color w:val="262626" w:themeColor="text1" w:themeTint="D9"/>
                <w:szCs w:val="18"/>
              </w:rPr>
              <w:t>Total cost of individual worker training support</w:t>
            </w:r>
          </w:p>
          <w:p w14:paraId="383AA600"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w:t>
            </w:r>
          </w:p>
          <w:p w14:paraId="3CFF2CDC"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No. of business closures, by size</w:t>
            </w:r>
          </w:p>
          <w:p w14:paraId="2468CC1D"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x</w:t>
            </w:r>
          </w:p>
          <w:p w14:paraId="636B465B"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Average no. of workers by business, by size</w:t>
            </w:r>
          </w:p>
          <w:p w14:paraId="2576F863"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x</w:t>
            </w:r>
          </w:p>
          <w:p w14:paraId="6023B3F2"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 of workers who choose to retrain in another trade</w:t>
            </w:r>
          </w:p>
          <w:p w14:paraId="54BB3DC7"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2E3DE697"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 xml:space="preserve">[Average government cost of Cert III in related trade </w:t>
            </w:r>
          </w:p>
          <w:p w14:paraId="17C40CE5"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w:t>
            </w:r>
          </w:p>
          <w:p w14:paraId="572F5F18"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Australian Apprentice Training Support Payment</w:t>
            </w:r>
          </w:p>
          <w:p w14:paraId="4F5FF482" w14:textId="77777777" w:rsidR="00425098" w:rsidRPr="000A53C0" w:rsidRDefault="00425098">
            <w:pPr>
              <w:pStyle w:val="TableBody"/>
              <w:jc w:val="center"/>
              <w:rPr>
                <w:rFonts w:cs="Arial"/>
                <w:szCs w:val="18"/>
              </w:rPr>
            </w:pPr>
            <w:r w:rsidRPr="000A53C0">
              <w:rPr>
                <w:rFonts w:cs="Arial"/>
                <w:szCs w:val="18"/>
              </w:rPr>
              <w:t>+</w:t>
            </w:r>
          </w:p>
          <w:p w14:paraId="2F34026F"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szCs w:val="18"/>
              </w:rPr>
              <w:t>Support payments to businesses with apprentices]</w:t>
            </w:r>
          </w:p>
        </w:tc>
        <w:tc>
          <w:tcPr>
            <w:tcW w:w="1815" w:type="pct"/>
            <w:shd w:val="clear" w:color="auto" w:fill="auto"/>
            <w:vAlign w:val="center"/>
          </w:tcPr>
          <w:p w14:paraId="794E22AE"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 xml:space="preserve">Number of </w:t>
            </w:r>
            <w:r w:rsidRPr="000A53C0">
              <w:rPr>
                <w:rFonts w:ascii="Arial" w:hAnsi="Arial" w:cs="Arial"/>
                <w:color w:val="262626" w:themeColor="text1" w:themeTint="D9"/>
                <w:sz w:val="18"/>
                <w:szCs w:val="18"/>
                <w:lang w:val="en-AU"/>
              </w:rPr>
              <w:t xml:space="preserve">ES PBCUs </w:t>
            </w:r>
            <w:r w:rsidRPr="000A53C0">
              <w:rPr>
                <w:rFonts w:ascii="Arial" w:hAnsi="Arial" w:cs="Arial"/>
                <w:sz w:val="18"/>
                <w:szCs w:val="18"/>
              </w:rPr>
              <w:t xml:space="preserve">closures, by size (by option): </w:t>
            </w:r>
            <w:r w:rsidRPr="000A53C0">
              <w:rPr>
                <w:rFonts w:ascii="Arial" w:hAnsi="Arial" w:cs="Arial"/>
                <w:b w:val="0"/>
                <w:bCs/>
                <w:sz w:val="18"/>
                <w:szCs w:val="18"/>
              </w:rPr>
              <w:t>See Ref#</w:t>
            </w:r>
            <w:r w:rsidRPr="000A53C0">
              <w:rPr>
                <w:rFonts w:ascii="Arial" w:hAnsi="Arial" w:cs="Arial"/>
                <w:b w:val="0"/>
                <w:sz w:val="18"/>
                <w:szCs w:val="18"/>
              </w:rPr>
              <w:t>1</w:t>
            </w:r>
          </w:p>
        </w:tc>
      </w:tr>
      <w:tr w:rsidR="00425098" w:rsidRPr="000A53C0" w14:paraId="6AA4C60F" w14:textId="77777777" w:rsidTr="00C142B0">
        <w:trPr>
          <w:trHeight w:val="389"/>
        </w:trPr>
        <w:tc>
          <w:tcPr>
            <w:tcW w:w="259" w:type="pct"/>
            <w:vMerge/>
            <w:shd w:val="clear" w:color="auto" w:fill="D9D9D9" w:themeFill="background1" w:themeFillShade="D9"/>
            <w:vAlign w:val="center"/>
          </w:tcPr>
          <w:p w14:paraId="0E0C8A6E"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12276572"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0C6B84D5" w14:textId="77777777" w:rsidR="00425098" w:rsidRPr="000A53C0" w:rsidRDefault="00425098">
            <w:pPr>
              <w:pStyle w:val="TableBody"/>
              <w:jc w:val="center"/>
              <w:rPr>
                <w:rFonts w:cs="Arial"/>
                <w:b/>
                <w:color w:val="262626" w:themeColor="text1" w:themeTint="D9"/>
                <w:szCs w:val="18"/>
              </w:rPr>
            </w:pPr>
          </w:p>
        </w:tc>
        <w:tc>
          <w:tcPr>
            <w:tcW w:w="1815" w:type="pct"/>
            <w:shd w:val="clear" w:color="auto" w:fill="auto"/>
            <w:vAlign w:val="center"/>
          </w:tcPr>
          <w:p w14:paraId="13D39E9F"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Average number of workers by engineered stone PCBUS, by size:</w:t>
            </w:r>
          </w:p>
          <w:p w14:paraId="3878F8ED"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Sole Traders: 1</w:t>
            </w:r>
          </w:p>
          <w:p w14:paraId="13F27AA9"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Small: 5</w:t>
            </w:r>
          </w:p>
          <w:p w14:paraId="585861B6" w14:textId="77777777" w:rsidR="00425098" w:rsidRPr="000A53C0" w:rsidRDefault="00425098" w:rsidP="00766916">
            <w:pPr>
              <w:pStyle w:val="TableHeading"/>
              <w:numPr>
                <w:ilvl w:val="0"/>
                <w:numId w:val="38"/>
              </w:numPr>
              <w:spacing w:before="0" w:after="0" w:line="240" w:lineRule="auto"/>
              <w:rPr>
                <w:rFonts w:ascii="Arial" w:hAnsi="Arial" w:cs="Arial"/>
                <w:b w:val="0"/>
                <w:color w:val="262626" w:themeColor="text1" w:themeTint="D9"/>
                <w:sz w:val="18"/>
                <w:szCs w:val="18"/>
                <w:lang w:val="en-AU"/>
              </w:rPr>
            </w:pPr>
            <w:r w:rsidRPr="000A53C0">
              <w:rPr>
                <w:rFonts w:ascii="Arial" w:eastAsia="Times New Roman" w:hAnsi="Arial" w:cs="Arial"/>
                <w:b w:val="0"/>
                <w:color w:val="262626" w:themeColor="text1" w:themeTint="D9"/>
                <w:sz w:val="18"/>
                <w:szCs w:val="18"/>
                <w:lang w:val="en-AU" w:eastAsia="en-AU"/>
              </w:rPr>
              <w:t>Medium: 44</w:t>
            </w:r>
          </w:p>
          <w:p w14:paraId="51A9656C" w14:textId="6EBD30A6" w:rsidR="00425098" w:rsidRPr="000A53C0" w:rsidRDefault="00425098">
            <w:pPr>
              <w:rPr>
                <w:rFonts w:cs="Arial"/>
              </w:rPr>
            </w:pPr>
            <w:r w:rsidRPr="000A53C0">
              <w:rPr>
                <w:rFonts w:cs="Arial"/>
                <w:color w:val="262626" w:themeColor="text1" w:themeTint="D9"/>
                <w:sz w:val="18"/>
                <w:szCs w:val="18"/>
              </w:rPr>
              <w:t xml:space="preserve">See </w:t>
            </w:r>
            <w:r w:rsidRPr="000A53C0">
              <w:rPr>
                <w:rFonts w:cs="Arial"/>
                <w:color w:val="262626" w:themeColor="text1" w:themeTint="D9"/>
                <w:sz w:val="18"/>
                <w:szCs w:val="18"/>
              </w:rPr>
              <w:fldChar w:fldCharType="begin" w:fldLock="1"/>
            </w:r>
            <w:r w:rsidRPr="000A53C0">
              <w:rPr>
                <w:rFonts w:cs="Arial"/>
                <w:color w:val="262626" w:themeColor="text1" w:themeTint="D9"/>
                <w:sz w:val="18"/>
                <w:szCs w:val="18"/>
              </w:rPr>
              <w:instrText xml:space="preserve"> REF _Ref138662108 \h  \* MERGEFORMAT </w:instrText>
            </w:r>
            <w:r w:rsidRPr="000A53C0">
              <w:rPr>
                <w:rFonts w:cs="Arial"/>
                <w:color w:val="262626" w:themeColor="text1" w:themeTint="D9"/>
                <w:sz w:val="18"/>
                <w:szCs w:val="18"/>
              </w:rPr>
            </w:r>
            <w:r w:rsidRPr="000A53C0">
              <w:rPr>
                <w:rFonts w:cs="Arial"/>
                <w:color w:val="262626" w:themeColor="text1" w:themeTint="D9"/>
                <w:sz w:val="18"/>
                <w:szCs w:val="18"/>
              </w:rPr>
              <w:fldChar w:fldCharType="separate"/>
            </w:r>
            <w:r w:rsidR="00D16271" w:rsidRPr="00D16271">
              <w:rPr>
                <w:rFonts w:cs="Arial"/>
                <w:color w:val="262626" w:themeColor="text1" w:themeTint="D9"/>
                <w:sz w:val="18"/>
                <w:szCs w:val="18"/>
              </w:rPr>
              <w:t>Table 19</w:t>
            </w:r>
            <w:r w:rsidRPr="000A53C0">
              <w:rPr>
                <w:rFonts w:cs="Arial"/>
                <w:color w:val="262626" w:themeColor="text1" w:themeTint="D9"/>
                <w:sz w:val="18"/>
                <w:szCs w:val="18"/>
              </w:rPr>
              <w:fldChar w:fldCharType="end"/>
            </w:r>
          </w:p>
        </w:tc>
      </w:tr>
      <w:tr w:rsidR="00425098" w:rsidRPr="000A53C0" w14:paraId="29F29CB0" w14:textId="77777777" w:rsidTr="00C142B0">
        <w:trPr>
          <w:trHeight w:val="389"/>
        </w:trPr>
        <w:tc>
          <w:tcPr>
            <w:tcW w:w="259" w:type="pct"/>
            <w:vMerge/>
            <w:shd w:val="clear" w:color="auto" w:fill="D9D9D9" w:themeFill="background1" w:themeFillShade="D9"/>
            <w:vAlign w:val="center"/>
          </w:tcPr>
          <w:p w14:paraId="4E4F27E2"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4DB9DB4C"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tcPr>
          <w:p w14:paraId="6E1ED669" w14:textId="77777777" w:rsidR="00425098" w:rsidRPr="000A53C0" w:rsidRDefault="00425098">
            <w:pPr>
              <w:pStyle w:val="TableBody"/>
              <w:jc w:val="center"/>
              <w:rPr>
                <w:rFonts w:cs="Arial"/>
                <w:b/>
                <w:color w:val="262626" w:themeColor="text1" w:themeTint="D9"/>
                <w:szCs w:val="18"/>
              </w:rPr>
            </w:pPr>
          </w:p>
        </w:tc>
        <w:tc>
          <w:tcPr>
            <w:tcW w:w="1815" w:type="pct"/>
            <w:shd w:val="clear" w:color="auto" w:fill="auto"/>
            <w:vAlign w:val="center"/>
          </w:tcPr>
          <w:p w14:paraId="30147840" w14:textId="77777777" w:rsidR="00425098" w:rsidRPr="000A53C0" w:rsidRDefault="00425098">
            <w:pPr>
              <w:pStyle w:val="TableHeading"/>
              <w:spacing w:before="0"/>
              <w:rPr>
                <w:rFonts w:ascii="Arial" w:hAnsi="Arial" w:cs="Arial"/>
                <w:b w:val="0"/>
                <w:iCs/>
                <w:color w:val="262626" w:themeColor="text1" w:themeTint="D9"/>
                <w:sz w:val="18"/>
                <w:szCs w:val="18"/>
                <w:highlight w:val="magenta"/>
                <w:lang w:val="en-AU"/>
              </w:rPr>
            </w:pPr>
            <w:r w:rsidRPr="000A53C0">
              <w:rPr>
                <w:rFonts w:ascii="Arial" w:hAnsi="Arial" w:cs="Arial"/>
                <w:bCs/>
                <w:color w:val="262626" w:themeColor="text1" w:themeTint="D9"/>
                <w:sz w:val="18"/>
                <w:szCs w:val="18"/>
                <w:lang w:val="en-AU"/>
              </w:rPr>
              <w:t>% of workers who choose to retrain for another trade</w:t>
            </w:r>
            <w:r w:rsidRPr="000A53C0">
              <w:rPr>
                <w:rFonts w:ascii="Arial" w:hAnsi="Arial" w:cs="Arial"/>
                <w:b w:val="0"/>
                <w:color w:val="262626" w:themeColor="text1" w:themeTint="D9"/>
                <w:sz w:val="18"/>
                <w:szCs w:val="18"/>
                <w:lang w:val="en-AU"/>
              </w:rPr>
              <w:t xml:space="preserve">: 3% </w:t>
            </w:r>
          </w:p>
          <w:p w14:paraId="1C55FDB4" w14:textId="72BEC1FC" w:rsidR="00425098" w:rsidRPr="000A53C0" w:rsidRDefault="00425098">
            <w:pPr>
              <w:pStyle w:val="TableHeading"/>
              <w:spacing w:before="0"/>
              <w:rPr>
                <w:rFonts w:ascii="Arial" w:hAnsi="Arial" w:cs="Arial"/>
                <w:bCs/>
                <w:color w:val="262626" w:themeColor="text1" w:themeTint="D9"/>
                <w:sz w:val="18"/>
                <w:szCs w:val="18"/>
                <w:lang w:val="en-AU"/>
              </w:rPr>
            </w:pPr>
            <w:r w:rsidRPr="000A53C0">
              <w:rPr>
                <w:rFonts w:ascii="Arial" w:hAnsi="Arial" w:cs="Arial"/>
                <w:b w:val="0"/>
                <w:color w:val="262626" w:themeColor="text1" w:themeTint="D9"/>
                <w:sz w:val="18"/>
                <w:szCs w:val="18"/>
                <w:lang w:val="en-AU"/>
              </w:rPr>
              <w:t xml:space="preserve">We have assumed it is the same for each option across sole traders and small businesses. 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_Ref135928839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24</w:t>
            </w:r>
            <w:r w:rsidRPr="000A53C0">
              <w:rPr>
                <w:rFonts w:ascii="Arial" w:hAnsi="Arial" w:cs="Arial"/>
                <w:b w:val="0"/>
                <w:color w:val="262626" w:themeColor="text1" w:themeTint="D9"/>
                <w:sz w:val="18"/>
                <w:szCs w:val="18"/>
                <w:lang w:val="en-AU"/>
              </w:rPr>
              <w:fldChar w:fldCharType="end"/>
            </w:r>
          </w:p>
        </w:tc>
      </w:tr>
      <w:tr w:rsidR="00425098" w:rsidRPr="000A53C0" w14:paraId="503D8403" w14:textId="77777777" w:rsidTr="00C142B0">
        <w:trPr>
          <w:trHeight w:val="514"/>
        </w:trPr>
        <w:tc>
          <w:tcPr>
            <w:tcW w:w="259" w:type="pct"/>
            <w:vMerge/>
            <w:shd w:val="clear" w:color="auto" w:fill="D9D9D9" w:themeFill="background1" w:themeFillShade="D9"/>
            <w:vAlign w:val="center"/>
          </w:tcPr>
          <w:p w14:paraId="5B71CB8D"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379AC23B"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471A1B63"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4F998985" w14:textId="77777777" w:rsidR="00425098" w:rsidRPr="000A53C0" w:rsidRDefault="00425098">
            <w:pPr>
              <w:pStyle w:val="TableHeading"/>
              <w:spacing w:before="0"/>
              <w:rPr>
                <w:rFonts w:ascii="Arial" w:hAnsi="Arial" w:cs="Arial"/>
                <w:sz w:val="18"/>
                <w:szCs w:val="18"/>
                <w:highlight w:val="green"/>
              </w:rPr>
            </w:pPr>
            <w:r w:rsidRPr="000A53C0">
              <w:rPr>
                <w:rFonts w:ascii="Arial" w:hAnsi="Arial" w:cs="Arial"/>
                <w:sz w:val="18"/>
                <w:szCs w:val="18"/>
              </w:rPr>
              <w:t xml:space="preserve">Average government cost of Cert III in related trade: </w:t>
            </w:r>
            <w:r w:rsidRPr="000A53C0">
              <w:rPr>
                <w:rFonts w:ascii="Arial" w:hAnsi="Arial" w:cs="Arial"/>
                <w:b w:val="0"/>
                <w:bCs/>
                <w:sz w:val="18"/>
                <w:szCs w:val="18"/>
              </w:rPr>
              <w:t>To avoid duplication with Ref#19 this has been set to zero</w:t>
            </w:r>
          </w:p>
        </w:tc>
      </w:tr>
      <w:tr w:rsidR="00425098" w:rsidRPr="000A53C0" w14:paraId="72752073" w14:textId="77777777" w:rsidTr="00C142B0">
        <w:trPr>
          <w:trHeight w:val="513"/>
        </w:trPr>
        <w:tc>
          <w:tcPr>
            <w:tcW w:w="259" w:type="pct"/>
            <w:vMerge/>
            <w:shd w:val="clear" w:color="auto" w:fill="D9D9D9" w:themeFill="background1" w:themeFillShade="D9"/>
            <w:vAlign w:val="center"/>
          </w:tcPr>
          <w:p w14:paraId="62FE58FB"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52A8729E"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234204A5"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6B90156"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Australian Apprentice Training Support Payment:</w:t>
            </w:r>
            <w:r w:rsidRPr="000A53C0">
              <w:rPr>
                <w:rFonts w:ascii="Arial" w:hAnsi="Arial" w:cs="Arial"/>
                <w:b w:val="0"/>
                <w:sz w:val="18"/>
                <w:szCs w:val="18"/>
                <w:lang w:val="en-AU"/>
              </w:rPr>
              <w:t xml:space="preserve"> </w:t>
            </w:r>
            <w:r w:rsidRPr="000A53C0">
              <w:rPr>
                <w:rFonts w:ascii="Arial" w:hAnsi="Arial" w:cs="Arial"/>
                <w:b w:val="0"/>
                <w:color w:val="262626" w:themeColor="text1" w:themeTint="D9"/>
                <w:sz w:val="18"/>
                <w:szCs w:val="18"/>
                <w:lang w:val="en-AU"/>
              </w:rPr>
              <w:t>$5,000 ($2,500 per annum for first 2 years of apprenticeship) (Australian Government, no date)</w:t>
            </w:r>
          </w:p>
        </w:tc>
      </w:tr>
      <w:tr w:rsidR="00425098" w:rsidRPr="000A53C0" w14:paraId="6F730DB2" w14:textId="77777777" w:rsidTr="00C142B0">
        <w:trPr>
          <w:trHeight w:val="67"/>
        </w:trPr>
        <w:tc>
          <w:tcPr>
            <w:tcW w:w="259" w:type="pct"/>
            <w:vMerge/>
            <w:shd w:val="clear" w:color="auto" w:fill="D9D9D9" w:themeFill="background1" w:themeFillShade="D9"/>
            <w:vAlign w:val="center"/>
          </w:tcPr>
          <w:p w14:paraId="126ABE50"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2413B125"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227FA71E"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63AF91A" w14:textId="77777777" w:rsidR="00425098" w:rsidRPr="000A53C0" w:rsidRDefault="00425098">
            <w:pPr>
              <w:pStyle w:val="TableHeading"/>
              <w:spacing w:before="0"/>
              <w:rPr>
                <w:rFonts w:ascii="Arial" w:hAnsi="Arial" w:cs="Arial"/>
                <w:sz w:val="18"/>
                <w:szCs w:val="18"/>
              </w:rPr>
            </w:pPr>
            <w:r w:rsidRPr="000A53C0">
              <w:rPr>
                <w:rFonts w:ascii="Arial" w:hAnsi="Arial" w:cs="Arial"/>
                <w:sz w:val="18"/>
                <w:szCs w:val="18"/>
              </w:rPr>
              <w:t xml:space="preserve">Support payments to businesses with apprentices in occupations on the Australian Apprenticeships Priority List: </w:t>
            </w:r>
            <w:r w:rsidRPr="000A53C0">
              <w:rPr>
                <w:rFonts w:ascii="Arial" w:hAnsi="Arial" w:cs="Arial"/>
                <w:b w:val="0"/>
                <w:bCs/>
                <w:sz w:val="18"/>
                <w:szCs w:val="18"/>
              </w:rPr>
              <w:t>$6,000 p.a. for year 1 and 2 (Australian Government, no date)</w:t>
            </w:r>
            <w:r w:rsidRPr="000A53C0">
              <w:rPr>
                <w:rFonts w:ascii="Arial" w:hAnsi="Arial" w:cs="Arial"/>
                <w:sz w:val="18"/>
                <w:szCs w:val="18"/>
              </w:rPr>
              <w:t xml:space="preserve"> </w:t>
            </w:r>
          </w:p>
        </w:tc>
      </w:tr>
      <w:tr w:rsidR="00425098" w:rsidRPr="000A53C0" w14:paraId="15A06FB7" w14:textId="77777777" w:rsidTr="00C142B0">
        <w:trPr>
          <w:trHeight w:val="275"/>
        </w:trPr>
        <w:tc>
          <w:tcPr>
            <w:tcW w:w="259" w:type="pct"/>
            <w:vMerge/>
            <w:shd w:val="clear" w:color="auto" w:fill="D9D9D9" w:themeFill="background1" w:themeFillShade="D9"/>
            <w:vAlign w:val="center"/>
          </w:tcPr>
          <w:p w14:paraId="2BE148CC"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7CB27992"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65EED078"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5C0844E" w14:textId="77777777" w:rsidR="00425098" w:rsidRPr="000A53C0" w:rsidRDefault="00425098">
            <w:pPr>
              <w:pStyle w:val="TableHeading"/>
              <w:spacing w:before="0"/>
              <w:rPr>
                <w:rFonts w:ascii="Arial" w:hAnsi="Arial" w:cs="Arial"/>
                <w:b w:val="0"/>
                <w:bCs/>
                <w:sz w:val="18"/>
                <w:szCs w:val="18"/>
              </w:rPr>
            </w:pPr>
            <w:r w:rsidRPr="000A53C0">
              <w:rPr>
                <w:rFonts w:ascii="Arial" w:hAnsi="Arial" w:cs="Arial"/>
                <w:sz w:val="18"/>
                <w:szCs w:val="18"/>
              </w:rPr>
              <w:t>Time period:</w:t>
            </w:r>
            <w:r w:rsidRPr="000A53C0">
              <w:rPr>
                <w:rFonts w:ascii="Arial" w:hAnsi="Arial" w:cs="Arial"/>
                <w:b w:val="0"/>
                <w:sz w:val="18"/>
                <w:szCs w:val="18"/>
              </w:rPr>
              <w:t xml:space="preserve"> based on when engineered stone PCBUs cease operating and considering it is two years of training. </w:t>
            </w:r>
            <w:r w:rsidRPr="000A53C0">
              <w:rPr>
                <w:rFonts w:ascii="Arial" w:hAnsi="Arial" w:cs="Arial"/>
                <w:b w:val="0"/>
                <w:sz w:val="18"/>
                <w:szCs w:val="18"/>
              </w:rPr>
              <w:lastRenderedPageBreak/>
              <w:t>Requires a simplifying assumption that workers are displaced at the start of the financial year so they can go directly into training courses.</w:t>
            </w:r>
          </w:p>
        </w:tc>
      </w:tr>
      <w:tr w:rsidR="00425098" w:rsidRPr="000A53C0" w14:paraId="2E0747D9" w14:textId="77777777" w:rsidTr="00C142B0">
        <w:trPr>
          <w:trHeight w:val="408"/>
        </w:trPr>
        <w:tc>
          <w:tcPr>
            <w:tcW w:w="259" w:type="pct"/>
            <w:vMerge w:val="restart"/>
            <w:shd w:val="clear" w:color="auto" w:fill="D9D9D9" w:themeFill="background1" w:themeFillShade="D9"/>
            <w:vAlign w:val="center"/>
          </w:tcPr>
          <w:p w14:paraId="46EA8EFB" w14:textId="77777777" w:rsidR="00425098" w:rsidRPr="00650114" w:rsidRDefault="00425098">
            <w:pPr>
              <w:pStyle w:val="TableHeading"/>
              <w:spacing w:before="0"/>
              <w:jc w:val="center"/>
              <w:rPr>
                <w:rFonts w:ascii="Arial" w:hAnsi="Arial" w:cs="Arial"/>
              </w:rPr>
            </w:pPr>
            <w:r w:rsidRPr="00650114">
              <w:rPr>
                <w:rFonts w:ascii="Arial" w:hAnsi="Arial" w:cs="Arial"/>
              </w:rPr>
              <w:lastRenderedPageBreak/>
              <w:t>#9</w:t>
            </w:r>
          </w:p>
        </w:tc>
        <w:tc>
          <w:tcPr>
            <w:tcW w:w="1150" w:type="pct"/>
            <w:vMerge w:val="restart"/>
            <w:shd w:val="clear" w:color="auto" w:fill="D9D9D9" w:themeFill="background1" w:themeFillShade="D9"/>
            <w:tcMar>
              <w:top w:w="72" w:type="dxa"/>
              <w:left w:w="144" w:type="dxa"/>
              <w:bottom w:w="72" w:type="dxa"/>
              <w:right w:w="144" w:type="dxa"/>
            </w:tcMar>
            <w:vAlign w:val="center"/>
          </w:tcPr>
          <w:p w14:paraId="2F7C024F"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 xml:space="preserve">Drafting of national licensing framework/regulation </w:t>
            </w:r>
          </w:p>
        </w:tc>
        <w:tc>
          <w:tcPr>
            <w:tcW w:w="1776" w:type="pct"/>
            <w:vMerge w:val="restart"/>
            <w:shd w:val="clear" w:color="auto" w:fill="auto"/>
          </w:tcPr>
          <w:p w14:paraId="43716358"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Total drafting costs =</w:t>
            </w:r>
          </w:p>
          <w:p w14:paraId="6FFD0E38" w14:textId="77777777" w:rsidR="00425098" w:rsidRPr="000A53C0" w:rsidRDefault="00425098">
            <w:pPr>
              <w:pStyle w:val="TableBody"/>
              <w:widowControl w:val="0"/>
              <w:spacing w:before="0" w:after="0"/>
              <w:jc w:val="center"/>
              <w:rPr>
                <w:rFonts w:cs="Arial"/>
                <w:color w:val="262626" w:themeColor="text1" w:themeTint="D9"/>
                <w:szCs w:val="18"/>
              </w:rPr>
            </w:pPr>
          </w:p>
          <w:p w14:paraId="5A175FB8"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Number of staff (by level)</w:t>
            </w:r>
          </w:p>
          <w:p w14:paraId="4DC00CE7" w14:textId="77777777" w:rsidR="00425098" w:rsidRPr="000A53C0" w:rsidRDefault="00425098">
            <w:pPr>
              <w:pStyle w:val="TableBody"/>
              <w:jc w:val="center"/>
              <w:rPr>
                <w:rFonts w:cs="Arial"/>
                <w:szCs w:val="18"/>
              </w:rPr>
            </w:pPr>
            <w:r w:rsidRPr="000A53C0">
              <w:rPr>
                <w:rFonts w:cs="Arial"/>
                <w:szCs w:val="18"/>
              </w:rPr>
              <w:t>×</w:t>
            </w:r>
          </w:p>
          <w:p w14:paraId="5BBBEBCF" w14:textId="77777777" w:rsidR="00425098" w:rsidRPr="000A53C0" w:rsidRDefault="00425098">
            <w:pPr>
              <w:pStyle w:val="TableBody"/>
              <w:jc w:val="center"/>
              <w:rPr>
                <w:rFonts w:cs="Arial"/>
                <w:szCs w:val="18"/>
              </w:rPr>
            </w:pPr>
            <w:r w:rsidRPr="000A53C0">
              <w:rPr>
                <w:rFonts w:cs="Arial"/>
                <w:szCs w:val="18"/>
              </w:rPr>
              <w:t>Hours of work</w:t>
            </w:r>
          </w:p>
          <w:p w14:paraId="535241A2" w14:textId="77777777" w:rsidR="00425098" w:rsidRPr="000A53C0" w:rsidRDefault="00425098">
            <w:pPr>
              <w:pStyle w:val="TableBody"/>
              <w:jc w:val="center"/>
              <w:rPr>
                <w:rFonts w:cs="Arial"/>
                <w:color w:val="262626" w:themeColor="text1" w:themeTint="D9"/>
                <w:szCs w:val="18"/>
              </w:rPr>
            </w:pPr>
            <w:r w:rsidRPr="000A53C0">
              <w:rPr>
                <w:rFonts w:cs="Arial"/>
                <w:szCs w:val="18"/>
              </w:rPr>
              <w:t>x</w:t>
            </w:r>
          </w:p>
          <w:p w14:paraId="15ACD11A"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color w:val="262626" w:themeColor="text1" w:themeTint="D9"/>
                <w:szCs w:val="18"/>
              </w:rPr>
              <w:t>Average wage/hour</w:t>
            </w:r>
          </w:p>
        </w:tc>
        <w:tc>
          <w:tcPr>
            <w:tcW w:w="1815" w:type="pct"/>
            <w:shd w:val="clear" w:color="auto" w:fill="auto"/>
            <w:vAlign w:val="center"/>
          </w:tcPr>
          <w:p w14:paraId="21DE7F7B" w14:textId="77777777" w:rsidR="00425098" w:rsidRPr="000A53C0" w:rsidRDefault="00425098">
            <w:pPr>
              <w:pStyle w:val="TableBody"/>
              <w:widowControl w:val="0"/>
              <w:spacing w:before="0" w:after="0"/>
              <w:rPr>
                <w:rFonts w:cs="Arial"/>
                <w:b/>
                <w:color w:val="262626" w:themeColor="text1" w:themeTint="D9"/>
                <w:szCs w:val="18"/>
              </w:rPr>
            </w:pPr>
            <w:r w:rsidRPr="000A53C0">
              <w:rPr>
                <w:rFonts w:cs="Arial"/>
                <w:b/>
                <w:color w:val="262626" w:themeColor="text1" w:themeTint="D9"/>
                <w:szCs w:val="18"/>
              </w:rPr>
              <w:t xml:space="preserve">Number of staff (by level): </w:t>
            </w:r>
          </w:p>
          <w:p w14:paraId="6FCD4B87" w14:textId="77777777" w:rsidR="00425098" w:rsidRPr="000A53C0" w:rsidRDefault="00425098" w:rsidP="00766916">
            <w:pPr>
              <w:pStyle w:val="TableHeading"/>
              <w:numPr>
                <w:ilvl w:val="0"/>
                <w:numId w:val="38"/>
              </w:numPr>
              <w:spacing w:before="0" w:after="0" w:line="240" w:lineRule="auto"/>
              <w:rPr>
                <w:rFonts w:ascii="Arial" w:eastAsia="Times New Roman" w:hAnsi="Arial" w:cs="Arial"/>
                <w:b w:val="0"/>
                <w:color w:val="262626" w:themeColor="text1" w:themeTint="D9"/>
                <w:sz w:val="18"/>
                <w:szCs w:val="18"/>
                <w:lang w:val="en-AU" w:eastAsia="en-AU"/>
              </w:rPr>
            </w:pPr>
            <w:r w:rsidRPr="000A53C0">
              <w:rPr>
                <w:rFonts w:ascii="Arial" w:eastAsia="Times New Roman" w:hAnsi="Arial" w:cs="Arial"/>
                <w:b w:val="0"/>
                <w:color w:val="262626" w:themeColor="text1" w:themeTint="D9"/>
                <w:sz w:val="18"/>
                <w:szCs w:val="18"/>
                <w:lang w:val="en-AU" w:eastAsia="en-AU"/>
              </w:rPr>
              <w:t>Option 1 and 2: 1 APS6, 1 EL1 and 1 EL2</w:t>
            </w:r>
            <w:r w:rsidRPr="000A53C0">
              <w:rPr>
                <w:rFonts w:ascii="Arial" w:eastAsia="Times New Roman" w:hAnsi="Arial" w:cs="Arial"/>
                <w:b w:val="0"/>
                <w:sz w:val="18"/>
                <w:vertAlign w:val="superscript"/>
                <w:lang w:val="en-AU" w:eastAsia="en-AU"/>
              </w:rPr>
              <w:footnoteReference w:id="68"/>
            </w:r>
          </w:p>
          <w:p w14:paraId="31D75C93" w14:textId="77777777" w:rsidR="00425098" w:rsidRPr="000A53C0" w:rsidRDefault="00425098" w:rsidP="00766916">
            <w:pPr>
              <w:pStyle w:val="TableHeading"/>
              <w:numPr>
                <w:ilvl w:val="0"/>
                <w:numId w:val="38"/>
              </w:numPr>
              <w:spacing w:before="0" w:after="0" w:line="240" w:lineRule="auto"/>
              <w:rPr>
                <w:rFonts w:ascii="Arial" w:hAnsi="Arial" w:cs="Arial"/>
                <w:color w:val="262626" w:themeColor="text1" w:themeTint="D9"/>
                <w:szCs w:val="18"/>
              </w:rPr>
            </w:pPr>
            <w:r w:rsidRPr="000A53C0">
              <w:rPr>
                <w:rFonts w:ascii="Arial" w:eastAsia="Times New Roman" w:hAnsi="Arial" w:cs="Arial"/>
                <w:b w:val="0"/>
                <w:color w:val="262626" w:themeColor="text1" w:themeTint="D9"/>
                <w:sz w:val="18"/>
                <w:szCs w:val="18"/>
                <w:lang w:val="en-AU" w:eastAsia="en-AU"/>
              </w:rPr>
              <w:t>Option 3: Multiplied by 2 schemes</w:t>
            </w:r>
          </w:p>
        </w:tc>
      </w:tr>
      <w:tr w:rsidR="00425098" w:rsidRPr="000A53C0" w14:paraId="38392E24" w14:textId="77777777" w:rsidTr="00C142B0">
        <w:trPr>
          <w:trHeight w:val="261"/>
        </w:trPr>
        <w:tc>
          <w:tcPr>
            <w:tcW w:w="259" w:type="pct"/>
            <w:vMerge/>
            <w:shd w:val="clear" w:color="auto" w:fill="D9D9D9" w:themeFill="background1" w:themeFillShade="D9"/>
            <w:vAlign w:val="center"/>
          </w:tcPr>
          <w:p w14:paraId="685C1E81" w14:textId="77777777" w:rsidR="00425098" w:rsidRPr="00650114" w:rsidRDefault="00425098">
            <w:pPr>
              <w:pStyle w:val="TableHeading"/>
              <w:spacing w:before="0"/>
              <w:jc w:val="center"/>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vAlign w:val="center"/>
          </w:tcPr>
          <w:p w14:paraId="310B306D" w14:textId="77777777" w:rsidR="00425098" w:rsidRPr="00650114" w:rsidRDefault="00425098">
            <w:pPr>
              <w:pStyle w:val="TableHeading"/>
              <w:spacing w:before="0"/>
              <w:rPr>
                <w:rFonts w:ascii="Arial" w:hAnsi="Arial" w:cs="Arial"/>
                <w:sz w:val="18"/>
                <w:szCs w:val="18"/>
              </w:rPr>
            </w:pPr>
          </w:p>
        </w:tc>
        <w:tc>
          <w:tcPr>
            <w:tcW w:w="1776" w:type="pct"/>
            <w:vMerge/>
            <w:shd w:val="clear" w:color="auto" w:fill="auto"/>
          </w:tcPr>
          <w:p w14:paraId="154D9F37"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DE1BDBF" w14:textId="77777777" w:rsidR="00425098" w:rsidRPr="000A53C0" w:rsidRDefault="00425098">
            <w:pPr>
              <w:pStyle w:val="TableBody"/>
              <w:widowControl w:val="0"/>
              <w:spacing w:before="0" w:after="0"/>
              <w:rPr>
                <w:rFonts w:cs="Arial"/>
                <w:szCs w:val="18"/>
              </w:rPr>
            </w:pPr>
            <w:r w:rsidRPr="000A53C0">
              <w:rPr>
                <w:rFonts w:cs="Arial"/>
                <w:b/>
                <w:szCs w:val="18"/>
              </w:rPr>
              <w:t>Hours of work:</w:t>
            </w:r>
            <w:r w:rsidRPr="000A53C0">
              <w:rPr>
                <w:rFonts w:cs="Arial"/>
                <w:szCs w:val="18"/>
              </w:rPr>
              <w:t xml:space="preserve"> Half a year</w:t>
            </w:r>
            <w:r w:rsidRPr="000A53C0">
              <w:rPr>
                <w:rStyle w:val="FootnoteReference"/>
                <w:rFonts w:cs="Arial"/>
                <w:szCs w:val="18"/>
              </w:rPr>
              <w:footnoteReference w:id="69"/>
            </w:r>
            <w:r w:rsidRPr="000A53C0">
              <w:rPr>
                <w:rFonts w:cs="Arial"/>
                <w:szCs w:val="18"/>
              </w:rPr>
              <w:t xml:space="preserve"> </w:t>
            </w:r>
          </w:p>
        </w:tc>
      </w:tr>
      <w:tr w:rsidR="00425098" w:rsidRPr="000A53C0" w14:paraId="5452CAD3" w14:textId="77777777" w:rsidTr="00C142B0">
        <w:trPr>
          <w:trHeight w:val="277"/>
        </w:trPr>
        <w:tc>
          <w:tcPr>
            <w:tcW w:w="259" w:type="pct"/>
            <w:vMerge/>
            <w:shd w:val="clear" w:color="auto" w:fill="D9D9D9" w:themeFill="background1" w:themeFillShade="D9"/>
            <w:vAlign w:val="center"/>
          </w:tcPr>
          <w:p w14:paraId="04ABE82F" w14:textId="77777777" w:rsidR="00425098" w:rsidRPr="00650114" w:rsidRDefault="00425098">
            <w:pPr>
              <w:pStyle w:val="TableHeading"/>
              <w:spacing w:before="0"/>
              <w:jc w:val="center"/>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vAlign w:val="center"/>
          </w:tcPr>
          <w:p w14:paraId="51F70307" w14:textId="77777777" w:rsidR="00425098" w:rsidRPr="00650114" w:rsidRDefault="00425098">
            <w:pPr>
              <w:pStyle w:val="TableHeading"/>
              <w:spacing w:before="0"/>
              <w:rPr>
                <w:rFonts w:ascii="Arial" w:hAnsi="Arial" w:cs="Arial"/>
                <w:sz w:val="18"/>
                <w:szCs w:val="18"/>
              </w:rPr>
            </w:pPr>
          </w:p>
        </w:tc>
        <w:tc>
          <w:tcPr>
            <w:tcW w:w="1776" w:type="pct"/>
            <w:vMerge/>
            <w:shd w:val="clear" w:color="auto" w:fill="auto"/>
          </w:tcPr>
          <w:p w14:paraId="0C3C06FA"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5E459B7" w14:textId="42D0F7A9" w:rsidR="00425098" w:rsidRPr="000A53C0" w:rsidRDefault="00425098" w:rsidP="00D206E1">
            <w:pPr>
              <w:pStyle w:val="TableBody"/>
              <w:rPr>
                <w:rFonts w:cs="Arial"/>
              </w:rPr>
            </w:pPr>
            <w:r w:rsidRPr="000A53C0">
              <w:rPr>
                <w:rFonts w:cs="Arial"/>
                <w:b/>
              </w:rPr>
              <w:t>Average wage/hour ($):</w:t>
            </w:r>
            <w:r w:rsidRPr="000A53C0">
              <w:rPr>
                <w:rFonts w:cs="Arial"/>
              </w:rPr>
              <w:t xml:space="preserve"> $57.96, $72.47 and $91.31 respectively (see </w:t>
            </w:r>
            <w:r w:rsidRPr="000A53C0">
              <w:rPr>
                <w:rFonts w:cs="Arial"/>
                <w:highlight w:val="yellow"/>
              </w:rPr>
              <w:fldChar w:fldCharType="begin" w:fldLock="1"/>
            </w:r>
            <w:r w:rsidRPr="000A53C0">
              <w:rPr>
                <w:rFonts w:cs="Arial"/>
              </w:rPr>
              <w:instrText xml:space="preserve"> REF _Ref135928043 \h </w:instrText>
            </w:r>
            <w:r w:rsidR="00335CD1" w:rsidRPr="000A53C0">
              <w:rPr>
                <w:rFonts w:cs="Arial"/>
                <w:highlight w:val="yellow"/>
              </w:rPr>
              <w:instrText xml:space="preserve"> \* MERGEFORMAT </w:instrText>
            </w:r>
            <w:r w:rsidRPr="000A53C0">
              <w:rPr>
                <w:rFonts w:cs="Arial"/>
                <w:highlight w:val="yellow"/>
              </w:rPr>
            </w:r>
            <w:r w:rsidRPr="000A53C0">
              <w:rPr>
                <w:rFonts w:cs="Arial"/>
                <w:highlight w:val="yellow"/>
              </w:rPr>
              <w:fldChar w:fldCharType="separate"/>
            </w:r>
            <w:r w:rsidR="00D16271" w:rsidRPr="000A53C0">
              <w:rPr>
                <w:rFonts w:cs="Arial"/>
              </w:rPr>
              <w:t xml:space="preserve">Table </w:t>
            </w:r>
            <w:r w:rsidR="00D16271">
              <w:rPr>
                <w:rFonts w:cs="Arial"/>
              </w:rPr>
              <w:t>28</w:t>
            </w:r>
            <w:r w:rsidRPr="000A53C0">
              <w:rPr>
                <w:rFonts w:cs="Arial"/>
                <w:highlight w:val="yellow"/>
              </w:rPr>
              <w:fldChar w:fldCharType="end"/>
            </w:r>
            <w:r w:rsidRPr="000A53C0">
              <w:rPr>
                <w:rFonts w:cs="Arial"/>
              </w:rPr>
              <w:t>)</w:t>
            </w:r>
          </w:p>
        </w:tc>
      </w:tr>
      <w:tr w:rsidR="00425098" w:rsidRPr="000A53C0" w14:paraId="4F84821F" w14:textId="77777777" w:rsidTr="00C142B0">
        <w:trPr>
          <w:trHeight w:val="277"/>
        </w:trPr>
        <w:tc>
          <w:tcPr>
            <w:tcW w:w="259" w:type="pct"/>
            <w:vMerge/>
            <w:shd w:val="clear" w:color="auto" w:fill="D9D9D9" w:themeFill="background1" w:themeFillShade="D9"/>
            <w:vAlign w:val="center"/>
          </w:tcPr>
          <w:p w14:paraId="073BD88C" w14:textId="77777777" w:rsidR="00425098" w:rsidRPr="00650114" w:rsidRDefault="00425098">
            <w:pPr>
              <w:pStyle w:val="TableHeading"/>
              <w:spacing w:before="0"/>
              <w:jc w:val="center"/>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vAlign w:val="center"/>
          </w:tcPr>
          <w:p w14:paraId="1DEF28CF" w14:textId="77777777" w:rsidR="00425098" w:rsidRPr="00650114" w:rsidRDefault="00425098">
            <w:pPr>
              <w:pStyle w:val="TableHeading"/>
              <w:spacing w:before="0"/>
              <w:rPr>
                <w:rFonts w:ascii="Arial" w:hAnsi="Arial" w:cs="Arial"/>
                <w:sz w:val="18"/>
                <w:szCs w:val="18"/>
              </w:rPr>
            </w:pPr>
          </w:p>
        </w:tc>
        <w:tc>
          <w:tcPr>
            <w:tcW w:w="1776" w:type="pct"/>
            <w:vMerge/>
            <w:shd w:val="clear" w:color="auto" w:fill="auto"/>
          </w:tcPr>
          <w:p w14:paraId="7AFD5EA5"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524CACA" w14:textId="77777777" w:rsidR="00425098" w:rsidRPr="000A53C0" w:rsidRDefault="00425098">
            <w:pPr>
              <w:pStyle w:val="TableBody"/>
              <w:widowControl w:val="0"/>
              <w:spacing w:before="0" w:after="0"/>
              <w:rPr>
                <w:rFonts w:cs="Arial"/>
                <w:b/>
                <w:szCs w:val="18"/>
              </w:rPr>
            </w:pPr>
            <w:r w:rsidRPr="000A53C0">
              <w:rPr>
                <w:rFonts w:cs="Arial"/>
                <w:b/>
                <w:szCs w:val="18"/>
              </w:rPr>
              <w:t xml:space="preserve">Time period: </w:t>
            </w:r>
            <w:r w:rsidRPr="000A53C0">
              <w:rPr>
                <w:rFonts w:cs="Arial"/>
                <w:szCs w:val="18"/>
              </w:rPr>
              <w:t>FY2024</w:t>
            </w:r>
          </w:p>
        </w:tc>
      </w:tr>
      <w:tr w:rsidR="00425098" w:rsidRPr="000A53C0" w14:paraId="745524F9" w14:textId="77777777" w:rsidTr="00C142B0">
        <w:trPr>
          <w:trHeight w:val="497"/>
        </w:trPr>
        <w:tc>
          <w:tcPr>
            <w:tcW w:w="259" w:type="pct"/>
            <w:vMerge w:val="restart"/>
            <w:shd w:val="clear" w:color="auto" w:fill="D9D9D9" w:themeFill="background1" w:themeFillShade="D9"/>
            <w:vAlign w:val="center"/>
          </w:tcPr>
          <w:p w14:paraId="2980B7D4" w14:textId="77777777" w:rsidR="00425098" w:rsidRPr="00650114" w:rsidRDefault="00425098">
            <w:pPr>
              <w:pStyle w:val="TableHeading"/>
              <w:spacing w:before="0"/>
              <w:jc w:val="center"/>
              <w:rPr>
                <w:rFonts w:ascii="Arial" w:hAnsi="Arial" w:cs="Arial"/>
              </w:rPr>
            </w:pPr>
            <w:r w:rsidRPr="00650114">
              <w:rPr>
                <w:rFonts w:ascii="Arial" w:hAnsi="Arial" w:cs="Arial"/>
              </w:rPr>
              <w:t>#10</w:t>
            </w:r>
          </w:p>
        </w:tc>
        <w:tc>
          <w:tcPr>
            <w:tcW w:w="1150" w:type="pct"/>
            <w:vMerge w:val="restart"/>
            <w:shd w:val="clear" w:color="auto" w:fill="D9D9D9" w:themeFill="background1" w:themeFillShade="D9"/>
            <w:tcMar>
              <w:top w:w="72" w:type="dxa"/>
              <w:left w:w="144" w:type="dxa"/>
              <w:bottom w:w="72" w:type="dxa"/>
              <w:right w:w="144" w:type="dxa"/>
            </w:tcMar>
            <w:vAlign w:val="center"/>
          </w:tcPr>
          <w:p w14:paraId="4A190E51"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Development, implementation, administration and maintenance of a system for administration of licensing framework</w:t>
            </w:r>
          </w:p>
        </w:tc>
        <w:tc>
          <w:tcPr>
            <w:tcW w:w="1776" w:type="pct"/>
            <w:vMerge w:val="restart"/>
            <w:shd w:val="clear" w:color="auto" w:fill="auto"/>
          </w:tcPr>
          <w:p w14:paraId="3E470C26" w14:textId="77777777" w:rsidR="00425098" w:rsidRPr="000A53C0" w:rsidRDefault="00425098">
            <w:pPr>
              <w:pStyle w:val="TableBody"/>
              <w:widowControl w:val="0"/>
              <w:spacing w:before="0" w:after="0"/>
              <w:jc w:val="center"/>
              <w:rPr>
                <w:rFonts w:cs="Arial"/>
                <w:b/>
                <w:color w:val="262626" w:themeColor="text1" w:themeTint="D9"/>
                <w:szCs w:val="18"/>
              </w:rPr>
            </w:pPr>
            <w:r w:rsidRPr="000A53C0">
              <w:rPr>
                <w:rFonts w:cs="Arial"/>
                <w:b/>
                <w:color w:val="262626" w:themeColor="text1" w:themeTint="D9"/>
                <w:szCs w:val="18"/>
              </w:rPr>
              <w:t>Total cost of implementing licence system =</w:t>
            </w:r>
          </w:p>
          <w:p w14:paraId="46A9D5A9" w14:textId="77777777" w:rsidR="00425098" w:rsidRPr="000A53C0" w:rsidRDefault="00425098">
            <w:pPr>
              <w:pStyle w:val="TableBody"/>
              <w:widowControl w:val="0"/>
              <w:spacing w:before="0" w:after="0"/>
              <w:jc w:val="center"/>
              <w:rPr>
                <w:rFonts w:cs="Arial"/>
                <w:b/>
                <w:color w:val="262626" w:themeColor="text1" w:themeTint="D9"/>
                <w:szCs w:val="18"/>
              </w:rPr>
            </w:pPr>
          </w:p>
          <w:p w14:paraId="7C7695A6"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CAPEX costs to implement system (per jurisdiction)</w:t>
            </w:r>
          </w:p>
          <w:p w14:paraId="6C57F8AA"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w:t>
            </w:r>
          </w:p>
          <w:p w14:paraId="05EB793D"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OPEX costs to operate system </w:t>
            </w:r>
          </w:p>
        </w:tc>
        <w:tc>
          <w:tcPr>
            <w:tcW w:w="1815" w:type="pct"/>
            <w:shd w:val="clear" w:color="auto" w:fill="auto"/>
            <w:vAlign w:val="center"/>
          </w:tcPr>
          <w:p w14:paraId="3596C6CB" w14:textId="77777777" w:rsidR="00425098" w:rsidRPr="000A53C0" w:rsidRDefault="00425098">
            <w:pPr>
              <w:pStyle w:val="TableBody"/>
              <w:widowControl w:val="0"/>
              <w:spacing w:before="0" w:after="0"/>
              <w:rPr>
                <w:rFonts w:cs="Arial"/>
                <w:b/>
                <w:color w:val="262626" w:themeColor="text1" w:themeTint="D9"/>
                <w:szCs w:val="18"/>
              </w:rPr>
            </w:pPr>
            <w:r w:rsidRPr="000A53C0">
              <w:rPr>
                <w:rFonts w:cs="Arial"/>
                <w:b/>
                <w:color w:val="262626" w:themeColor="text1" w:themeTint="D9"/>
                <w:szCs w:val="18"/>
              </w:rPr>
              <w:t xml:space="preserve">CAPEX costs: </w:t>
            </w:r>
            <w:r w:rsidRPr="000A53C0">
              <w:rPr>
                <w:rFonts w:cs="Arial"/>
                <w:color w:val="262626" w:themeColor="text1" w:themeTint="D9"/>
                <w:szCs w:val="18"/>
              </w:rPr>
              <w:t>$750,000 x 7 jurisdictions</w:t>
            </w:r>
            <w:r w:rsidRPr="000A53C0">
              <w:rPr>
                <w:rStyle w:val="FootnoteReference"/>
                <w:rFonts w:cs="Arial"/>
                <w:color w:val="262626" w:themeColor="text1" w:themeTint="D9"/>
                <w:szCs w:val="18"/>
              </w:rPr>
              <w:footnoteReference w:id="70"/>
            </w:r>
            <w:r w:rsidRPr="000A53C0">
              <w:rPr>
                <w:rFonts w:cs="Arial"/>
                <w:color w:val="262626" w:themeColor="text1" w:themeTint="D9"/>
                <w:szCs w:val="18"/>
              </w:rPr>
              <w:t xml:space="preserve"> (e.g. procurement costs, ICT costs, </w:t>
            </w:r>
            <w:r w:rsidRPr="000A53C0">
              <w:rPr>
                <w:rFonts w:cs="Arial"/>
                <w:szCs w:val="18"/>
              </w:rPr>
              <w:t>c</w:t>
            </w:r>
            <w:r w:rsidRPr="000A53C0">
              <w:rPr>
                <w:rFonts w:cs="Arial"/>
                <w:color w:val="262626" w:themeColor="text1" w:themeTint="D9"/>
                <w:szCs w:val="18"/>
              </w:rPr>
              <w:t>ost of project management to implement licence system, system integration, implementation costs)</w:t>
            </w:r>
          </w:p>
        </w:tc>
      </w:tr>
      <w:tr w:rsidR="00425098" w:rsidRPr="000A53C0" w14:paraId="2734E468" w14:textId="77777777" w:rsidTr="00C142B0">
        <w:trPr>
          <w:trHeight w:val="443"/>
        </w:trPr>
        <w:tc>
          <w:tcPr>
            <w:tcW w:w="259" w:type="pct"/>
            <w:vMerge/>
            <w:shd w:val="clear" w:color="auto" w:fill="D9D9D9" w:themeFill="background1" w:themeFillShade="D9"/>
          </w:tcPr>
          <w:p w14:paraId="01784C63" w14:textId="77777777" w:rsidR="00425098" w:rsidRPr="00650114" w:rsidRDefault="00425098">
            <w:pPr>
              <w:pStyle w:val="TableHeading"/>
              <w:spacing w:before="0"/>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tcPr>
          <w:p w14:paraId="7F17230A" w14:textId="77777777" w:rsidR="00425098" w:rsidRPr="00650114" w:rsidRDefault="00425098">
            <w:pPr>
              <w:pStyle w:val="TableHeading"/>
              <w:spacing w:before="0"/>
              <w:rPr>
                <w:rFonts w:ascii="Arial" w:hAnsi="Arial" w:cs="Arial"/>
                <w:sz w:val="18"/>
                <w:szCs w:val="18"/>
              </w:rPr>
            </w:pPr>
          </w:p>
        </w:tc>
        <w:tc>
          <w:tcPr>
            <w:tcW w:w="1776" w:type="pct"/>
            <w:vMerge/>
            <w:shd w:val="clear" w:color="auto" w:fill="auto"/>
            <w:vAlign w:val="center"/>
          </w:tcPr>
          <w:p w14:paraId="35A835DD"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11272EA3" w14:textId="77777777" w:rsidR="00425098" w:rsidRPr="000A53C0" w:rsidRDefault="00425098">
            <w:pPr>
              <w:pStyle w:val="TableBody"/>
              <w:widowControl w:val="0"/>
              <w:spacing w:before="0" w:after="0"/>
              <w:rPr>
                <w:rFonts w:cs="Arial"/>
                <w:color w:val="262626" w:themeColor="text1" w:themeTint="D9"/>
                <w:szCs w:val="18"/>
              </w:rPr>
            </w:pPr>
            <w:r w:rsidRPr="000A53C0">
              <w:rPr>
                <w:rFonts w:cs="Arial"/>
                <w:b/>
                <w:color w:val="262626" w:themeColor="text1" w:themeTint="D9"/>
                <w:szCs w:val="18"/>
              </w:rPr>
              <w:t>OPEX costs:</w:t>
            </w:r>
            <w:r w:rsidRPr="000A53C0">
              <w:rPr>
                <w:rFonts w:cs="Arial"/>
                <w:color w:val="262626" w:themeColor="text1" w:themeTint="D9"/>
                <w:szCs w:val="18"/>
              </w:rPr>
              <w:t xml:space="preserve"> $80,000 x 7 jurisdictions</w:t>
            </w:r>
            <w:r w:rsidRPr="000A53C0">
              <w:rPr>
                <w:rStyle w:val="FootnoteReference"/>
                <w:rFonts w:cs="Arial"/>
                <w:color w:val="262626" w:themeColor="text1" w:themeTint="D9"/>
                <w:szCs w:val="18"/>
              </w:rPr>
              <w:footnoteReference w:id="71"/>
            </w:r>
            <w:r w:rsidRPr="000A53C0">
              <w:rPr>
                <w:rFonts w:cs="Arial"/>
                <w:b/>
                <w:color w:val="262626" w:themeColor="text1" w:themeTint="D9"/>
                <w:szCs w:val="18"/>
              </w:rPr>
              <w:t xml:space="preserve"> </w:t>
            </w:r>
            <w:r w:rsidRPr="000A53C0">
              <w:rPr>
                <w:rFonts w:cs="Arial"/>
                <w:color w:val="262626" w:themeColor="text1" w:themeTint="D9"/>
                <w:szCs w:val="18"/>
              </w:rPr>
              <w:t>per annum</w:t>
            </w:r>
            <w:r w:rsidRPr="000A53C0">
              <w:rPr>
                <w:rFonts w:cs="Arial"/>
                <w:b/>
                <w:color w:val="262626" w:themeColor="text1" w:themeTint="D9"/>
                <w:szCs w:val="18"/>
              </w:rPr>
              <w:t xml:space="preserve"> </w:t>
            </w:r>
            <w:r w:rsidRPr="000A53C0">
              <w:rPr>
                <w:rFonts w:cs="Arial"/>
                <w:bCs/>
                <w:color w:val="262626" w:themeColor="text1" w:themeTint="D9"/>
                <w:szCs w:val="18"/>
              </w:rPr>
              <w:t>(e</w:t>
            </w:r>
            <w:r w:rsidRPr="000A53C0">
              <w:rPr>
                <w:rFonts w:cs="Arial"/>
                <w:color w:val="262626" w:themeColor="text1" w:themeTint="D9"/>
                <w:szCs w:val="18"/>
              </w:rPr>
              <w:t>.g. cost of change management to implement licence system such as training of staff and cost of annual operation of licensing platform such as IT staff to manage it and costs of any annual licence fees)</w:t>
            </w:r>
          </w:p>
        </w:tc>
      </w:tr>
      <w:tr w:rsidR="00425098" w:rsidRPr="000A53C0" w14:paraId="155886E6" w14:textId="77777777" w:rsidTr="00C142B0">
        <w:trPr>
          <w:trHeight w:val="443"/>
        </w:trPr>
        <w:tc>
          <w:tcPr>
            <w:tcW w:w="259" w:type="pct"/>
            <w:vMerge/>
            <w:shd w:val="clear" w:color="auto" w:fill="D9D9D9" w:themeFill="background1" w:themeFillShade="D9"/>
          </w:tcPr>
          <w:p w14:paraId="332B1E4F" w14:textId="77777777" w:rsidR="00425098" w:rsidRPr="00650114" w:rsidRDefault="00425098">
            <w:pPr>
              <w:pStyle w:val="TableHeading"/>
              <w:spacing w:before="0"/>
              <w:rPr>
                <w:rFonts w:ascii="Arial" w:hAnsi="Arial" w:cs="Arial"/>
              </w:rPr>
            </w:pPr>
          </w:p>
        </w:tc>
        <w:tc>
          <w:tcPr>
            <w:tcW w:w="1150" w:type="pct"/>
            <w:vMerge/>
            <w:shd w:val="clear" w:color="auto" w:fill="D9D9D9" w:themeFill="background1" w:themeFillShade="D9"/>
            <w:tcMar>
              <w:top w:w="72" w:type="dxa"/>
              <w:left w:w="144" w:type="dxa"/>
              <w:bottom w:w="72" w:type="dxa"/>
              <w:right w:w="144" w:type="dxa"/>
            </w:tcMar>
          </w:tcPr>
          <w:p w14:paraId="18367CD7" w14:textId="77777777" w:rsidR="00425098" w:rsidRPr="00650114" w:rsidRDefault="00425098">
            <w:pPr>
              <w:pStyle w:val="TableHeading"/>
              <w:spacing w:before="0"/>
              <w:rPr>
                <w:rFonts w:ascii="Arial" w:hAnsi="Arial" w:cs="Arial"/>
              </w:rPr>
            </w:pPr>
          </w:p>
        </w:tc>
        <w:tc>
          <w:tcPr>
            <w:tcW w:w="1776" w:type="pct"/>
            <w:vMerge/>
            <w:shd w:val="clear" w:color="auto" w:fill="auto"/>
            <w:vAlign w:val="center"/>
          </w:tcPr>
          <w:p w14:paraId="7D600A29"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872C0BA" w14:textId="77777777" w:rsidR="00425098" w:rsidRPr="000A53C0" w:rsidRDefault="00425098">
            <w:pPr>
              <w:pStyle w:val="TableBody"/>
              <w:widowControl w:val="0"/>
              <w:spacing w:before="0" w:after="0"/>
              <w:rPr>
                <w:rFonts w:cs="Arial"/>
                <w:b/>
                <w:color w:val="262626" w:themeColor="text1" w:themeTint="D9"/>
                <w:szCs w:val="18"/>
              </w:rPr>
            </w:pPr>
            <w:r w:rsidRPr="000A53C0">
              <w:rPr>
                <w:rFonts w:cs="Arial"/>
                <w:b/>
                <w:color w:val="262626" w:themeColor="text1" w:themeTint="D9"/>
                <w:szCs w:val="18"/>
              </w:rPr>
              <w:t xml:space="preserve">Time period: </w:t>
            </w:r>
            <w:r w:rsidRPr="000A53C0">
              <w:rPr>
                <w:rFonts w:cs="Arial"/>
                <w:color w:val="262626" w:themeColor="text1" w:themeTint="D9"/>
                <w:szCs w:val="18"/>
              </w:rPr>
              <w:t>year before prohibition takes effect</w:t>
            </w:r>
          </w:p>
        </w:tc>
      </w:tr>
      <w:tr w:rsidR="00425098" w:rsidRPr="000A53C0" w14:paraId="375640F4" w14:textId="77777777" w:rsidTr="00C142B0">
        <w:trPr>
          <w:trHeight w:val="366"/>
        </w:trPr>
        <w:tc>
          <w:tcPr>
            <w:tcW w:w="259" w:type="pct"/>
            <w:vMerge w:val="restart"/>
            <w:shd w:val="clear" w:color="auto" w:fill="D9D9D9" w:themeFill="background1" w:themeFillShade="D9"/>
            <w:vAlign w:val="center"/>
          </w:tcPr>
          <w:p w14:paraId="003BEB8B" w14:textId="77777777" w:rsidR="00425098" w:rsidRPr="00650114" w:rsidRDefault="00425098">
            <w:pPr>
              <w:pStyle w:val="TableHeading"/>
              <w:spacing w:before="0"/>
              <w:jc w:val="center"/>
              <w:rPr>
                <w:rFonts w:ascii="Arial" w:hAnsi="Arial" w:cs="Arial"/>
              </w:rPr>
            </w:pPr>
            <w:r w:rsidRPr="00650114">
              <w:rPr>
                <w:rFonts w:ascii="Arial" w:hAnsi="Arial" w:cs="Arial"/>
              </w:rPr>
              <w:t>#11</w:t>
            </w:r>
          </w:p>
        </w:tc>
        <w:tc>
          <w:tcPr>
            <w:tcW w:w="1150" w:type="pct"/>
            <w:vMerge w:val="restart"/>
            <w:shd w:val="clear" w:color="auto" w:fill="D9D9D9" w:themeFill="background1" w:themeFillShade="D9"/>
            <w:tcMar>
              <w:top w:w="72" w:type="dxa"/>
              <w:left w:w="144" w:type="dxa"/>
              <w:bottom w:w="72" w:type="dxa"/>
              <w:right w:w="144" w:type="dxa"/>
            </w:tcMar>
            <w:vAlign w:val="center"/>
          </w:tcPr>
          <w:p w14:paraId="15C7D9A3" w14:textId="77777777" w:rsidR="00425098" w:rsidRPr="00650114" w:rsidRDefault="00425098">
            <w:pPr>
              <w:pStyle w:val="TableHeading"/>
              <w:spacing w:before="0"/>
              <w:rPr>
                <w:rFonts w:ascii="Arial" w:hAnsi="Arial" w:cs="Arial"/>
                <w:sz w:val="18"/>
                <w:szCs w:val="18"/>
              </w:rPr>
            </w:pPr>
            <w:r w:rsidRPr="00650114">
              <w:rPr>
                <w:rFonts w:ascii="Arial" w:hAnsi="Arial" w:cs="Arial"/>
                <w:sz w:val="18"/>
                <w:szCs w:val="18"/>
              </w:rPr>
              <w:t>Processing of licences</w:t>
            </w:r>
          </w:p>
        </w:tc>
        <w:tc>
          <w:tcPr>
            <w:tcW w:w="1776" w:type="pct"/>
            <w:vMerge w:val="restart"/>
            <w:shd w:val="clear" w:color="auto" w:fill="auto"/>
            <w:vAlign w:val="center"/>
          </w:tcPr>
          <w:p w14:paraId="2EF50727" w14:textId="77777777" w:rsidR="00425098" w:rsidRPr="000A53C0" w:rsidRDefault="00425098">
            <w:pPr>
              <w:pStyle w:val="TableBody"/>
              <w:jc w:val="center"/>
              <w:rPr>
                <w:rFonts w:cs="Arial"/>
                <w:b/>
                <w:color w:val="262626" w:themeColor="text1" w:themeTint="D9"/>
                <w:szCs w:val="18"/>
              </w:rPr>
            </w:pPr>
            <w:r w:rsidRPr="000A53C0">
              <w:rPr>
                <w:rFonts w:cs="Arial"/>
                <w:b/>
                <w:szCs w:val="18"/>
              </w:rPr>
              <w:t>Total cost to process licence applications per annum</w:t>
            </w:r>
          </w:p>
          <w:p w14:paraId="09202936"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31D9B198" w14:textId="77777777" w:rsidR="00425098" w:rsidRPr="000A53C0" w:rsidRDefault="00425098">
            <w:pPr>
              <w:pStyle w:val="TableBody"/>
              <w:jc w:val="center"/>
              <w:rPr>
                <w:rFonts w:cs="Arial"/>
                <w:szCs w:val="18"/>
              </w:rPr>
            </w:pPr>
            <w:r w:rsidRPr="000A53C0">
              <w:rPr>
                <w:rFonts w:cs="Arial"/>
                <w:szCs w:val="18"/>
              </w:rPr>
              <w:t xml:space="preserve">Number of engineered stone and other industry PCBUs applying for licence </w:t>
            </w:r>
          </w:p>
          <w:p w14:paraId="077ED7CF" w14:textId="77777777" w:rsidR="00425098" w:rsidRPr="000A53C0" w:rsidRDefault="00425098">
            <w:pPr>
              <w:pStyle w:val="TableBody"/>
              <w:jc w:val="center"/>
              <w:rPr>
                <w:rFonts w:cs="Arial"/>
                <w:szCs w:val="18"/>
              </w:rPr>
            </w:pPr>
            <w:r w:rsidRPr="000A53C0">
              <w:rPr>
                <w:rFonts w:cs="Arial"/>
                <w:szCs w:val="18"/>
              </w:rPr>
              <w:lastRenderedPageBreak/>
              <w:t>x</w:t>
            </w:r>
          </w:p>
          <w:p w14:paraId="2829CD88" w14:textId="77777777" w:rsidR="00425098" w:rsidRPr="000A53C0" w:rsidRDefault="00425098">
            <w:pPr>
              <w:pStyle w:val="TableBody"/>
              <w:jc w:val="center"/>
              <w:rPr>
                <w:rFonts w:cs="Arial"/>
                <w:color w:val="262626" w:themeColor="text1" w:themeTint="D9"/>
                <w:szCs w:val="18"/>
              </w:rPr>
            </w:pPr>
            <w:r w:rsidRPr="000A53C0">
              <w:rPr>
                <w:rFonts w:cs="Arial"/>
                <w:szCs w:val="18"/>
              </w:rPr>
              <w:t>Number of workers to assess applications p.a.</w:t>
            </w:r>
          </w:p>
          <w:p w14:paraId="66BEB01F" w14:textId="77777777" w:rsidR="00425098" w:rsidRPr="000A53C0" w:rsidRDefault="00425098">
            <w:pPr>
              <w:pStyle w:val="TableBody"/>
              <w:jc w:val="center"/>
              <w:rPr>
                <w:rFonts w:cs="Arial"/>
                <w:color w:val="262626" w:themeColor="text1" w:themeTint="D9"/>
                <w:szCs w:val="18"/>
              </w:rPr>
            </w:pPr>
            <w:r w:rsidRPr="000A53C0">
              <w:rPr>
                <w:rFonts w:cs="Arial"/>
                <w:szCs w:val="18"/>
              </w:rPr>
              <w:t>x</w:t>
            </w:r>
          </w:p>
          <w:p w14:paraId="3C778DAC" w14:textId="77777777" w:rsidR="00425098" w:rsidRPr="000A53C0" w:rsidRDefault="00425098">
            <w:pPr>
              <w:pStyle w:val="TableBody"/>
              <w:jc w:val="center"/>
              <w:rPr>
                <w:rFonts w:cs="Arial"/>
                <w:szCs w:val="18"/>
              </w:rPr>
            </w:pPr>
            <w:r w:rsidRPr="000A53C0">
              <w:rPr>
                <w:rFonts w:cs="Arial"/>
                <w:szCs w:val="18"/>
              </w:rPr>
              <w:t>Hours to assess applications p.a.</w:t>
            </w:r>
          </w:p>
          <w:p w14:paraId="5182D55A" w14:textId="77777777" w:rsidR="00425098" w:rsidRPr="000A53C0" w:rsidRDefault="00425098">
            <w:pPr>
              <w:pStyle w:val="TableBody"/>
              <w:jc w:val="center"/>
              <w:rPr>
                <w:rFonts w:cs="Arial"/>
                <w:color w:val="262626" w:themeColor="text1" w:themeTint="D9"/>
                <w:szCs w:val="18"/>
              </w:rPr>
            </w:pPr>
            <w:r w:rsidRPr="000A53C0">
              <w:rPr>
                <w:rFonts w:cs="Arial"/>
                <w:szCs w:val="18"/>
              </w:rPr>
              <w:t>x</w:t>
            </w:r>
          </w:p>
          <w:p w14:paraId="233FBDAE" w14:textId="77777777" w:rsidR="00425098" w:rsidRPr="000A53C0" w:rsidRDefault="00425098">
            <w:pPr>
              <w:pStyle w:val="TableBody"/>
              <w:jc w:val="center"/>
              <w:rPr>
                <w:rFonts w:cs="Arial"/>
                <w:szCs w:val="18"/>
              </w:rPr>
            </w:pPr>
            <w:r w:rsidRPr="000A53C0">
              <w:rPr>
                <w:rFonts w:cs="Arial"/>
                <w:szCs w:val="18"/>
              </w:rPr>
              <w:t>Average wage/hour ($)</w:t>
            </w:r>
          </w:p>
          <w:p w14:paraId="5F5C89D6"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x</w:t>
            </w:r>
          </w:p>
          <w:p w14:paraId="7C20B779" w14:textId="77777777" w:rsidR="00425098" w:rsidRPr="000A53C0" w:rsidRDefault="00425098">
            <w:pPr>
              <w:pStyle w:val="TableBody"/>
              <w:jc w:val="center"/>
              <w:rPr>
                <w:rFonts w:cs="Arial"/>
                <w:color w:val="262626" w:themeColor="text1" w:themeTint="D9"/>
                <w:szCs w:val="18"/>
              </w:rPr>
            </w:pPr>
            <w:r w:rsidRPr="000A53C0">
              <w:rPr>
                <w:rFonts w:cs="Arial"/>
                <w:color w:val="262626" w:themeColor="text1" w:themeTint="D9"/>
                <w:szCs w:val="18"/>
              </w:rPr>
              <w:t>Number of jurisdictions</w:t>
            </w:r>
          </w:p>
        </w:tc>
        <w:tc>
          <w:tcPr>
            <w:tcW w:w="1815" w:type="pct"/>
            <w:shd w:val="clear" w:color="auto" w:fill="auto"/>
            <w:vAlign w:val="center"/>
          </w:tcPr>
          <w:p w14:paraId="0E2B89E8"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lastRenderedPageBreak/>
              <w:t xml:space="preserve">Number of engineered stone and other industry PCBUs applying for licence: </w:t>
            </w:r>
            <w:r w:rsidRPr="000A53C0">
              <w:rPr>
                <w:rFonts w:ascii="Arial" w:hAnsi="Arial" w:cs="Arial"/>
                <w:b w:val="0"/>
                <w:sz w:val="18"/>
                <w:szCs w:val="18"/>
              </w:rPr>
              <w:t>See Ref#3 and 4 [Assumption that all license applicants are successful, to be conservative in estimation of costs]</w:t>
            </w:r>
          </w:p>
        </w:tc>
      </w:tr>
      <w:tr w:rsidR="00425098" w:rsidRPr="000A53C0" w14:paraId="547DC7AA" w14:textId="77777777" w:rsidTr="00C142B0">
        <w:trPr>
          <w:trHeight w:val="365"/>
        </w:trPr>
        <w:tc>
          <w:tcPr>
            <w:tcW w:w="259" w:type="pct"/>
            <w:vMerge/>
            <w:shd w:val="clear" w:color="auto" w:fill="D9D9D9" w:themeFill="background1" w:themeFillShade="D9"/>
            <w:vAlign w:val="center"/>
          </w:tcPr>
          <w:p w14:paraId="0306A8E9"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vAlign w:val="center"/>
          </w:tcPr>
          <w:p w14:paraId="318AA513"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2EEB86BF" w14:textId="77777777" w:rsidR="00425098" w:rsidRPr="000A53C0" w:rsidRDefault="00425098">
            <w:pPr>
              <w:pStyle w:val="TableBody"/>
              <w:jc w:val="center"/>
              <w:rPr>
                <w:rFonts w:cs="Arial"/>
                <w:b/>
                <w:szCs w:val="18"/>
              </w:rPr>
            </w:pPr>
          </w:p>
        </w:tc>
        <w:tc>
          <w:tcPr>
            <w:tcW w:w="1815" w:type="pct"/>
            <w:shd w:val="clear" w:color="auto" w:fill="auto"/>
            <w:vAlign w:val="center"/>
          </w:tcPr>
          <w:p w14:paraId="1C9D2AC0"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Number of workers to assess applications per annum: </w:t>
            </w:r>
            <w:r w:rsidRPr="000A53C0">
              <w:rPr>
                <w:rFonts w:ascii="Arial" w:hAnsi="Arial" w:cs="Arial"/>
                <w:b w:val="0"/>
                <w:sz w:val="18"/>
                <w:szCs w:val="18"/>
              </w:rPr>
              <w:t>1 APS6</w:t>
            </w:r>
            <w:r w:rsidRPr="000A53C0">
              <w:rPr>
                <w:rFonts w:ascii="Arial" w:hAnsi="Arial" w:cs="Arial"/>
                <w:sz w:val="18"/>
                <w:szCs w:val="18"/>
              </w:rPr>
              <w:t xml:space="preserve"> </w:t>
            </w:r>
            <w:r w:rsidRPr="000A53C0">
              <w:rPr>
                <w:rFonts w:ascii="Arial" w:hAnsi="Arial" w:cs="Arial"/>
                <w:b w:val="0"/>
                <w:sz w:val="18"/>
                <w:szCs w:val="18"/>
              </w:rPr>
              <w:t>per jurisdiction</w:t>
            </w:r>
            <w:r w:rsidRPr="000A53C0">
              <w:rPr>
                <w:rStyle w:val="FootnoteReference"/>
                <w:rFonts w:ascii="Arial" w:hAnsi="Arial" w:cs="Arial"/>
                <w:b w:val="0"/>
                <w:sz w:val="18"/>
                <w:szCs w:val="18"/>
              </w:rPr>
              <w:footnoteReference w:id="72"/>
            </w:r>
          </w:p>
        </w:tc>
      </w:tr>
      <w:tr w:rsidR="00425098" w:rsidRPr="000A53C0" w14:paraId="4742AE0F" w14:textId="77777777" w:rsidTr="00C142B0">
        <w:trPr>
          <w:trHeight w:val="518"/>
        </w:trPr>
        <w:tc>
          <w:tcPr>
            <w:tcW w:w="259" w:type="pct"/>
            <w:vMerge/>
            <w:shd w:val="clear" w:color="auto" w:fill="D9D9D9" w:themeFill="background1" w:themeFillShade="D9"/>
          </w:tcPr>
          <w:p w14:paraId="78619C45"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53B50943"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63313577" w14:textId="77777777" w:rsidR="00425098" w:rsidRPr="000A53C0" w:rsidRDefault="00425098">
            <w:pPr>
              <w:pStyle w:val="TableBody"/>
              <w:jc w:val="center"/>
              <w:rPr>
                <w:rFonts w:cs="Arial"/>
                <w:b/>
                <w:szCs w:val="18"/>
              </w:rPr>
            </w:pPr>
          </w:p>
        </w:tc>
        <w:tc>
          <w:tcPr>
            <w:tcW w:w="1815" w:type="pct"/>
            <w:shd w:val="clear" w:color="auto" w:fill="auto"/>
            <w:vAlign w:val="center"/>
          </w:tcPr>
          <w:p w14:paraId="71DD062C" w14:textId="77777777" w:rsidR="00425098" w:rsidRPr="000A53C0" w:rsidRDefault="00425098">
            <w:pPr>
              <w:pStyle w:val="TableHeading"/>
              <w:widowControl w:val="0"/>
              <w:spacing w:before="0"/>
              <w:rPr>
                <w:rFonts w:ascii="Arial" w:hAnsi="Arial" w:cs="Arial"/>
                <w:b w:val="0"/>
                <w:sz w:val="18"/>
                <w:szCs w:val="18"/>
              </w:rPr>
            </w:pPr>
            <w:r w:rsidRPr="000A53C0">
              <w:rPr>
                <w:rFonts w:ascii="Arial" w:hAnsi="Arial" w:cs="Arial"/>
                <w:sz w:val="18"/>
                <w:szCs w:val="18"/>
              </w:rPr>
              <w:t xml:space="preserve">Hours to assess applications per annum: </w:t>
            </w:r>
            <w:r w:rsidRPr="000A53C0">
              <w:rPr>
                <w:rFonts w:ascii="Arial" w:hAnsi="Arial" w:cs="Arial"/>
                <w:b w:val="0"/>
                <w:sz w:val="18"/>
                <w:szCs w:val="18"/>
              </w:rPr>
              <w:t>2</w:t>
            </w:r>
            <w:r w:rsidRPr="000A53C0">
              <w:rPr>
                <w:rStyle w:val="FootnoteReference"/>
                <w:rFonts w:ascii="Arial" w:hAnsi="Arial" w:cs="Arial"/>
                <w:b w:val="0"/>
                <w:sz w:val="18"/>
                <w:szCs w:val="18"/>
              </w:rPr>
              <w:footnoteReference w:id="73"/>
            </w:r>
          </w:p>
        </w:tc>
      </w:tr>
      <w:tr w:rsidR="00425098" w:rsidRPr="000A53C0" w14:paraId="3A595EF0" w14:textId="77777777" w:rsidTr="00C142B0">
        <w:trPr>
          <w:trHeight w:val="518"/>
        </w:trPr>
        <w:tc>
          <w:tcPr>
            <w:tcW w:w="259" w:type="pct"/>
            <w:vMerge/>
            <w:shd w:val="clear" w:color="auto" w:fill="D9D9D9" w:themeFill="background1" w:themeFillShade="D9"/>
          </w:tcPr>
          <w:p w14:paraId="641C5AD3"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2ED547A4"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472A2323" w14:textId="77777777" w:rsidR="00425098" w:rsidRPr="000A53C0" w:rsidRDefault="00425098">
            <w:pPr>
              <w:pStyle w:val="TableBody"/>
              <w:jc w:val="center"/>
              <w:rPr>
                <w:rFonts w:cs="Arial"/>
                <w:b/>
                <w:szCs w:val="18"/>
              </w:rPr>
            </w:pPr>
          </w:p>
        </w:tc>
        <w:tc>
          <w:tcPr>
            <w:tcW w:w="1815" w:type="pct"/>
            <w:shd w:val="clear" w:color="auto" w:fill="auto"/>
            <w:vAlign w:val="center"/>
          </w:tcPr>
          <w:p w14:paraId="3692D746" w14:textId="2CA45352" w:rsidR="00425098" w:rsidRPr="000A53C0" w:rsidRDefault="00425098">
            <w:pPr>
              <w:pStyle w:val="TableHeading"/>
              <w:widowControl w:val="0"/>
              <w:spacing w:before="0"/>
              <w:rPr>
                <w:rFonts w:ascii="Arial" w:hAnsi="Arial" w:cs="Arial"/>
                <w:sz w:val="18"/>
                <w:szCs w:val="18"/>
              </w:rPr>
            </w:pPr>
            <w:r w:rsidRPr="000A53C0">
              <w:rPr>
                <w:rFonts w:ascii="Arial" w:hAnsi="Arial" w:cs="Arial"/>
                <w:bCs/>
                <w:sz w:val="18"/>
                <w:szCs w:val="18"/>
              </w:rPr>
              <w:t xml:space="preserve">Average wage/hour ($): </w:t>
            </w:r>
            <w:r w:rsidRPr="000A53C0">
              <w:rPr>
                <w:rFonts w:ascii="Arial" w:hAnsi="Arial" w:cs="Arial"/>
                <w:b w:val="0"/>
                <w:sz w:val="18"/>
                <w:szCs w:val="18"/>
              </w:rPr>
              <w:t>$</w:t>
            </w:r>
            <w:r w:rsidRPr="000A53C0">
              <w:rPr>
                <w:rFonts w:ascii="Arial" w:hAnsi="Arial" w:cs="Arial"/>
                <w:b w:val="0"/>
                <w:bCs/>
                <w:sz w:val="18"/>
                <w:szCs w:val="18"/>
              </w:rPr>
              <w:t>57.96 (</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bCs/>
                <w:sz w:val="18"/>
                <w:szCs w:val="18"/>
              </w:rPr>
              <w:t>)</w:t>
            </w:r>
          </w:p>
        </w:tc>
      </w:tr>
      <w:tr w:rsidR="00425098" w:rsidRPr="000A53C0" w14:paraId="4AEBFD19" w14:textId="77777777" w:rsidTr="00C142B0">
        <w:trPr>
          <w:trHeight w:val="327"/>
        </w:trPr>
        <w:tc>
          <w:tcPr>
            <w:tcW w:w="259" w:type="pct"/>
            <w:vMerge/>
            <w:shd w:val="clear" w:color="auto" w:fill="D9D9D9" w:themeFill="background1" w:themeFillShade="D9"/>
          </w:tcPr>
          <w:p w14:paraId="119BF41C"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26F07E43"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73288AA2" w14:textId="77777777" w:rsidR="00425098" w:rsidRPr="000A53C0" w:rsidRDefault="00425098">
            <w:pPr>
              <w:pStyle w:val="TableBody"/>
              <w:jc w:val="center"/>
              <w:rPr>
                <w:rFonts w:cs="Arial"/>
                <w:b/>
                <w:szCs w:val="18"/>
              </w:rPr>
            </w:pPr>
          </w:p>
        </w:tc>
        <w:tc>
          <w:tcPr>
            <w:tcW w:w="1815" w:type="pct"/>
            <w:shd w:val="clear" w:color="auto" w:fill="auto"/>
            <w:vAlign w:val="center"/>
          </w:tcPr>
          <w:p w14:paraId="755B4ED3" w14:textId="77777777" w:rsidR="00425098" w:rsidRPr="000A53C0" w:rsidRDefault="00425098">
            <w:pPr>
              <w:pStyle w:val="TableHeading"/>
              <w:widowControl w:val="0"/>
              <w:spacing w:before="0"/>
              <w:rPr>
                <w:rFonts w:ascii="Arial" w:hAnsi="Arial" w:cs="Arial"/>
                <w:bCs/>
                <w:sz w:val="18"/>
                <w:szCs w:val="18"/>
              </w:rPr>
            </w:pPr>
            <w:r w:rsidRPr="000A53C0">
              <w:rPr>
                <w:rFonts w:ascii="Arial" w:hAnsi="Arial" w:cs="Arial"/>
                <w:color w:val="262626" w:themeColor="text1" w:themeTint="D9"/>
                <w:sz w:val="18"/>
                <w:szCs w:val="18"/>
              </w:rPr>
              <w:t>Number of jurisdictions</w:t>
            </w:r>
            <w:r w:rsidRPr="000A53C0">
              <w:rPr>
                <w:rFonts w:ascii="Arial" w:hAnsi="Arial" w:cs="Arial"/>
                <w:b w:val="0"/>
                <w:bCs/>
                <w:color w:val="262626" w:themeColor="text1" w:themeTint="D9"/>
                <w:sz w:val="18"/>
                <w:szCs w:val="18"/>
              </w:rPr>
              <w:t>: 7 (</w:t>
            </w:r>
            <w:r w:rsidRPr="000A53C0">
              <w:rPr>
                <w:rFonts w:ascii="Arial" w:hAnsi="Arial" w:cs="Arial"/>
                <w:b w:val="0"/>
                <w:bCs/>
                <w:sz w:val="18"/>
                <w:szCs w:val="18"/>
              </w:rPr>
              <w:t>Excludes Victoria)</w:t>
            </w:r>
          </w:p>
        </w:tc>
      </w:tr>
      <w:tr w:rsidR="00425098" w:rsidRPr="000A53C0" w14:paraId="2C0A0ED4" w14:textId="77777777" w:rsidTr="00C142B0">
        <w:trPr>
          <w:trHeight w:val="327"/>
        </w:trPr>
        <w:tc>
          <w:tcPr>
            <w:tcW w:w="259" w:type="pct"/>
            <w:vMerge/>
            <w:shd w:val="clear" w:color="auto" w:fill="D9D9D9" w:themeFill="background1" w:themeFillShade="D9"/>
          </w:tcPr>
          <w:p w14:paraId="5A597914"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3586DBAB"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11A5FC13" w14:textId="77777777" w:rsidR="00425098" w:rsidRPr="000A53C0" w:rsidRDefault="00425098">
            <w:pPr>
              <w:pStyle w:val="TableBody"/>
              <w:jc w:val="center"/>
              <w:rPr>
                <w:rFonts w:cs="Arial"/>
                <w:b/>
                <w:szCs w:val="18"/>
              </w:rPr>
            </w:pPr>
          </w:p>
        </w:tc>
        <w:tc>
          <w:tcPr>
            <w:tcW w:w="1815" w:type="pct"/>
            <w:shd w:val="clear" w:color="auto" w:fill="auto"/>
            <w:vAlign w:val="center"/>
          </w:tcPr>
          <w:p w14:paraId="27C42D49" w14:textId="77777777" w:rsidR="00425098" w:rsidRPr="000A53C0" w:rsidRDefault="00425098">
            <w:pPr>
              <w:pStyle w:val="TableHeading"/>
              <w:widowControl w:val="0"/>
              <w:spacing w:before="0"/>
              <w:rPr>
                <w:rFonts w:ascii="Arial" w:hAnsi="Arial" w:cs="Arial"/>
                <w:color w:val="262626" w:themeColor="text1" w:themeTint="D9"/>
                <w:sz w:val="18"/>
                <w:szCs w:val="18"/>
                <w:highlight w:val="green"/>
              </w:rPr>
            </w:pPr>
            <w:r w:rsidRPr="000A53C0">
              <w:rPr>
                <w:rFonts w:ascii="Arial" w:hAnsi="Arial" w:cs="Arial"/>
                <w:color w:val="262626" w:themeColor="text1" w:themeTint="D9"/>
                <w:sz w:val="18"/>
                <w:szCs w:val="18"/>
              </w:rPr>
              <w:t xml:space="preserve">Time period: </w:t>
            </w:r>
            <w:r w:rsidRPr="000A53C0">
              <w:rPr>
                <w:rFonts w:ascii="Arial" w:hAnsi="Arial" w:cs="Arial"/>
                <w:b w:val="0"/>
                <w:color w:val="262626" w:themeColor="text1" w:themeTint="D9"/>
                <w:sz w:val="18"/>
                <w:szCs w:val="18"/>
              </w:rPr>
              <w:t>same years as licence applications, see Ref#6</w:t>
            </w:r>
          </w:p>
        </w:tc>
      </w:tr>
      <w:tr w:rsidR="00425098" w:rsidRPr="000A53C0" w14:paraId="63C96A39" w14:textId="77777777" w:rsidTr="00C142B0">
        <w:trPr>
          <w:trHeight w:val="554"/>
        </w:trPr>
        <w:tc>
          <w:tcPr>
            <w:tcW w:w="259" w:type="pct"/>
            <w:vMerge w:val="restart"/>
            <w:shd w:val="clear" w:color="auto" w:fill="D9D9D9" w:themeFill="background1" w:themeFillShade="D9"/>
            <w:vAlign w:val="center"/>
          </w:tcPr>
          <w:p w14:paraId="18E7B588" w14:textId="77777777" w:rsidR="00425098" w:rsidRPr="00670753" w:rsidRDefault="00425098">
            <w:pPr>
              <w:pStyle w:val="TableHeading"/>
              <w:spacing w:before="0"/>
              <w:jc w:val="center"/>
              <w:rPr>
                <w:rFonts w:ascii="Arial" w:hAnsi="Arial" w:cs="Arial"/>
              </w:rPr>
            </w:pPr>
            <w:r w:rsidRPr="00670753">
              <w:rPr>
                <w:rFonts w:ascii="Arial" w:hAnsi="Arial" w:cs="Arial"/>
              </w:rPr>
              <w:t>#12</w:t>
            </w:r>
          </w:p>
        </w:tc>
        <w:tc>
          <w:tcPr>
            <w:tcW w:w="1150" w:type="pct"/>
            <w:vMerge w:val="restart"/>
            <w:shd w:val="clear" w:color="auto" w:fill="D9D9D9" w:themeFill="background1" w:themeFillShade="D9"/>
            <w:tcMar>
              <w:top w:w="72" w:type="dxa"/>
              <w:left w:w="144" w:type="dxa"/>
              <w:bottom w:w="72" w:type="dxa"/>
              <w:right w:w="144" w:type="dxa"/>
            </w:tcMar>
            <w:vAlign w:val="center"/>
          </w:tcPr>
          <w:p w14:paraId="0C2BE612" w14:textId="77777777" w:rsidR="00425098" w:rsidRPr="00670753" w:rsidRDefault="00425098">
            <w:pPr>
              <w:pStyle w:val="TableHeading"/>
              <w:spacing w:before="0"/>
              <w:rPr>
                <w:rFonts w:ascii="Arial" w:hAnsi="Arial" w:cs="Arial"/>
                <w:sz w:val="18"/>
                <w:szCs w:val="18"/>
              </w:rPr>
            </w:pPr>
            <w:r w:rsidRPr="00670753">
              <w:rPr>
                <w:rFonts w:ascii="Arial" w:hAnsi="Arial" w:cs="Arial"/>
                <w:sz w:val="18"/>
                <w:szCs w:val="18"/>
              </w:rPr>
              <w:t>Prepare and conduct compliance audits</w:t>
            </w:r>
          </w:p>
        </w:tc>
        <w:tc>
          <w:tcPr>
            <w:tcW w:w="1776" w:type="pct"/>
            <w:vMerge w:val="restart"/>
            <w:shd w:val="clear" w:color="auto" w:fill="auto"/>
            <w:vAlign w:val="center"/>
          </w:tcPr>
          <w:p w14:paraId="0B25F4D8" w14:textId="77777777" w:rsidR="00425098" w:rsidRPr="000A53C0" w:rsidRDefault="00425098">
            <w:pPr>
              <w:pStyle w:val="TableBody"/>
              <w:jc w:val="center"/>
              <w:rPr>
                <w:rFonts w:cs="Arial"/>
                <w:b/>
                <w:color w:val="262626" w:themeColor="text1" w:themeTint="D9"/>
                <w:szCs w:val="18"/>
              </w:rPr>
            </w:pPr>
            <w:r w:rsidRPr="000A53C0">
              <w:rPr>
                <w:rFonts w:cs="Arial"/>
                <w:b/>
                <w:szCs w:val="18"/>
              </w:rPr>
              <w:t>Total cost of compliance audits per annum</w:t>
            </w:r>
          </w:p>
          <w:p w14:paraId="4A2EADB4"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BCAA4CF" w14:textId="77777777" w:rsidR="00425098" w:rsidRPr="000A53C0" w:rsidRDefault="00425098">
            <w:pPr>
              <w:pStyle w:val="TableBody"/>
              <w:jc w:val="center"/>
              <w:rPr>
                <w:rFonts w:cs="Arial"/>
                <w:szCs w:val="18"/>
              </w:rPr>
            </w:pPr>
            <w:r w:rsidRPr="000A53C0">
              <w:rPr>
                <w:rFonts w:cs="Arial"/>
                <w:szCs w:val="18"/>
              </w:rPr>
              <w:t>Number of compliance audits p.a.</w:t>
            </w:r>
          </w:p>
          <w:p w14:paraId="282191E9"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2AE76319" w14:textId="77777777" w:rsidR="00425098" w:rsidRPr="000A53C0" w:rsidRDefault="00425098">
            <w:pPr>
              <w:pStyle w:val="TableBody"/>
              <w:jc w:val="center"/>
              <w:rPr>
                <w:rFonts w:cs="Arial"/>
                <w:szCs w:val="18"/>
              </w:rPr>
            </w:pPr>
            <w:r w:rsidRPr="000A53C0">
              <w:rPr>
                <w:rFonts w:cs="Arial"/>
                <w:szCs w:val="18"/>
              </w:rPr>
              <w:t>Number and type of employees required per compliance audit</w:t>
            </w:r>
          </w:p>
          <w:p w14:paraId="09D18C8E"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4709C83A" w14:textId="77777777" w:rsidR="00425098" w:rsidRPr="000A53C0" w:rsidRDefault="00425098">
            <w:pPr>
              <w:pStyle w:val="TableBody"/>
              <w:jc w:val="center"/>
              <w:rPr>
                <w:rFonts w:cs="Arial"/>
                <w:color w:val="262626" w:themeColor="text1" w:themeTint="D9"/>
                <w:szCs w:val="18"/>
              </w:rPr>
            </w:pPr>
            <w:r w:rsidRPr="000A53C0">
              <w:rPr>
                <w:rFonts w:cs="Arial"/>
                <w:szCs w:val="18"/>
              </w:rPr>
              <w:t>Hours per employee to participate in compliance audits</w:t>
            </w:r>
          </w:p>
          <w:p w14:paraId="5D532C17"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5ACF5215" w14:textId="77777777" w:rsidR="00425098" w:rsidRPr="000A53C0" w:rsidRDefault="00425098">
            <w:pPr>
              <w:pStyle w:val="TableBody"/>
              <w:jc w:val="center"/>
              <w:rPr>
                <w:rFonts w:cs="Arial"/>
                <w:color w:val="262626" w:themeColor="text1" w:themeTint="D9"/>
                <w:szCs w:val="18"/>
              </w:rPr>
            </w:pPr>
            <w:r w:rsidRPr="000A53C0">
              <w:rPr>
                <w:rFonts w:cs="Arial"/>
                <w:szCs w:val="18"/>
              </w:rPr>
              <w:t>Average wage/hour ($)</w:t>
            </w:r>
          </w:p>
        </w:tc>
        <w:tc>
          <w:tcPr>
            <w:tcW w:w="1815" w:type="pct"/>
            <w:shd w:val="clear" w:color="auto" w:fill="auto"/>
            <w:vAlign w:val="center"/>
          </w:tcPr>
          <w:p w14:paraId="5E8CE6C3" w14:textId="77777777" w:rsidR="00425098" w:rsidRPr="000A53C0" w:rsidRDefault="00425098">
            <w:pPr>
              <w:pStyle w:val="TableBody"/>
              <w:rPr>
                <w:rFonts w:cs="Arial"/>
                <w:b/>
                <w:szCs w:val="18"/>
              </w:rPr>
            </w:pPr>
            <w:r w:rsidRPr="000A53C0">
              <w:rPr>
                <w:rFonts w:cs="Arial"/>
                <w:b/>
                <w:szCs w:val="18"/>
              </w:rPr>
              <w:t xml:space="preserve">Number of compliance audits per annum per licence holder per annum: </w:t>
            </w:r>
          </w:p>
          <w:p w14:paraId="5E7DBFB3" w14:textId="77777777" w:rsidR="00425098" w:rsidRPr="000A53C0" w:rsidRDefault="00425098">
            <w:pPr>
              <w:pStyle w:val="TableBody"/>
              <w:rPr>
                <w:rFonts w:cs="Arial"/>
                <w:szCs w:val="18"/>
              </w:rPr>
            </w:pPr>
            <w:r w:rsidRPr="000A53C0">
              <w:rPr>
                <w:rFonts w:cs="Arial"/>
                <w:szCs w:val="18"/>
              </w:rPr>
              <w:t>Engineered stone PCBUs: 0.33 per annum x number of licence holders (i.e. one audit every three years per licence holder); for licence holders see Ref#8</w:t>
            </w:r>
          </w:p>
          <w:p w14:paraId="19300F58" w14:textId="77777777" w:rsidR="00425098" w:rsidRPr="000A53C0" w:rsidRDefault="00425098">
            <w:pPr>
              <w:pStyle w:val="TableBody"/>
              <w:rPr>
                <w:rFonts w:cs="Arial"/>
                <w:b/>
                <w:szCs w:val="18"/>
                <w:highlight w:val="green"/>
              </w:rPr>
            </w:pPr>
            <w:r w:rsidRPr="000A53C0">
              <w:rPr>
                <w:rFonts w:cs="Arial"/>
                <w:szCs w:val="18"/>
              </w:rPr>
              <w:t>Other industry PCBUs:</w:t>
            </w:r>
            <w:r w:rsidRPr="000A53C0">
              <w:rPr>
                <w:rFonts w:cs="Arial"/>
                <w:b/>
                <w:szCs w:val="18"/>
              </w:rPr>
              <w:t xml:space="preserve"> </w:t>
            </w:r>
            <w:r w:rsidRPr="000A53C0">
              <w:rPr>
                <w:rFonts w:cs="Arial"/>
                <w:szCs w:val="18"/>
              </w:rPr>
              <w:t>0.2 x number of licence holders (i.e. one audit every five years per licence holder) ; for licence holders see Ref#8</w:t>
            </w:r>
          </w:p>
        </w:tc>
      </w:tr>
      <w:tr w:rsidR="00425098" w:rsidRPr="000A53C0" w14:paraId="772DB3D7" w14:textId="77777777" w:rsidTr="00C142B0">
        <w:trPr>
          <w:trHeight w:val="554"/>
        </w:trPr>
        <w:tc>
          <w:tcPr>
            <w:tcW w:w="259" w:type="pct"/>
            <w:vMerge/>
            <w:shd w:val="clear" w:color="auto" w:fill="D9D9D9" w:themeFill="background1" w:themeFillShade="D9"/>
          </w:tcPr>
          <w:p w14:paraId="40FD02F2"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4566C984"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134DB15C" w14:textId="77777777" w:rsidR="00425098" w:rsidRPr="000A53C0" w:rsidRDefault="00425098">
            <w:pPr>
              <w:pStyle w:val="TableBody"/>
              <w:jc w:val="center"/>
              <w:rPr>
                <w:rFonts w:cs="Arial"/>
                <w:b/>
                <w:szCs w:val="18"/>
              </w:rPr>
            </w:pPr>
          </w:p>
        </w:tc>
        <w:tc>
          <w:tcPr>
            <w:tcW w:w="1815" w:type="pct"/>
            <w:shd w:val="clear" w:color="auto" w:fill="auto"/>
            <w:vAlign w:val="center"/>
          </w:tcPr>
          <w:p w14:paraId="2699D92F"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Number of employees required per compliance audit: </w:t>
            </w:r>
            <w:r w:rsidRPr="000A53C0">
              <w:rPr>
                <w:rFonts w:ascii="Arial" w:hAnsi="Arial" w:cs="Arial"/>
                <w:b w:val="0"/>
                <w:bCs/>
                <w:sz w:val="18"/>
                <w:szCs w:val="18"/>
              </w:rPr>
              <w:t>2 (one APS6 and one EL1)</w:t>
            </w:r>
            <w:r w:rsidRPr="000A53C0">
              <w:rPr>
                <w:rStyle w:val="FootnoteReference"/>
                <w:rFonts w:ascii="Arial" w:hAnsi="Arial" w:cs="Arial"/>
                <w:b w:val="0"/>
                <w:bCs/>
                <w:sz w:val="18"/>
                <w:szCs w:val="18"/>
              </w:rPr>
              <w:footnoteReference w:id="74"/>
            </w:r>
          </w:p>
        </w:tc>
      </w:tr>
      <w:tr w:rsidR="00425098" w:rsidRPr="000A53C0" w14:paraId="29360F6C" w14:textId="77777777" w:rsidTr="00C142B0">
        <w:trPr>
          <w:trHeight w:val="554"/>
        </w:trPr>
        <w:tc>
          <w:tcPr>
            <w:tcW w:w="259" w:type="pct"/>
            <w:vMerge/>
            <w:shd w:val="clear" w:color="auto" w:fill="D9D9D9" w:themeFill="background1" w:themeFillShade="D9"/>
          </w:tcPr>
          <w:p w14:paraId="2F594228"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0E4BC689" w14:textId="77777777" w:rsidR="00425098" w:rsidRPr="000A53C0" w:rsidRDefault="00425098">
            <w:pPr>
              <w:pStyle w:val="TableHeading"/>
              <w:spacing w:before="0"/>
              <w:rPr>
                <w:rFonts w:ascii="Arial" w:hAnsi="Arial" w:cs="Arial"/>
                <w:color w:val="FFFFFF" w:themeColor="background1"/>
              </w:rPr>
            </w:pPr>
          </w:p>
        </w:tc>
        <w:tc>
          <w:tcPr>
            <w:tcW w:w="1776" w:type="pct"/>
            <w:vMerge/>
            <w:shd w:val="clear" w:color="auto" w:fill="auto"/>
            <w:vAlign w:val="center"/>
          </w:tcPr>
          <w:p w14:paraId="0C0C2C9F"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4A1881BD"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Hours per employee to participate in compliance audits: </w:t>
            </w:r>
            <w:r w:rsidRPr="000A53C0">
              <w:rPr>
                <w:rFonts w:ascii="Arial" w:hAnsi="Arial" w:cs="Arial"/>
                <w:b w:val="0"/>
                <w:sz w:val="18"/>
                <w:szCs w:val="18"/>
              </w:rPr>
              <w:t>8 hours</w:t>
            </w:r>
            <w:r w:rsidRPr="000A53C0">
              <w:rPr>
                <w:rStyle w:val="FootnoteReference"/>
                <w:rFonts w:ascii="Arial" w:hAnsi="Arial" w:cs="Arial"/>
                <w:b w:val="0"/>
                <w:sz w:val="18"/>
                <w:szCs w:val="18"/>
              </w:rPr>
              <w:footnoteReference w:id="75"/>
            </w:r>
          </w:p>
        </w:tc>
      </w:tr>
      <w:tr w:rsidR="00425098" w:rsidRPr="000A53C0" w14:paraId="7FEB661C" w14:textId="77777777" w:rsidTr="00C142B0">
        <w:trPr>
          <w:trHeight w:val="305"/>
        </w:trPr>
        <w:tc>
          <w:tcPr>
            <w:tcW w:w="259" w:type="pct"/>
            <w:vMerge/>
            <w:shd w:val="clear" w:color="auto" w:fill="D9D9D9" w:themeFill="background1" w:themeFillShade="D9"/>
          </w:tcPr>
          <w:p w14:paraId="19FA5AF5"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34802FBD" w14:textId="77777777" w:rsidR="00425098" w:rsidRPr="000A53C0" w:rsidRDefault="00425098">
            <w:pPr>
              <w:pStyle w:val="TableHeading"/>
              <w:spacing w:before="0"/>
              <w:rPr>
                <w:rFonts w:ascii="Arial" w:hAnsi="Arial" w:cs="Arial"/>
                <w:color w:val="FFFFFF" w:themeColor="background1"/>
              </w:rPr>
            </w:pPr>
          </w:p>
        </w:tc>
        <w:tc>
          <w:tcPr>
            <w:tcW w:w="1776" w:type="pct"/>
            <w:vMerge/>
            <w:shd w:val="clear" w:color="auto" w:fill="auto"/>
            <w:vAlign w:val="center"/>
          </w:tcPr>
          <w:p w14:paraId="34B42B1F"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EE70658" w14:textId="26F3FAB1"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Average wage/hour ($)</w:t>
            </w:r>
            <w:r w:rsidRPr="000A53C0">
              <w:rPr>
                <w:rFonts w:ascii="Arial" w:hAnsi="Arial" w:cs="Arial"/>
                <w:b w:val="0"/>
                <w:bCs/>
                <w:sz w:val="18"/>
                <w:szCs w:val="18"/>
              </w:rPr>
              <w:t xml:space="preserve">: </w:t>
            </w:r>
            <w:r w:rsidRPr="000A53C0">
              <w:rPr>
                <w:rFonts w:ascii="Arial" w:hAnsi="Arial" w:cs="Arial"/>
                <w:b w:val="0"/>
                <w:bCs/>
                <w:szCs w:val="18"/>
              </w:rPr>
              <w:t>$</w:t>
            </w:r>
            <w:r w:rsidRPr="000A53C0">
              <w:rPr>
                <w:rFonts w:ascii="Arial" w:hAnsi="Arial" w:cs="Arial"/>
                <w:b w:val="0"/>
                <w:bCs/>
                <w:sz w:val="18"/>
                <w:szCs w:val="18"/>
              </w:rPr>
              <w:t xml:space="preserve">57.96 and $72.47 respectively </w:t>
            </w:r>
            <w:r w:rsidRPr="000A53C0">
              <w:rPr>
                <w:rFonts w:ascii="Arial" w:hAnsi="Arial" w:cs="Arial"/>
                <w:b w:val="0"/>
                <w:bCs/>
                <w:sz w:val="18"/>
                <w:szCs w:val="18"/>
              </w:rPr>
              <w:lastRenderedPageBreak/>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p>
        </w:tc>
      </w:tr>
      <w:tr w:rsidR="00425098" w:rsidRPr="000A53C0" w14:paraId="55974F64" w14:textId="77777777" w:rsidTr="00C142B0">
        <w:trPr>
          <w:trHeight w:val="304"/>
        </w:trPr>
        <w:tc>
          <w:tcPr>
            <w:tcW w:w="259" w:type="pct"/>
            <w:vMerge/>
            <w:shd w:val="clear" w:color="auto" w:fill="D9D9D9" w:themeFill="background1" w:themeFillShade="D9"/>
          </w:tcPr>
          <w:p w14:paraId="04B94207" w14:textId="77777777" w:rsidR="00425098" w:rsidRPr="000A53C0" w:rsidRDefault="00425098">
            <w:pPr>
              <w:pStyle w:val="TableHeading"/>
              <w:spacing w:before="0"/>
              <w:jc w:val="center"/>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5226B1C7" w14:textId="77777777" w:rsidR="00425098" w:rsidRPr="000A53C0" w:rsidRDefault="00425098">
            <w:pPr>
              <w:pStyle w:val="TableHeading"/>
              <w:spacing w:before="0"/>
              <w:rPr>
                <w:rFonts w:ascii="Arial" w:hAnsi="Arial" w:cs="Arial"/>
                <w:color w:val="FFFFFF" w:themeColor="background1"/>
              </w:rPr>
            </w:pPr>
          </w:p>
        </w:tc>
        <w:tc>
          <w:tcPr>
            <w:tcW w:w="1776" w:type="pct"/>
            <w:vMerge/>
            <w:shd w:val="clear" w:color="auto" w:fill="auto"/>
            <w:vAlign w:val="center"/>
          </w:tcPr>
          <w:p w14:paraId="317EF1B7"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6E0BCBD3"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Time period: </w:t>
            </w:r>
            <w:r w:rsidRPr="000A53C0">
              <w:rPr>
                <w:rFonts w:ascii="Arial" w:hAnsi="Arial" w:cs="Arial"/>
                <w:b w:val="0"/>
                <w:bCs/>
                <w:sz w:val="18"/>
                <w:szCs w:val="18"/>
              </w:rPr>
              <w:t>per annum from the year following the prohibition taking effect</w:t>
            </w:r>
          </w:p>
        </w:tc>
      </w:tr>
      <w:tr w:rsidR="00425098" w:rsidRPr="000A53C0" w14:paraId="222A892B" w14:textId="77777777" w:rsidTr="00C142B0">
        <w:trPr>
          <w:trHeight w:val="1328"/>
        </w:trPr>
        <w:tc>
          <w:tcPr>
            <w:tcW w:w="259" w:type="pct"/>
            <w:vMerge w:val="restart"/>
            <w:shd w:val="clear" w:color="auto" w:fill="D9D9D9" w:themeFill="background1" w:themeFillShade="D9"/>
            <w:vAlign w:val="center"/>
          </w:tcPr>
          <w:p w14:paraId="28CDA558" w14:textId="77777777" w:rsidR="00425098" w:rsidRPr="00C142B0" w:rsidRDefault="00425098">
            <w:pPr>
              <w:pStyle w:val="TableHeading"/>
              <w:spacing w:before="0"/>
              <w:jc w:val="center"/>
              <w:rPr>
                <w:rFonts w:ascii="Arial" w:hAnsi="Arial" w:cs="Arial"/>
              </w:rPr>
            </w:pPr>
            <w:r w:rsidRPr="00C142B0">
              <w:rPr>
                <w:rFonts w:ascii="Arial" w:hAnsi="Arial" w:cs="Arial"/>
              </w:rPr>
              <w:t>#13</w:t>
            </w:r>
          </w:p>
        </w:tc>
        <w:tc>
          <w:tcPr>
            <w:tcW w:w="1150" w:type="pct"/>
            <w:vMerge w:val="restart"/>
            <w:shd w:val="clear" w:color="auto" w:fill="D9D9D9" w:themeFill="background1" w:themeFillShade="D9"/>
            <w:tcMar>
              <w:top w:w="72" w:type="dxa"/>
              <w:left w:w="144" w:type="dxa"/>
              <w:bottom w:w="72" w:type="dxa"/>
              <w:right w:w="144" w:type="dxa"/>
            </w:tcMar>
            <w:vAlign w:val="center"/>
          </w:tcPr>
          <w:p w14:paraId="744CD7AA" w14:textId="77777777" w:rsidR="00425098" w:rsidRPr="00C142B0" w:rsidRDefault="00425098">
            <w:pPr>
              <w:pStyle w:val="TableHeading"/>
              <w:spacing w:before="0"/>
              <w:rPr>
                <w:rFonts w:ascii="Arial" w:hAnsi="Arial" w:cs="Arial"/>
                <w:sz w:val="18"/>
                <w:szCs w:val="18"/>
              </w:rPr>
            </w:pPr>
            <w:r w:rsidRPr="00C142B0">
              <w:rPr>
                <w:rFonts w:ascii="Arial" w:hAnsi="Arial" w:cs="Arial"/>
                <w:sz w:val="18"/>
                <w:szCs w:val="18"/>
              </w:rPr>
              <w:t>Communications cost for government to liaise with stakeholders</w:t>
            </w:r>
          </w:p>
        </w:tc>
        <w:tc>
          <w:tcPr>
            <w:tcW w:w="1776" w:type="pct"/>
            <w:vMerge w:val="restart"/>
            <w:shd w:val="clear" w:color="auto" w:fill="auto"/>
            <w:vAlign w:val="center"/>
          </w:tcPr>
          <w:p w14:paraId="42FA8586" w14:textId="77777777" w:rsidR="00425098" w:rsidRPr="000A53C0" w:rsidRDefault="00425098">
            <w:pPr>
              <w:pStyle w:val="TableBody"/>
              <w:jc w:val="center"/>
              <w:rPr>
                <w:rFonts w:cs="Arial"/>
                <w:b/>
                <w:color w:val="262626" w:themeColor="text1" w:themeTint="D9"/>
                <w:szCs w:val="18"/>
              </w:rPr>
            </w:pPr>
            <w:r w:rsidRPr="000A53C0">
              <w:rPr>
                <w:rFonts w:cs="Arial"/>
                <w:b/>
                <w:szCs w:val="18"/>
              </w:rPr>
              <w:t xml:space="preserve">Total cost of communications </w:t>
            </w:r>
          </w:p>
          <w:p w14:paraId="1FE14DC2"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2170CA6B"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Number of government workers for communication p.a. (per jurisdiction)</w:t>
            </w:r>
          </w:p>
          <w:p w14:paraId="7F123486"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875E7B8"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Hours p.a. for communications with regulated PCBUs, workers and other stakeholders</w:t>
            </w:r>
          </w:p>
          <w:p w14:paraId="5E47858A" w14:textId="77777777" w:rsidR="00425098" w:rsidRPr="000A53C0" w:rsidRDefault="00425098">
            <w:pPr>
              <w:pStyle w:val="TableBody"/>
              <w:jc w:val="center"/>
              <w:rPr>
                <w:rFonts w:cs="Arial"/>
                <w:color w:val="262626" w:themeColor="text1" w:themeTint="D9"/>
                <w:szCs w:val="18"/>
              </w:rPr>
            </w:pPr>
            <w:r w:rsidRPr="000A53C0">
              <w:rPr>
                <w:rFonts w:cs="Arial"/>
                <w:szCs w:val="18"/>
              </w:rPr>
              <w:t>×</w:t>
            </w:r>
          </w:p>
          <w:p w14:paraId="78DAD72C" w14:textId="77777777" w:rsidR="00425098" w:rsidRPr="000A53C0" w:rsidRDefault="00425098">
            <w:pPr>
              <w:pStyle w:val="TableBody"/>
              <w:widowControl w:val="0"/>
              <w:spacing w:before="0" w:after="0"/>
              <w:jc w:val="center"/>
              <w:rPr>
                <w:rFonts w:cs="Arial"/>
                <w:szCs w:val="18"/>
              </w:rPr>
            </w:pPr>
            <w:r w:rsidRPr="000A53C0">
              <w:rPr>
                <w:rFonts w:cs="Arial"/>
                <w:color w:val="262626" w:themeColor="text1" w:themeTint="D9"/>
                <w:szCs w:val="18"/>
              </w:rPr>
              <w:t xml:space="preserve">Average wage/hour </w:t>
            </w:r>
            <w:r w:rsidRPr="000A53C0">
              <w:rPr>
                <w:rFonts w:cs="Arial"/>
                <w:szCs w:val="18"/>
              </w:rPr>
              <w:t>($)</w:t>
            </w:r>
          </w:p>
          <w:p w14:paraId="7E7D9D3B" w14:textId="77777777" w:rsidR="00425098" w:rsidRPr="000A53C0" w:rsidRDefault="00425098">
            <w:pPr>
              <w:pStyle w:val="TableBody"/>
              <w:widowControl w:val="0"/>
              <w:spacing w:before="0" w:after="0"/>
              <w:jc w:val="center"/>
              <w:rPr>
                <w:rFonts w:cs="Arial"/>
                <w:szCs w:val="18"/>
              </w:rPr>
            </w:pPr>
            <w:r w:rsidRPr="000A53C0">
              <w:rPr>
                <w:rFonts w:cs="Arial"/>
                <w:szCs w:val="18"/>
              </w:rPr>
              <w:t>x</w:t>
            </w:r>
          </w:p>
          <w:p w14:paraId="3405D027"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Number of jurisdictions</w:t>
            </w:r>
          </w:p>
          <w:p w14:paraId="5E0F3B69"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 </w:t>
            </w:r>
          </w:p>
          <w:p w14:paraId="096723C8"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Advertising costs for prohibition</w:t>
            </w:r>
          </w:p>
          <w:p w14:paraId="54D47411"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x</w:t>
            </w:r>
          </w:p>
          <w:p w14:paraId="757583CB" w14:textId="77777777" w:rsidR="00425098" w:rsidRPr="000A53C0" w:rsidRDefault="00425098">
            <w:pPr>
              <w:pStyle w:val="TableBody"/>
              <w:widowControl w:val="0"/>
              <w:spacing w:before="0" w:after="0"/>
              <w:jc w:val="center"/>
              <w:rPr>
                <w:rFonts w:cs="Arial"/>
                <w:color w:val="262626" w:themeColor="text1" w:themeTint="D9"/>
                <w:szCs w:val="18"/>
              </w:rPr>
            </w:pPr>
            <w:r w:rsidRPr="000A53C0">
              <w:rPr>
                <w:rFonts w:cs="Arial"/>
                <w:color w:val="262626" w:themeColor="text1" w:themeTint="D9"/>
                <w:szCs w:val="18"/>
              </w:rPr>
              <w:t xml:space="preserve">Number of jurisdictions </w:t>
            </w:r>
          </w:p>
        </w:tc>
        <w:tc>
          <w:tcPr>
            <w:tcW w:w="1815" w:type="pct"/>
            <w:shd w:val="clear" w:color="auto" w:fill="auto"/>
            <w:vAlign w:val="center"/>
          </w:tcPr>
          <w:p w14:paraId="384DF7DC" w14:textId="77777777" w:rsidR="00425098" w:rsidRPr="000A53C0" w:rsidRDefault="00425098">
            <w:pPr>
              <w:pStyle w:val="TableHeading"/>
              <w:spacing w:before="0"/>
              <w:rPr>
                <w:rFonts w:ascii="Arial" w:hAnsi="Arial" w:cs="Arial"/>
                <w:color w:val="262626" w:themeColor="text1" w:themeTint="D9"/>
                <w:sz w:val="18"/>
                <w:szCs w:val="18"/>
              </w:rPr>
            </w:pPr>
            <w:r w:rsidRPr="000A53C0">
              <w:rPr>
                <w:rFonts w:ascii="Arial" w:hAnsi="Arial" w:cs="Arial"/>
                <w:bCs/>
                <w:color w:val="262626" w:themeColor="text1" w:themeTint="D9"/>
                <w:sz w:val="18"/>
                <w:szCs w:val="18"/>
                <w:lang w:val="en-AU"/>
              </w:rPr>
              <w:t xml:space="preserve">Number of government workers for communication (per jurisdiction): </w:t>
            </w:r>
            <w:r w:rsidRPr="000A53C0">
              <w:rPr>
                <w:rFonts w:ascii="Arial" w:hAnsi="Arial" w:cs="Arial"/>
                <w:b w:val="0"/>
                <w:color w:val="262626" w:themeColor="text1" w:themeTint="D9"/>
                <w:sz w:val="18"/>
                <w:szCs w:val="18"/>
                <w:lang w:val="en-AU"/>
              </w:rPr>
              <w:t>1 APS6 employee</w:t>
            </w:r>
          </w:p>
        </w:tc>
      </w:tr>
      <w:tr w:rsidR="00425098" w:rsidRPr="000A53C0" w14:paraId="5A7CEE06" w14:textId="77777777" w:rsidTr="00C142B0">
        <w:trPr>
          <w:trHeight w:val="595"/>
        </w:trPr>
        <w:tc>
          <w:tcPr>
            <w:tcW w:w="259" w:type="pct"/>
            <w:vMerge/>
            <w:shd w:val="clear" w:color="auto" w:fill="D9D9D9" w:themeFill="background1" w:themeFillShade="D9"/>
          </w:tcPr>
          <w:p w14:paraId="54DCECB8"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3A722E3A"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496449AD" w14:textId="77777777" w:rsidR="00425098" w:rsidRPr="000A53C0" w:rsidRDefault="00425098">
            <w:pPr>
              <w:pStyle w:val="TableBody"/>
              <w:widowControl w:val="0"/>
              <w:spacing w:before="0" w:after="0"/>
              <w:jc w:val="center"/>
              <w:rPr>
                <w:rFonts w:cs="Arial"/>
                <w:color w:val="262626" w:themeColor="text1" w:themeTint="D9"/>
                <w:szCs w:val="18"/>
              </w:rPr>
            </w:pPr>
          </w:p>
        </w:tc>
        <w:tc>
          <w:tcPr>
            <w:tcW w:w="1815" w:type="pct"/>
            <w:shd w:val="clear" w:color="auto" w:fill="auto"/>
            <w:vAlign w:val="center"/>
          </w:tcPr>
          <w:p w14:paraId="276B4D30" w14:textId="77777777"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color w:val="262626" w:themeColor="text1" w:themeTint="D9"/>
                <w:sz w:val="18"/>
                <w:szCs w:val="18"/>
                <w:lang w:val="en-AU"/>
              </w:rPr>
              <w:t xml:space="preserve">Hours per annum for communications with regulated PCBUs, workers and other stakeholders: </w:t>
            </w:r>
            <w:r w:rsidRPr="000A53C0">
              <w:rPr>
                <w:rFonts w:ascii="Arial" w:hAnsi="Arial" w:cs="Arial"/>
                <w:b w:val="0"/>
                <w:color w:val="262626" w:themeColor="text1" w:themeTint="D9"/>
                <w:sz w:val="18"/>
                <w:szCs w:val="18"/>
                <w:lang w:val="en-AU"/>
              </w:rPr>
              <w:t>200</w:t>
            </w:r>
            <w:r w:rsidRPr="000A53C0">
              <w:rPr>
                <w:rStyle w:val="FootnoteReference"/>
                <w:rFonts w:ascii="Arial" w:hAnsi="Arial" w:cs="Arial"/>
                <w:b w:val="0"/>
                <w:color w:val="262626" w:themeColor="text1" w:themeTint="D9"/>
                <w:sz w:val="18"/>
                <w:szCs w:val="18"/>
                <w:lang w:val="en-AU"/>
              </w:rPr>
              <w:footnoteReference w:id="76"/>
            </w:r>
          </w:p>
        </w:tc>
      </w:tr>
      <w:tr w:rsidR="00425098" w:rsidRPr="000A53C0" w14:paraId="62DB6F85" w14:textId="77777777" w:rsidTr="00C142B0">
        <w:trPr>
          <w:trHeight w:val="67"/>
        </w:trPr>
        <w:tc>
          <w:tcPr>
            <w:tcW w:w="259" w:type="pct"/>
            <w:vMerge/>
            <w:shd w:val="clear" w:color="auto" w:fill="D9D9D9" w:themeFill="background1" w:themeFillShade="D9"/>
          </w:tcPr>
          <w:p w14:paraId="05C42FE1"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526D7A18"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4CF1BCC4"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0E38111" w14:textId="6EAF35A3" w:rsidR="00425098" w:rsidRPr="000A53C0" w:rsidRDefault="00425098">
            <w:pPr>
              <w:pStyle w:val="TableHeading"/>
              <w:widowControl w:val="0"/>
              <w:spacing w:before="0"/>
              <w:rPr>
                <w:rFonts w:ascii="Arial" w:hAnsi="Arial" w:cs="Arial"/>
                <w:sz w:val="18"/>
                <w:szCs w:val="18"/>
              </w:rPr>
            </w:pPr>
            <w:r w:rsidRPr="000A53C0">
              <w:rPr>
                <w:rFonts w:ascii="Arial" w:hAnsi="Arial" w:cs="Arial"/>
                <w:sz w:val="18"/>
                <w:szCs w:val="18"/>
              </w:rPr>
              <w:t xml:space="preserve">Average wage/hour ($): </w:t>
            </w:r>
            <w:r w:rsidRPr="000A53C0">
              <w:rPr>
                <w:rFonts w:ascii="Arial" w:hAnsi="Arial" w:cs="Arial"/>
                <w:b w:val="0"/>
                <w:sz w:val="18"/>
                <w:szCs w:val="18"/>
              </w:rPr>
              <w:t>$</w:t>
            </w:r>
            <w:r w:rsidRPr="000A53C0">
              <w:rPr>
                <w:rFonts w:ascii="Arial" w:hAnsi="Arial" w:cs="Arial"/>
                <w:b w:val="0"/>
                <w:bCs/>
                <w:sz w:val="18"/>
                <w:szCs w:val="18"/>
              </w:rPr>
              <w:t>57.96 (</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r w:rsidR="00425098" w:rsidRPr="000A53C0" w14:paraId="7C300580" w14:textId="77777777" w:rsidTr="00C142B0">
        <w:trPr>
          <w:trHeight w:val="243"/>
        </w:trPr>
        <w:tc>
          <w:tcPr>
            <w:tcW w:w="259" w:type="pct"/>
            <w:vMerge/>
            <w:shd w:val="clear" w:color="auto" w:fill="D9D9D9" w:themeFill="background1" w:themeFillShade="D9"/>
          </w:tcPr>
          <w:p w14:paraId="17523562"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47D6B1F0"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12752D04"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344CAA5A" w14:textId="77777777" w:rsidR="00425098" w:rsidRPr="000A53C0" w:rsidRDefault="00425098">
            <w:pPr>
              <w:pStyle w:val="TableHeading"/>
              <w:widowControl w:val="0"/>
              <w:spacing w:before="0"/>
              <w:rPr>
                <w:rFonts w:ascii="Arial" w:hAnsi="Arial" w:cs="Arial"/>
                <w:sz w:val="18"/>
                <w:szCs w:val="18"/>
              </w:rPr>
            </w:pPr>
            <w:r w:rsidRPr="000A53C0">
              <w:rPr>
                <w:rFonts w:ascii="Arial" w:hAnsi="Arial" w:cs="Arial"/>
                <w:color w:val="262626" w:themeColor="text1" w:themeTint="D9"/>
                <w:sz w:val="18"/>
                <w:szCs w:val="18"/>
              </w:rPr>
              <w:t>Number of jurisdictions</w:t>
            </w:r>
            <w:r w:rsidRPr="000A53C0">
              <w:rPr>
                <w:rFonts w:ascii="Arial" w:hAnsi="Arial" w:cs="Arial"/>
                <w:b w:val="0"/>
                <w:bCs/>
                <w:color w:val="262626" w:themeColor="text1" w:themeTint="D9"/>
                <w:sz w:val="18"/>
                <w:szCs w:val="18"/>
              </w:rPr>
              <w:t>: 7 (</w:t>
            </w:r>
            <w:r w:rsidRPr="000A53C0">
              <w:rPr>
                <w:rFonts w:ascii="Arial" w:hAnsi="Arial" w:cs="Arial"/>
                <w:b w:val="0"/>
                <w:bCs/>
                <w:sz w:val="18"/>
                <w:szCs w:val="18"/>
              </w:rPr>
              <w:t>Excludes Victoria)</w:t>
            </w:r>
          </w:p>
        </w:tc>
      </w:tr>
      <w:tr w:rsidR="00425098" w:rsidRPr="000A53C0" w14:paraId="4894A558" w14:textId="77777777" w:rsidTr="00C142B0">
        <w:trPr>
          <w:trHeight w:val="343"/>
        </w:trPr>
        <w:tc>
          <w:tcPr>
            <w:tcW w:w="259" w:type="pct"/>
            <w:vMerge/>
            <w:shd w:val="clear" w:color="auto" w:fill="D9D9D9" w:themeFill="background1" w:themeFillShade="D9"/>
          </w:tcPr>
          <w:p w14:paraId="594FF24A"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6B0EE536"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357C2AC6"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7781C5F8" w14:textId="77777777" w:rsidR="00425098" w:rsidRPr="000A53C0" w:rsidRDefault="00425098">
            <w:pPr>
              <w:pStyle w:val="TableHeading"/>
              <w:widowControl w:val="0"/>
              <w:spacing w:before="0"/>
              <w:rPr>
                <w:rFonts w:ascii="Arial" w:hAnsi="Arial" w:cs="Arial"/>
                <w:b w:val="0"/>
                <w:color w:val="262626" w:themeColor="text1" w:themeTint="D9"/>
                <w:sz w:val="18"/>
                <w:szCs w:val="18"/>
              </w:rPr>
            </w:pPr>
            <w:r w:rsidRPr="000A53C0">
              <w:rPr>
                <w:rFonts w:ascii="Arial" w:hAnsi="Arial" w:cs="Arial"/>
                <w:color w:val="262626" w:themeColor="text1" w:themeTint="D9"/>
                <w:sz w:val="18"/>
                <w:szCs w:val="18"/>
              </w:rPr>
              <w:t xml:space="preserve">Advertising costs for prohibition: </w:t>
            </w:r>
            <w:r w:rsidRPr="000A53C0">
              <w:rPr>
                <w:rFonts w:ascii="Arial" w:hAnsi="Arial" w:cs="Arial"/>
                <w:b w:val="0"/>
                <w:color w:val="262626" w:themeColor="text1" w:themeTint="D9"/>
                <w:sz w:val="18"/>
                <w:szCs w:val="18"/>
              </w:rPr>
              <w:t>$120,000</w:t>
            </w:r>
            <w:r w:rsidRPr="000A53C0">
              <w:rPr>
                <w:rStyle w:val="FootnoteReference"/>
                <w:rFonts w:ascii="Arial" w:hAnsi="Arial" w:cs="Arial"/>
                <w:color w:val="262626" w:themeColor="text1" w:themeTint="D9"/>
                <w:sz w:val="18"/>
                <w:szCs w:val="18"/>
              </w:rPr>
              <w:footnoteReference w:id="77"/>
            </w:r>
          </w:p>
        </w:tc>
      </w:tr>
      <w:tr w:rsidR="00425098" w:rsidRPr="000A53C0" w14:paraId="12784585" w14:textId="77777777" w:rsidTr="00C142B0">
        <w:trPr>
          <w:trHeight w:val="342"/>
        </w:trPr>
        <w:tc>
          <w:tcPr>
            <w:tcW w:w="259" w:type="pct"/>
            <w:vMerge/>
            <w:shd w:val="clear" w:color="auto" w:fill="D9D9D9" w:themeFill="background1" w:themeFillShade="D9"/>
          </w:tcPr>
          <w:p w14:paraId="0997EA54"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24054553"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79414C74"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591EED09" w14:textId="77777777" w:rsidR="00425098" w:rsidRPr="000A53C0" w:rsidRDefault="00425098">
            <w:pPr>
              <w:pStyle w:val="TableHeading"/>
              <w:widowControl w:val="0"/>
              <w:spacing w:before="0"/>
              <w:rPr>
                <w:rFonts w:ascii="Arial" w:hAnsi="Arial" w:cs="Arial"/>
                <w:color w:val="262626" w:themeColor="text1" w:themeTint="D9"/>
                <w:sz w:val="18"/>
                <w:szCs w:val="18"/>
              </w:rPr>
            </w:pPr>
            <w:r w:rsidRPr="000A53C0">
              <w:rPr>
                <w:rFonts w:ascii="Arial" w:hAnsi="Arial" w:cs="Arial"/>
                <w:color w:val="262626" w:themeColor="text1" w:themeTint="D9"/>
                <w:sz w:val="18"/>
                <w:szCs w:val="18"/>
              </w:rPr>
              <w:t xml:space="preserve">Number of jurisdictions: </w:t>
            </w:r>
            <w:r w:rsidRPr="000A53C0">
              <w:rPr>
                <w:rFonts w:ascii="Arial" w:hAnsi="Arial" w:cs="Arial"/>
                <w:b w:val="0"/>
                <w:color w:val="262626" w:themeColor="text1" w:themeTint="D9"/>
                <w:sz w:val="18"/>
                <w:szCs w:val="18"/>
              </w:rPr>
              <w:t>7 (</w:t>
            </w:r>
            <w:r w:rsidRPr="000A53C0">
              <w:rPr>
                <w:rFonts w:ascii="Arial" w:hAnsi="Arial" w:cs="Arial"/>
                <w:b w:val="0"/>
                <w:sz w:val="18"/>
                <w:szCs w:val="18"/>
              </w:rPr>
              <w:t>Excludes Victoria)</w:t>
            </w:r>
          </w:p>
        </w:tc>
      </w:tr>
      <w:tr w:rsidR="00425098" w:rsidRPr="000A53C0" w14:paraId="427FFB29" w14:textId="77777777" w:rsidTr="00C142B0">
        <w:trPr>
          <w:trHeight w:val="674"/>
        </w:trPr>
        <w:tc>
          <w:tcPr>
            <w:tcW w:w="259" w:type="pct"/>
            <w:vMerge/>
            <w:shd w:val="clear" w:color="auto" w:fill="D9D9D9" w:themeFill="background1" w:themeFillShade="D9"/>
          </w:tcPr>
          <w:p w14:paraId="2B0FAB3A" w14:textId="77777777" w:rsidR="00425098" w:rsidRPr="000A53C0" w:rsidRDefault="00425098">
            <w:pPr>
              <w:pStyle w:val="TableHeading"/>
              <w:spacing w:before="0"/>
              <w:rPr>
                <w:rFonts w:ascii="Arial" w:hAnsi="Arial" w:cs="Arial"/>
                <w:color w:val="FFFFFF" w:themeColor="background1"/>
              </w:rPr>
            </w:pPr>
          </w:p>
        </w:tc>
        <w:tc>
          <w:tcPr>
            <w:tcW w:w="1150" w:type="pct"/>
            <w:vMerge/>
            <w:shd w:val="clear" w:color="auto" w:fill="D9D9D9" w:themeFill="background1" w:themeFillShade="D9"/>
            <w:tcMar>
              <w:top w:w="72" w:type="dxa"/>
              <w:left w:w="144" w:type="dxa"/>
              <w:bottom w:w="72" w:type="dxa"/>
              <w:right w:w="144" w:type="dxa"/>
            </w:tcMar>
          </w:tcPr>
          <w:p w14:paraId="1328947C" w14:textId="77777777" w:rsidR="00425098" w:rsidRPr="000A53C0" w:rsidRDefault="00425098">
            <w:pPr>
              <w:pStyle w:val="TableHeading"/>
              <w:spacing w:before="0"/>
              <w:rPr>
                <w:rFonts w:ascii="Arial" w:hAnsi="Arial" w:cs="Arial"/>
                <w:color w:val="FFFFFF" w:themeColor="background1"/>
                <w:sz w:val="18"/>
                <w:szCs w:val="18"/>
              </w:rPr>
            </w:pPr>
          </w:p>
        </w:tc>
        <w:tc>
          <w:tcPr>
            <w:tcW w:w="1776" w:type="pct"/>
            <w:vMerge/>
            <w:shd w:val="clear" w:color="auto" w:fill="auto"/>
            <w:vAlign w:val="center"/>
          </w:tcPr>
          <w:p w14:paraId="16D5064E" w14:textId="77777777" w:rsidR="00425098" w:rsidRPr="000A53C0" w:rsidRDefault="00425098">
            <w:pPr>
              <w:pStyle w:val="TableBody"/>
              <w:widowControl w:val="0"/>
              <w:spacing w:before="0" w:after="0"/>
              <w:jc w:val="center"/>
              <w:rPr>
                <w:rFonts w:cs="Arial"/>
                <w:b/>
                <w:color w:val="262626" w:themeColor="text1" w:themeTint="D9"/>
                <w:szCs w:val="18"/>
              </w:rPr>
            </w:pPr>
          </w:p>
        </w:tc>
        <w:tc>
          <w:tcPr>
            <w:tcW w:w="1815" w:type="pct"/>
            <w:shd w:val="clear" w:color="auto" w:fill="auto"/>
            <w:vAlign w:val="center"/>
          </w:tcPr>
          <w:p w14:paraId="055FAD17" w14:textId="523CC2E1" w:rsidR="00425098" w:rsidRPr="000A53C0" w:rsidRDefault="00425098">
            <w:pPr>
              <w:pStyle w:val="TableHeading"/>
              <w:widowControl w:val="0"/>
              <w:spacing w:before="0"/>
              <w:rPr>
                <w:rFonts w:ascii="Arial" w:hAnsi="Arial" w:cs="Arial"/>
                <w:color w:val="262626" w:themeColor="text1" w:themeTint="D9"/>
                <w:sz w:val="18"/>
                <w:szCs w:val="18"/>
              </w:rPr>
            </w:pPr>
            <w:r w:rsidRPr="000A53C0">
              <w:rPr>
                <w:rFonts w:ascii="Arial" w:hAnsi="Arial" w:cs="Arial"/>
                <w:color w:val="262626" w:themeColor="text1" w:themeTint="D9"/>
                <w:sz w:val="18"/>
                <w:szCs w:val="18"/>
              </w:rPr>
              <w:t xml:space="preserve">Time period: </w:t>
            </w:r>
            <w:r w:rsidRPr="000A53C0">
              <w:rPr>
                <w:rFonts w:ascii="Arial" w:hAnsi="Arial" w:cs="Arial"/>
                <w:b w:val="0"/>
                <w:bCs/>
                <w:color w:val="262626" w:themeColor="text1" w:themeTint="D9"/>
                <w:sz w:val="18"/>
                <w:szCs w:val="18"/>
              </w:rPr>
              <w:t>full appraisal period</w:t>
            </w:r>
            <w:r w:rsidRPr="000A53C0">
              <w:rPr>
                <w:rFonts w:ascii="Arial" w:hAnsi="Arial" w:cs="Arial"/>
                <w:color w:val="262626" w:themeColor="text1" w:themeTint="D9"/>
                <w:sz w:val="18"/>
                <w:szCs w:val="18"/>
              </w:rPr>
              <w:t xml:space="preserve"> </w:t>
            </w:r>
            <w:r w:rsidRPr="000A53C0">
              <w:rPr>
                <w:rFonts w:ascii="Arial" w:hAnsi="Arial" w:cs="Arial"/>
                <w:b w:val="0"/>
                <w:bCs/>
                <w:sz w:val="18"/>
                <w:szCs w:val="18"/>
              </w:rPr>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bl>
    <w:p w14:paraId="42D32963" w14:textId="77777777" w:rsidR="00425098" w:rsidRPr="000A53C0" w:rsidRDefault="00425098" w:rsidP="00425098">
      <w:pPr>
        <w:pStyle w:val="BodyText"/>
        <w:rPr>
          <w:rFonts w:cs="Arial"/>
          <w:color w:val="014463" w:themeColor="text2"/>
        </w:rPr>
      </w:pPr>
    </w:p>
    <w:p w14:paraId="39E79E78" w14:textId="50B983B8" w:rsidR="00425098" w:rsidRPr="000A53C0" w:rsidRDefault="002D500D" w:rsidP="00D657D6">
      <w:pPr>
        <w:pStyle w:val="App3"/>
        <w:rPr>
          <w:rFonts w:cs="Arial"/>
        </w:rPr>
      </w:pPr>
      <w:r w:rsidRPr="000A53C0">
        <w:rPr>
          <w:rFonts w:cs="Arial"/>
        </w:rPr>
        <w:lastRenderedPageBreak/>
        <w:t>B.</w:t>
      </w:r>
      <w:r w:rsidR="00425098" w:rsidRPr="000A53C0">
        <w:rPr>
          <w:rFonts w:cs="Arial"/>
        </w:rPr>
        <w:t>8.5 Worker costs</w:t>
      </w:r>
    </w:p>
    <w:p w14:paraId="05B743D4" w14:textId="77777777" w:rsidR="00425098" w:rsidRPr="000A53C0" w:rsidRDefault="00425098" w:rsidP="00425098">
      <w:pPr>
        <w:pStyle w:val="BodyText"/>
        <w:rPr>
          <w:rFonts w:cs="Arial"/>
        </w:rPr>
      </w:pPr>
      <w:r w:rsidRPr="000A53C0">
        <w:rPr>
          <w:rFonts w:cs="Arial"/>
        </w:rPr>
        <w:t>The following table presents the key assumptions and calculations used to estimate the direct and indirect costs identified for workers for each prohibition option.</w:t>
      </w:r>
    </w:p>
    <w:p w14:paraId="62B1D483" w14:textId="6B34B910" w:rsidR="00425098" w:rsidRPr="000A53C0" w:rsidRDefault="00425098" w:rsidP="00030457">
      <w:pPr>
        <w:pStyle w:val="Caption"/>
        <w:rPr>
          <w:rFonts w:cs="Arial"/>
          <w:b/>
        </w:rPr>
      </w:pPr>
      <w:r w:rsidRPr="008540FE">
        <w:rPr>
          <w:rFonts w:cs="Arial"/>
          <w:b/>
          <w:bCs/>
        </w:rPr>
        <w:t xml:space="preserve">Table </w:t>
      </w:r>
      <w:r w:rsidRPr="008540FE">
        <w:rPr>
          <w:rFonts w:cs="Arial"/>
          <w:b/>
          <w:bCs/>
        </w:rPr>
        <w:fldChar w:fldCharType="begin"/>
      </w:r>
      <w:r w:rsidRPr="008540FE">
        <w:rPr>
          <w:rFonts w:cs="Arial"/>
          <w:b/>
          <w:bCs/>
        </w:rPr>
        <w:instrText>SEQ Table \* ARABIC</w:instrText>
      </w:r>
      <w:r w:rsidRPr="008540FE">
        <w:rPr>
          <w:rFonts w:cs="Arial"/>
          <w:b/>
          <w:bCs/>
        </w:rPr>
        <w:fldChar w:fldCharType="separate"/>
      </w:r>
      <w:r w:rsidR="00D16271">
        <w:rPr>
          <w:rFonts w:cs="Arial"/>
          <w:b/>
          <w:bCs/>
          <w:noProof/>
        </w:rPr>
        <w:t>32</w:t>
      </w:r>
      <w:r w:rsidRPr="008540FE">
        <w:rPr>
          <w:rFonts w:cs="Arial"/>
          <w:b/>
          <w:bCs/>
        </w:rPr>
        <w:fldChar w:fldCharType="end"/>
      </w:r>
      <w:r w:rsidRPr="000A53C0">
        <w:rPr>
          <w:rFonts w:cs="Arial"/>
        </w:rPr>
        <w:t xml:space="preserve"> Detailed worker cost assumptions and calculations </w:t>
      </w: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2" w:type="dxa"/>
          <w:right w:w="0" w:type="dxa"/>
        </w:tblCellMar>
        <w:tblLook w:val="0420" w:firstRow="1" w:lastRow="0" w:firstColumn="0" w:lastColumn="0" w:noHBand="0" w:noVBand="1"/>
        <w:tblDescription w:val="*$*$UPSLIDE_TablePasted`_#[%£=+@*$*$UPSLIDE_TablePasted`_#[%£=+@*$*$UPSLIDE_TablePasted`_#[%£=+@*$*$UPSLIDE_TablePasted`_#[%£=+@*$*$UPSLIDE_TablePasted`_#[%£=+@*$*$UPSLIDE_TablePasted`_#[%£=+@*$*$UPSLIDE_TablePasted`_#[%£=+@*$*$UPSLIDE_TablePasted`_#[%£=+@*$*$UPSLIDE_TablePasted`_#[%£=+@*$*$UPSLIDE_TablePasted`_#[%£=+@*$*$UPSLIDE_TablePasted`_#[%£=+@*$*$UPSLIDE_TablePasted`_#[%£=+@*$*$UPSLIDE_TablePasted`_#[%£=+@*$*$UPSLIDE_TablePasted`_#[%£=+@"/>
      </w:tblPr>
      <w:tblGrid>
        <w:gridCol w:w="704"/>
        <w:gridCol w:w="2937"/>
        <w:gridCol w:w="5045"/>
        <w:gridCol w:w="4882"/>
      </w:tblGrid>
      <w:tr w:rsidR="00425098" w:rsidRPr="000A53C0" w14:paraId="48C11789" w14:textId="77777777" w:rsidTr="008540FE">
        <w:trPr>
          <w:trHeight w:val="400"/>
          <w:tblHeader/>
        </w:trPr>
        <w:tc>
          <w:tcPr>
            <w:tcW w:w="259" w:type="pct"/>
            <w:shd w:val="clear" w:color="auto" w:fill="E81D32"/>
          </w:tcPr>
          <w:p w14:paraId="5B327DC7" w14:textId="77777777" w:rsidR="00425098" w:rsidRPr="008540FE" w:rsidRDefault="00425098" w:rsidP="008540FE">
            <w:pPr>
              <w:pStyle w:val="TableHeading"/>
              <w:spacing w:before="0" w:after="0"/>
              <w:rPr>
                <w:rFonts w:ascii="Arial" w:hAnsi="Arial" w:cs="Arial"/>
                <w:color w:val="FFFFFF" w:themeColor="background1"/>
              </w:rPr>
            </w:pPr>
            <w:r w:rsidRPr="008540FE">
              <w:rPr>
                <w:rFonts w:ascii="Arial" w:hAnsi="Arial" w:cs="Arial"/>
                <w:color w:val="FFFFFF" w:themeColor="background1"/>
              </w:rPr>
              <w:t>Ref#</w:t>
            </w:r>
          </w:p>
        </w:tc>
        <w:tc>
          <w:tcPr>
            <w:tcW w:w="1082" w:type="pct"/>
            <w:shd w:val="clear" w:color="auto" w:fill="E81D32"/>
            <w:tcMar>
              <w:top w:w="72" w:type="dxa"/>
              <w:left w:w="144" w:type="dxa"/>
              <w:bottom w:w="72" w:type="dxa"/>
              <w:right w:w="144" w:type="dxa"/>
            </w:tcMar>
            <w:vAlign w:val="center"/>
            <w:hideMark/>
          </w:tcPr>
          <w:p w14:paraId="3B10337B" w14:textId="77777777" w:rsidR="00425098" w:rsidRPr="008540FE" w:rsidRDefault="00425098" w:rsidP="008540FE">
            <w:pPr>
              <w:pStyle w:val="TableHeading"/>
              <w:spacing w:before="0" w:after="0"/>
              <w:rPr>
                <w:rFonts w:ascii="Arial" w:hAnsi="Arial" w:cs="Arial"/>
                <w:color w:val="FFFFFF" w:themeColor="background1"/>
              </w:rPr>
            </w:pPr>
            <w:r w:rsidRPr="008540FE">
              <w:rPr>
                <w:rFonts w:ascii="Arial" w:hAnsi="Arial" w:cs="Arial"/>
                <w:color w:val="FFFFFF" w:themeColor="background1"/>
              </w:rPr>
              <w:t>Impact Measure</w:t>
            </w:r>
          </w:p>
        </w:tc>
        <w:tc>
          <w:tcPr>
            <w:tcW w:w="1859" w:type="pct"/>
            <w:shd w:val="clear" w:color="auto" w:fill="E81D32"/>
            <w:vAlign w:val="center"/>
          </w:tcPr>
          <w:p w14:paraId="7793B6A5" w14:textId="77777777" w:rsidR="00425098" w:rsidRPr="008540FE" w:rsidRDefault="00425098" w:rsidP="008540FE">
            <w:pPr>
              <w:pStyle w:val="TableHeading"/>
              <w:spacing w:before="0" w:after="0"/>
              <w:rPr>
                <w:rFonts w:ascii="Arial" w:hAnsi="Arial" w:cs="Arial"/>
                <w:color w:val="FFFFFF" w:themeColor="background1"/>
              </w:rPr>
            </w:pPr>
            <w:r w:rsidRPr="008540FE">
              <w:rPr>
                <w:rFonts w:ascii="Arial" w:hAnsi="Arial" w:cs="Arial"/>
                <w:color w:val="FFFFFF" w:themeColor="background1"/>
              </w:rPr>
              <w:t>Formula</w:t>
            </w:r>
          </w:p>
        </w:tc>
        <w:tc>
          <w:tcPr>
            <w:tcW w:w="1799" w:type="pct"/>
            <w:shd w:val="clear" w:color="auto" w:fill="E81D32"/>
            <w:vAlign w:val="center"/>
            <w:hideMark/>
          </w:tcPr>
          <w:p w14:paraId="78D2C449" w14:textId="77777777" w:rsidR="00425098" w:rsidRPr="008540FE" w:rsidRDefault="00425098" w:rsidP="008540FE">
            <w:pPr>
              <w:pStyle w:val="TableHeading"/>
              <w:spacing w:before="0" w:after="0"/>
              <w:rPr>
                <w:rFonts w:ascii="Arial" w:hAnsi="Arial" w:cs="Arial"/>
                <w:color w:val="FFFFFF" w:themeColor="background1"/>
              </w:rPr>
            </w:pPr>
            <w:r w:rsidRPr="008540FE">
              <w:rPr>
                <w:rFonts w:ascii="Arial" w:hAnsi="Arial" w:cs="Arial"/>
                <w:color w:val="FFFFFF" w:themeColor="background1"/>
              </w:rPr>
              <w:t>Input/Assumption</w:t>
            </w:r>
          </w:p>
        </w:tc>
      </w:tr>
      <w:tr w:rsidR="00425098" w:rsidRPr="000A53C0" w14:paraId="03D088DA" w14:textId="77777777" w:rsidTr="008540FE">
        <w:trPr>
          <w:trHeight w:val="875"/>
        </w:trPr>
        <w:tc>
          <w:tcPr>
            <w:tcW w:w="259" w:type="pct"/>
            <w:vMerge w:val="restart"/>
            <w:shd w:val="clear" w:color="auto" w:fill="D9D9D9" w:themeFill="background1" w:themeFillShade="D9"/>
            <w:vAlign w:val="center"/>
          </w:tcPr>
          <w:p w14:paraId="32B0B5B7" w14:textId="77777777" w:rsidR="00425098" w:rsidRPr="00670753" w:rsidRDefault="00425098">
            <w:pPr>
              <w:pStyle w:val="TableHeading"/>
              <w:spacing w:before="0"/>
              <w:jc w:val="center"/>
              <w:rPr>
                <w:rFonts w:ascii="Arial" w:hAnsi="Arial" w:cs="Arial"/>
                <w:sz w:val="18"/>
                <w:szCs w:val="18"/>
              </w:rPr>
            </w:pPr>
            <w:r w:rsidRPr="00670753">
              <w:rPr>
                <w:rFonts w:ascii="Arial" w:hAnsi="Arial" w:cs="Arial"/>
                <w:sz w:val="18"/>
                <w:szCs w:val="18"/>
              </w:rPr>
              <w:t>#14</w:t>
            </w:r>
          </w:p>
        </w:tc>
        <w:tc>
          <w:tcPr>
            <w:tcW w:w="1082" w:type="pct"/>
            <w:vMerge w:val="restart"/>
            <w:shd w:val="clear" w:color="auto" w:fill="D9D9D9" w:themeFill="background1" w:themeFillShade="D9"/>
            <w:tcMar>
              <w:top w:w="72" w:type="dxa"/>
              <w:left w:w="144" w:type="dxa"/>
              <w:bottom w:w="72" w:type="dxa"/>
              <w:right w:w="144" w:type="dxa"/>
            </w:tcMar>
            <w:vAlign w:val="center"/>
          </w:tcPr>
          <w:p w14:paraId="40380A3E" w14:textId="77777777" w:rsidR="00425098" w:rsidRPr="00670753" w:rsidRDefault="00425098">
            <w:pPr>
              <w:pStyle w:val="TableHeading"/>
              <w:spacing w:before="0"/>
              <w:rPr>
                <w:rFonts w:ascii="Arial" w:hAnsi="Arial" w:cs="Arial"/>
                <w:sz w:val="18"/>
                <w:szCs w:val="18"/>
              </w:rPr>
            </w:pPr>
            <w:r w:rsidRPr="00670753">
              <w:rPr>
                <w:rFonts w:ascii="Arial" w:hAnsi="Arial" w:cs="Arial"/>
                <w:sz w:val="18"/>
                <w:szCs w:val="18"/>
              </w:rPr>
              <w:t xml:space="preserve">Lost income over period of unemployment </w:t>
            </w:r>
          </w:p>
          <w:p w14:paraId="40EDC16B" w14:textId="77777777" w:rsidR="00425098" w:rsidRPr="00670753" w:rsidRDefault="00425098">
            <w:pPr>
              <w:pStyle w:val="TableHeading"/>
              <w:spacing w:before="0"/>
              <w:rPr>
                <w:rFonts w:ascii="Arial" w:hAnsi="Arial" w:cs="Arial"/>
                <w:sz w:val="18"/>
                <w:szCs w:val="18"/>
              </w:rPr>
            </w:pPr>
            <w:r w:rsidRPr="00670753">
              <w:rPr>
                <w:rFonts w:ascii="Arial" w:hAnsi="Arial" w:cs="Arial"/>
                <w:sz w:val="18"/>
                <w:szCs w:val="18"/>
              </w:rPr>
              <w:t>(net of JobSeeker payments)</w:t>
            </w:r>
          </w:p>
        </w:tc>
        <w:tc>
          <w:tcPr>
            <w:tcW w:w="1859" w:type="pct"/>
            <w:vMerge w:val="restart"/>
            <w:shd w:val="clear" w:color="auto" w:fill="auto"/>
            <w:vAlign w:val="center"/>
          </w:tcPr>
          <w:p w14:paraId="7C21F7FD" w14:textId="77777777" w:rsidR="00425098" w:rsidRPr="000A53C0" w:rsidRDefault="00425098">
            <w:pPr>
              <w:pStyle w:val="TableHeading"/>
              <w:spacing w:before="0"/>
              <w:jc w:val="center"/>
              <w:rPr>
                <w:rFonts w:ascii="Arial" w:hAnsi="Arial" w:cs="Arial"/>
                <w:bCs/>
                <w:iCs/>
                <w:color w:val="262626" w:themeColor="text1" w:themeTint="D9"/>
                <w:sz w:val="18"/>
                <w:szCs w:val="18"/>
              </w:rPr>
            </w:pPr>
            <w:r w:rsidRPr="000A53C0">
              <w:rPr>
                <w:rFonts w:ascii="Arial" w:hAnsi="Arial" w:cs="Arial"/>
                <w:bCs/>
                <w:iCs/>
                <w:color w:val="262626" w:themeColor="text1" w:themeTint="D9"/>
                <w:sz w:val="18"/>
                <w:szCs w:val="18"/>
              </w:rPr>
              <w:t>Lost income over the period (sole traders and small business)</w:t>
            </w:r>
          </w:p>
          <w:p w14:paraId="3E33A81C" w14:textId="77777777" w:rsidR="00425098" w:rsidRPr="000A53C0" w:rsidRDefault="00425098">
            <w:pPr>
              <w:pStyle w:val="TableHeading"/>
              <w:spacing w:before="0"/>
              <w:jc w:val="center"/>
              <w:rPr>
                <w:rFonts w:ascii="Arial" w:hAnsi="Arial" w:cs="Arial"/>
                <w:bCs/>
                <w:iCs/>
                <w:color w:val="262626" w:themeColor="text1" w:themeTint="D9"/>
                <w:sz w:val="18"/>
                <w:szCs w:val="18"/>
              </w:rPr>
            </w:pPr>
            <w:r w:rsidRPr="000A53C0">
              <w:rPr>
                <w:rFonts w:ascii="Arial" w:hAnsi="Arial" w:cs="Arial"/>
                <w:bCs/>
                <w:iCs/>
                <w:color w:val="262626" w:themeColor="text1" w:themeTint="D9"/>
                <w:sz w:val="18"/>
                <w:szCs w:val="18"/>
              </w:rPr>
              <w:t>=</w:t>
            </w:r>
          </w:p>
          <w:p w14:paraId="5EC5161B" w14:textId="77777777" w:rsidR="00425098" w:rsidRPr="000A53C0" w:rsidRDefault="00425098">
            <w:pPr>
              <w:pStyle w:val="TableHeading"/>
              <w:spacing w:before="0"/>
              <w:jc w:val="center"/>
              <w:rPr>
                <w:rFonts w:ascii="Arial" w:hAnsi="Arial" w:cs="Arial"/>
                <w:b w:val="0"/>
                <w:bCs/>
                <w:sz w:val="18"/>
                <w:szCs w:val="18"/>
              </w:rPr>
            </w:pPr>
            <w:r w:rsidRPr="000A53C0">
              <w:rPr>
                <w:rFonts w:ascii="Arial" w:hAnsi="Arial" w:cs="Arial"/>
                <w:b w:val="0"/>
                <w:bCs/>
                <w:sz w:val="18"/>
                <w:szCs w:val="18"/>
              </w:rPr>
              <w:t>No. of business closures for sole traders and small businesses (no redundancy assumed for these PCBUs)</w:t>
            </w:r>
          </w:p>
          <w:p w14:paraId="49EE0524" w14:textId="77777777" w:rsidR="00425098" w:rsidRPr="000A53C0" w:rsidRDefault="00425098">
            <w:pPr>
              <w:pStyle w:val="TableHeading"/>
              <w:spacing w:before="0"/>
              <w:jc w:val="center"/>
              <w:rPr>
                <w:rFonts w:ascii="Arial" w:hAnsi="Arial" w:cs="Arial"/>
                <w:b w:val="0"/>
                <w:bCs/>
                <w:sz w:val="18"/>
                <w:szCs w:val="18"/>
              </w:rPr>
            </w:pPr>
            <w:r w:rsidRPr="000A53C0">
              <w:rPr>
                <w:rFonts w:ascii="Arial" w:hAnsi="Arial" w:cs="Arial"/>
                <w:b w:val="0"/>
                <w:bCs/>
                <w:sz w:val="18"/>
                <w:szCs w:val="18"/>
              </w:rPr>
              <w:t>x</w:t>
            </w:r>
          </w:p>
          <w:p w14:paraId="4B480F2B" w14:textId="77777777" w:rsidR="00425098" w:rsidRPr="000A53C0" w:rsidRDefault="00425098">
            <w:pPr>
              <w:pStyle w:val="TableHeading"/>
              <w:spacing w:before="0"/>
              <w:jc w:val="center"/>
              <w:rPr>
                <w:rFonts w:ascii="Arial" w:hAnsi="Arial" w:cs="Arial"/>
                <w:b w:val="0"/>
                <w:bCs/>
                <w:sz w:val="18"/>
                <w:szCs w:val="18"/>
              </w:rPr>
            </w:pPr>
            <w:r w:rsidRPr="000A53C0">
              <w:rPr>
                <w:rFonts w:ascii="Arial" w:hAnsi="Arial" w:cs="Arial"/>
                <w:b w:val="0"/>
                <w:bCs/>
                <w:sz w:val="18"/>
                <w:szCs w:val="18"/>
              </w:rPr>
              <w:t>Average no. of workers by business, by size</w:t>
            </w:r>
          </w:p>
          <w:p w14:paraId="267ABD57"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x</w:t>
            </w:r>
          </w:p>
          <w:p w14:paraId="4DBE687A"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[Average weekly earnings</w:t>
            </w:r>
          </w:p>
          <w:p w14:paraId="1CBB012A"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w:t>
            </w:r>
          </w:p>
          <w:p w14:paraId="4D2870DD"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Jobseeker payment per week]</w:t>
            </w:r>
          </w:p>
          <w:p w14:paraId="237EA880"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x</w:t>
            </w:r>
          </w:p>
          <w:p w14:paraId="4D1304A6"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Number of weeks without work</w:t>
            </w:r>
          </w:p>
          <w:p w14:paraId="6DA63F73" w14:textId="77777777" w:rsidR="00425098" w:rsidRPr="000A53C0" w:rsidRDefault="00425098">
            <w:pPr>
              <w:pStyle w:val="TableHeading"/>
              <w:spacing w:before="0"/>
              <w:rPr>
                <w:rFonts w:ascii="Arial" w:hAnsi="Arial" w:cs="Arial"/>
                <w:b w:val="0"/>
                <w:iCs/>
                <w:color w:val="262626" w:themeColor="text1" w:themeTint="D9"/>
                <w:sz w:val="18"/>
                <w:szCs w:val="18"/>
                <w:lang w:val="en-AU"/>
              </w:rPr>
            </w:pPr>
          </w:p>
        </w:tc>
        <w:tc>
          <w:tcPr>
            <w:tcW w:w="1799" w:type="pct"/>
            <w:shd w:val="clear" w:color="auto" w:fill="auto"/>
          </w:tcPr>
          <w:p w14:paraId="1DDD153E" w14:textId="77777777" w:rsidR="00425098" w:rsidRPr="000A53C0" w:rsidRDefault="00425098">
            <w:pPr>
              <w:pStyle w:val="TableHeading"/>
              <w:spacing w:before="0"/>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Assessing the period of unemployment is difficult. Given tight labour market conditions for the construction sector and shortages of workers with these skills, the analysis has assumed:</w:t>
            </w:r>
          </w:p>
          <w:p w14:paraId="4584A5BE" w14:textId="77777777" w:rsidR="00425098" w:rsidRPr="000A53C0" w:rsidRDefault="00425098" w:rsidP="00766916">
            <w:pPr>
              <w:pStyle w:val="TableHeading"/>
              <w:numPr>
                <w:ilvl w:val="0"/>
                <w:numId w:val="35"/>
              </w:numPr>
              <w:spacing w:before="0"/>
              <w:rPr>
                <w:rFonts w:ascii="Arial" w:hAnsi="Arial" w:cs="Arial"/>
                <w:b w:val="0"/>
                <w:iCs/>
                <w:color w:val="262626" w:themeColor="text1" w:themeTint="D9"/>
                <w:sz w:val="18"/>
                <w:szCs w:val="18"/>
                <w:lang w:val="en-AU"/>
              </w:rPr>
            </w:pPr>
            <w:r w:rsidRPr="000A53C0">
              <w:rPr>
                <w:rFonts w:ascii="Arial" w:hAnsi="Arial" w:cs="Arial"/>
                <w:b w:val="0"/>
                <w:iCs/>
                <w:color w:val="262626" w:themeColor="text1" w:themeTint="D9"/>
                <w:sz w:val="18"/>
                <w:szCs w:val="18"/>
                <w:lang w:val="en-AU"/>
              </w:rPr>
              <w:t>The majority of workers who choose to remain in the sector, would find alternative employment relatively quickly.</w:t>
            </w:r>
          </w:p>
          <w:p w14:paraId="0CD74909" w14:textId="77777777" w:rsidR="00425098" w:rsidRPr="000A53C0" w:rsidRDefault="00425098" w:rsidP="00766916">
            <w:pPr>
              <w:pStyle w:val="TableHeading"/>
              <w:numPr>
                <w:ilvl w:val="0"/>
                <w:numId w:val="35"/>
              </w:numPr>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A redundancy package of 8 weeks would offset the loss of income incurred while looking for another job for medium businesses.</w:t>
            </w:r>
          </w:p>
          <w:p w14:paraId="3A199E09" w14:textId="77777777" w:rsidR="00425098" w:rsidRPr="000A53C0" w:rsidRDefault="00425098" w:rsidP="00766916">
            <w:pPr>
              <w:pStyle w:val="TableHeading"/>
              <w:numPr>
                <w:ilvl w:val="0"/>
                <w:numId w:val="35"/>
              </w:numPr>
              <w:spacing w:before="0"/>
              <w:rPr>
                <w:rFonts w:ascii="Arial" w:hAnsi="Arial" w:cs="Arial"/>
                <w:b w:val="0"/>
                <w:iCs/>
                <w:color w:val="262626" w:themeColor="text1" w:themeTint="D9"/>
                <w:sz w:val="18"/>
                <w:szCs w:val="18"/>
                <w:lang w:val="en-AU"/>
              </w:rPr>
            </w:pPr>
            <w:r w:rsidRPr="000A53C0">
              <w:rPr>
                <w:rFonts w:ascii="Arial" w:hAnsi="Arial" w:cs="Arial"/>
                <w:b w:val="0"/>
                <w:color w:val="262626" w:themeColor="text1" w:themeTint="D9"/>
                <w:sz w:val="18"/>
                <w:szCs w:val="18"/>
                <w:lang w:val="en-AU"/>
              </w:rPr>
              <w:t>Sole traders and owners and workers in small businesses receive 8 weeks of Jobseeker before finding alternative employment. This assumption reflects the potential that these PCBUs will not be able to or are not required to provide a redundancy payment.</w:t>
            </w:r>
            <w:r w:rsidRPr="000A53C0">
              <w:rPr>
                <w:rFonts w:ascii="Arial" w:hAnsi="Arial" w:cs="Arial"/>
                <w:b w:val="0"/>
                <w:iCs/>
                <w:color w:val="262626" w:themeColor="text1" w:themeTint="D9"/>
                <w:sz w:val="18"/>
                <w:szCs w:val="18"/>
                <w:lang w:val="en-AU"/>
              </w:rPr>
              <w:t xml:space="preserve">  </w:t>
            </w:r>
          </w:p>
        </w:tc>
      </w:tr>
      <w:tr w:rsidR="00425098" w:rsidRPr="000A53C0" w14:paraId="64438D3A" w14:textId="77777777" w:rsidTr="008540FE">
        <w:trPr>
          <w:trHeight w:val="520"/>
        </w:trPr>
        <w:tc>
          <w:tcPr>
            <w:tcW w:w="259" w:type="pct"/>
            <w:vMerge/>
            <w:shd w:val="clear" w:color="auto" w:fill="D9D9D9" w:themeFill="background1" w:themeFillShade="D9"/>
            <w:vAlign w:val="center"/>
          </w:tcPr>
          <w:p w14:paraId="721ED4E8" w14:textId="77777777" w:rsidR="00425098" w:rsidRPr="000A53C0" w:rsidRDefault="00425098">
            <w:pPr>
              <w:pStyle w:val="TableHeading"/>
              <w:spacing w:before="0"/>
              <w:jc w:val="center"/>
              <w:rPr>
                <w:rFonts w:ascii="Arial" w:hAnsi="Arial" w:cs="Arial"/>
                <w:color w:val="FFFFFF" w:themeColor="background1"/>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23DAAD96" w14:textId="77777777" w:rsidR="00425098" w:rsidRPr="000A53C0" w:rsidRDefault="00425098">
            <w:pPr>
              <w:pStyle w:val="TableHeading"/>
              <w:spacing w:before="0"/>
              <w:rPr>
                <w:rFonts w:ascii="Arial" w:hAnsi="Arial" w:cs="Arial"/>
                <w:color w:val="FFFFFF" w:themeColor="background1"/>
                <w:sz w:val="18"/>
                <w:szCs w:val="18"/>
              </w:rPr>
            </w:pPr>
          </w:p>
        </w:tc>
        <w:tc>
          <w:tcPr>
            <w:tcW w:w="1859" w:type="pct"/>
            <w:vMerge/>
            <w:shd w:val="clear" w:color="auto" w:fill="auto"/>
            <w:vAlign w:val="center"/>
          </w:tcPr>
          <w:p w14:paraId="17421D26"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5E65037C" w14:textId="77777777"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Number of engineered stone sole traders and small businesses that cease operating (by option): </w:t>
            </w:r>
            <w:r w:rsidRPr="000A53C0">
              <w:rPr>
                <w:rFonts w:ascii="Arial" w:hAnsi="Arial" w:cs="Arial"/>
                <w:b w:val="0"/>
                <w:color w:val="262626" w:themeColor="text1" w:themeTint="D9"/>
                <w:sz w:val="18"/>
                <w:szCs w:val="18"/>
                <w:lang w:val="en-AU"/>
              </w:rPr>
              <w:t>See Ref#1</w:t>
            </w:r>
          </w:p>
        </w:tc>
      </w:tr>
      <w:tr w:rsidR="00425098" w:rsidRPr="000A53C0" w14:paraId="20A6F8BB" w14:textId="77777777" w:rsidTr="008540FE">
        <w:trPr>
          <w:trHeight w:val="776"/>
        </w:trPr>
        <w:tc>
          <w:tcPr>
            <w:tcW w:w="259" w:type="pct"/>
            <w:vMerge/>
            <w:shd w:val="clear" w:color="auto" w:fill="D9D9D9" w:themeFill="background1" w:themeFillShade="D9"/>
            <w:vAlign w:val="center"/>
          </w:tcPr>
          <w:p w14:paraId="0E8DDA77" w14:textId="77777777" w:rsidR="00425098" w:rsidRPr="000A53C0" w:rsidRDefault="00425098">
            <w:pPr>
              <w:pStyle w:val="TableHeading"/>
              <w:spacing w:before="0"/>
              <w:jc w:val="center"/>
              <w:rPr>
                <w:rFonts w:ascii="Arial" w:hAnsi="Arial" w:cs="Arial"/>
                <w:color w:val="FFFFFF" w:themeColor="background1"/>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7302CC63" w14:textId="77777777" w:rsidR="00425098" w:rsidRPr="000A53C0" w:rsidRDefault="00425098">
            <w:pPr>
              <w:pStyle w:val="TableHeading"/>
              <w:spacing w:before="0"/>
              <w:rPr>
                <w:rFonts w:ascii="Arial" w:hAnsi="Arial" w:cs="Arial"/>
                <w:color w:val="FFFFFF" w:themeColor="background1"/>
                <w:sz w:val="18"/>
                <w:szCs w:val="18"/>
              </w:rPr>
            </w:pPr>
          </w:p>
        </w:tc>
        <w:tc>
          <w:tcPr>
            <w:tcW w:w="1859" w:type="pct"/>
            <w:vMerge/>
            <w:shd w:val="clear" w:color="auto" w:fill="auto"/>
            <w:vAlign w:val="center"/>
          </w:tcPr>
          <w:p w14:paraId="4D67E4E8"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25C56456" w14:textId="32667DE4" w:rsidR="00425098" w:rsidRPr="000A53C0" w:rsidRDefault="00425098">
            <w:pPr>
              <w:pStyle w:val="TableHeading"/>
              <w:spacing w:before="0"/>
              <w:rPr>
                <w:rFonts w:ascii="Arial" w:hAnsi="Arial" w:cs="Arial"/>
                <w:color w:val="262626" w:themeColor="text1" w:themeTint="D9"/>
                <w:sz w:val="18"/>
                <w:szCs w:val="18"/>
                <w:lang w:val="en-AU"/>
              </w:rPr>
            </w:pPr>
            <w:r w:rsidRPr="000A53C0">
              <w:rPr>
                <w:rFonts w:ascii="Arial" w:hAnsi="Arial" w:cs="Arial"/>
                <w:bCs/>
                <w:color w:val="262626" w:themeColor="text1" w:themeTint="D9"/>
                <w:sz w:val="18"/>
                <w:szCs w:val="18"/>
                <w:lang w:val="en-AU"/>
              </w:rPr>
              <w:t>Average number of workers by engineered stone PCBUS, by size:</w:t>
            </w:r>
            <w:r w:rsidRPr="000A53C0">
              <w:rPr>
                <w:rFonts w:ascii="Arial" w:hAnsi="Arial" w:cs="Arial"/>
                <w:color w:val="262626" w:themeColor="text1" w:themeTint="D9"/>
                <w:sz w:val="18"/>
                <w:szCs w:val="18"/>
                <w:lang w:val="en-AU"/>
              </w:rPr>
              <w:t xml:space="preserve"> </w:t>
            </w:r>
            <w:r w:rsidRPr="000A53C0">
              <w:rPr>
                <w:rFonts w:ascii="Arial" w:hAnsi="Arial" w:cs="Arial"/>
                <w:b w:val="0"/>
                <w:bCs/>
                <w:color w:val="262626" w:themeColor="text1" w:themeTint="D9"/>
                <w:sz w:val="18"/>
                <w:szCs w:val="18"/>
                <w:lang w:val="en-AU"/>
              </w:rPr>
              <w:t>s</w:t>
            </w:r>
            <w:r w:rsidRPr="000A53C0">
              <w:rPr>
                <w:rFonts w:ascii="Arial" w:hAnsi="Arial" w:cs="Arial"/>
                <w:b w:val="0"/>
                <w:color w:val="262626" w:themeColor="text1" w:themeTint="D9"/>
                <w:sz w:val="18"/>
                <w:szCs w:val="18"/>
                <w:lang w:val="en-AU"/>
              </w:rPr>
              <w:t xml:space="preserve">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_Ref138662108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19</w:t>
            </w:r>
            <w:r w:rsidRPr="000A53C0">
              <w:rPr>
                <w:rFonts w:ascii="Arial" w:hAnsi="Arial" w:cs="Arial"/>
                <w:b w:val="0"/>
                <w:color w:val="262626" w:themeColor="text1" w:themeTint="D9"/>
                <w:sz w:val="18"/>
                <w:szCs w:val="18"/>
                <w:lang w:val="en-AU"/>
              </w:rPr>
              <w:fldChar w:fldCharType="end"/>
            </w:r>
          </w:p>
        </w:tc>
      </w:tr>
      <w:tr w:rsidR="00425098" w:rsidRPr="000A53C0" w14:paraId="500820B9" w14:textId="77777777" w:rsidTr="008540FE">
        <w:trPr>
          <w:trHeight w:val="237"/>
        </w:trPr>
        <w:tc>
          <w:tcPr>
            <w:tcW w:w="259" w:type="pct"/>
            <w:vMerge/>
            <w:shd w:val="clear" w:color="auto" w:fill="D9D9D9" w:themeFill="background1" w:themeFillShade="D9"/>
            <w:vAlign w:val="center"/>
          </w:tcPr>
          <w:p w14:paraId="40A0EE55" w14:textId="77777777" w:rsidR="00425098" w:rsidRPr="000A53C0" w:rsidRDefault="00425098">
            <w:pPr>
              <w:pStyle w:val="TableHeading"/>
              <w:spacing w:before="0"/>
              <w:jc w:val="center"/>
              <w:rPr>
                <w:rFonts w:ascii="Arial" w:hAnsi="Arial" w:cs="Arial"/>
                <w:color w:val="FFFFFF" w:themeColor="background1"/>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78E408E5" w14:textId="77777777" w:rsidR="00425098" w:rsidRPr="000A53C0" w:rsidRDefault="00425098">
            <w:pPr>
              <w:pStyle w:val="TableHeading"/>
              <w:spacing w:before="0"/>
              <w:rPr>
                <w:rFonts w:ascii="Arial" w:hAnsi="Arial" w:cs="Arial"/>
                <w:color w:val="FFFFFF" w:themeColor="background1"/>
                <w:sz w:val="18"/>
                <w:szCs w:val="18"/>
              </w:rPr>
            </w:pPr>
          </w:p>
        </w:tc>
        <w:tc>
          <w:tcPr>
            <w:tcW w:w="1859" w:type="pct"/>
            <w:vMerge/>
            <w:shd w:val="clear" w:color="auto" w:fill="auto"/>
            <w:vAlign w:val="center"/>
          </w:tcPr>
          <w:p w14:paraId="5F36271C"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3B8748FF" w14:textId="5DA5FC9C" w:rsidR="00425098" w:rsidRPr="000A53C0" w:rsidRDefault="00425098">
            <w:pPr>
              <w:pStyle w:val="TableHeading"/>
              <w:spacing w:before="0"/>
              <w:rPr>
                <w:rFonts w:ascii="Arial" w:hAnsi="Arial" w:cs="Arial"/>
                <w:bCs/>
                <w:iCs/>
                <w:color w:val="262626" w:themeColor="text1" w:themeTint="D9"/>
                <w:sz w:val="18"/>
                <w:szCs w:val="18"/>
                <w:highlight w:val="green"/>
                <w:lang w:val="en-AU"/>
              </w:rPr>
            </w:pPr>
            <w:r w:rsidRPr="000A53C0">
              <w:rPr>
                <w:rFonts w:ascii="Arial" w:hAnsi="Arial" w:cs="Arial"/>
                <w:bCs/>
                <w:iCs/>
                <w:color w:val="262626" w:themeColor="text1" w:themeTint="D9"/>
                <w:sz w:val="18"/>
                <w:szCs w:val="18"/>
                <w:lang w:val="en-AU"/>
              </w:rPr>
              <w:t xml:space="preserve">Average weekly earnings: </w:t>
            </w:r>
            <w:r w:rsidRPr="000A53C0">
              <w:rPr>
                <w:rFonts w:ascii="Arial" w:hAnsi="Arial" w:cs="Arial"/>
                <w:b w:val="0"/>
                <w:iCs/>
                <w:color w:val="262626" w:themeColor="text1" w:themeTint="D9"/>
                <w:sz w:val="18"/>
                <w:szCs w:val="18"/>
                <w:lang w:val="en-AU"/>
              </w:rPr>
              <w:t xml:space="preserve">$1786.00 </w:t>
            </w:r>
            <w:r w:rsidRPr="000A53C0">
              <w:rPr>
                <w:rFonts w:ascii="Arial" w:hAnsi="Arial" w:cs="Arial"/>
                <w:b w:val="0"/>
                <w:bCs/>
                <w:sz w:val="18"/>
                <w:szCs w:val="18"/>
              </w:rPr>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r w:rsidR="00425098" w:rsidRPr="000A53C0" w14:paraId="34BCFC9C" w14:textId="77777777" w:rsidTr="008540FE">
        <w:trPr>
          <w:trHeight w:val="291"/>
        </w:trPr>
        <w:tc>
          <w:tcPr>
            <w:tcW w:w="259" w:type="pct"/>
            <w:vMerge/>
            <w:shd w:val="clear" w:color="auto" w:fill="D9D9D9" w:themeFill="background1" w:themeFillShade="D9"/>
            <w:vAlign w:val="center"/>
          </w:tcPr>
          <w:p w14:paraId="62DC3AFD" w14:textId="77777777" w:rsidR="00425098" w:rsidRPr="000A53C0" w:rsidRDefault="00425098">
            <w:pPr>
              <w:pStyle w:val="TableHeading"/>
              <w:spacing w:before="0"/>
              <w:jc w:val="center"/>
              <w:rPr>
                <w:rFonts w:ascii="Arial" w:hAnsi="Arial" w:cs="Arial"/>
                <w:color w:val="FFFFFF" w:themeColor="background1"/>
              </w:rPr>
            </w:pPr>
          </w:p>
        </w:tc>
        <w:tc>
          <w:tcPr>
            <w:tcW w:w="1082" w:type="pct"/>
            <w:vMerge/>
            <w:shd w:val="clear" w:color="auto" w:fill="D9D9D9" w:themeFill="background1" w:themeFillShade="D9"/>
            <w:tcMar>
              <w:top w:w="72" w:type="dxa"/>
              <w:left w:w="144" w:type="dxa"/>
              <w:bottom w:w="72" w:type="dxa"/>
              <w:right w:w="144" w:type="dxa"/>
            </w:tcMar>
            <w:vAlign w:val="center"/>
          </w:tcPr>
          <w:p w14:paraId="35CFD753" w14:textId="77777777" w:rsidR="00425098" w:rsidRPr="000A53C0" w:rsidRDefault="00425098">
            <w:pPr>
              <w:pStyle w:val="TableHeading"/>
              <w:spacing w:before="0"/>
              <w:rPr>
                <w:rFonts w:ascii="Arial" w:hAnsi="Arial" w:cs="Arial"/>
                <w:color w:val="FFFFFF" w:themeColor="background1"/>
              </w:rPr>
            </w:pPr>
          </w:p>
        </w:tc>
        <w:tc>
          <w:tcPr>
            <w:tcW w:w="1859" w:type="pct"/>
            <w:vMerge/>
            <w:shd w:val="clear" w:color="auto" w:fill="auto"/>
            <w:vAlign w:val="center"/>
          </w:tcPr>
          <w:p w14:paraId="018455B6"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4CD8D054" w14:textId="189C2A00"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Cs/>
                <w:iCs/>
                <w:color w:val="262626" w:themeColor="text1" w:themeTint="D9"/>
                <w:sz w:val="18"/>
                <w:szCs w:val="18"/>
                <w:lang w:val="en-AU"/>
              </w:rPr>
              <w:t xml:space="preserve">Jobseeker payment per week: </w:t>
            </w:r>
            <w:r w:rsidRPr="000A53C0">
              <w:rPr>
                <w:rFonts w:ascii="Arial" w:hAnsi="Arial" w:cs="Arial"/>
                <w:b w:val="0"/>
                <w:color w:val="262626" w:themeColor="text1" w:themeTint="D9"/>
                <w:sz w:val="18"/>
                <w:szCs w:val="18"/>
                <w:lang w:val="en-AU"/>
              </w:rPr>
              <w:t>$335.60</w:t>
            </w:r>
            <w:r w:rsidRPr="000A53C0">
              <w:rPr>
                <w:rFonts w:ascii="Arial" w:hAnsi="Arial" w:cs="Arial"/>
                <w:bCs/>
                <w:iCs/>
                <w:color w:val="262626" w:themeColor="text1" w:themeTint="D9"/>
                <w:sz w:val="18"/>
                <w:szCs w:val="18"/>
                <w:lang w:val="en-AU"/>
              </w:rPr>
              <w:t xml:space="preserve"> </w:t>
            </w:r>
            <w:r w:rsidRPr="000A53C0">
              <w:rPr>
                <w:rFonts w:ascii="Arial" w:hAnsi="Arial" w:cs="Arial"/>
                <w:b w:val="0"/>
                <w:bCs/>
                <w:sz w:val="18"/>
                <w:szCs w:val="18"/>
              </w:rPr>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r w:rsidR="00425098" w:rsidRPr="000A53C0" w14:paraId="2799C363" w14:textId="77777777" w:rsidTr="008540FE">
        <w:trPr>
          <w:trHeight w:val="216"/>
        </w:trPr>
        <w:tc>
          <w:tcPr>
            <w:tcW w:w="259" w:type="pct"/>
            <w:vMerge/>
            <w:shd w:val="clear" w:color="auto" w:fill="D9D9D9" w:themeFill="background1" w:themeFillShade="D9"/>
            <w:vAlign w:val="center"/>
          </w:tcPr>
          <w:p w14:paraId="5133C6A9" w14:textId="77777777" w:rsidR="00425098" w:rsidRPr="000A53C0" w:rsidRDefault="00425098">
            <w:pPr>
              <w:pStyle w:val="TableHeading"/>
              <w:spacing w:before="0"/>
              <w:jc w:val="center"/>
              <w:rPr>
                <w:rFonts w:ascii="Arial" w:hAnsi="Arial" w:cs="Arial"/>
                <w:color w:val="FFFFFF" w:themeColor="background1"/>
              </w:rPr>
            </w:pPr>
          </w:p>
        </w:tc>
        <w:tc>
          <w:tcPr>
            <w:tcW w:w="1082" w:type="pct"/>
            <w:vMerge/>
            <w:shd w:val="clear" w:color="auto" w:fill="D9D9D9" w:themeFill="background1" w:themeFillShade="D9"/>
            <w:tcMar>
              <w:top w:w="72" w:type="dxa"/>
              <w:left w:w="144" w:type="dxa"/>
              <w:bottom w:w="72" w:type="dxa"/>
              <w:right w:w="144" w:type="dxa"/>
            </w:tcMar>
            <w:vAlign w:val="center"/>
          </w:tcPr>
          <w:p w14:paraId="4A592101" w14:textId="77777777" w:rsidR="00425098" w:rsidRPr="000A53C0" w:rsidRDefault="00425098">
            <w:pPr>
              <w:pStyle w:val="TableHeading"/>
              <w:spacing w:before="0"/>
              <w:rPr>
                <w:rFonts w:ascii="Arial" w:hAnsi="Arial" w:cs="Arial"/>
                <w:color w:val="FFFFFF" w:themeColor="background1"/>
              </w:rPr>
            </w:pPr>
          </w:p>
        </w:tc>
        <w:tc>
          <w:tcPr>
            <w:tcW w:w="1859" w:type="pct"/>
            <w:vMerge/>
            <w:shd w:val="clear" w:color="auto" w:fill="auto"/>
            <w:vAlign w:val="center"/>
          </w:tcPr>
          <w:p w14:paraId="5853F482"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27D81491" w14:textId="37C2FD4C" w:rsidR="00425098" w:rsidRPr="000A53C0" w:rsidRDefault="00425098">
            <w:pPr>
              <w:pStyle w:val="TableHeading"/>
              <w:spacing w:before="0"/>
              <w:rPr>
                <w:rFonts w:ascii="Arial" w:hAnsi="Arial" w:cs="Arial"/>
                <w:b w:val="0"/>
                <w:color w:val="262626" w:themeColor="text1" w:themeTint="D9"/>
                <w:sz w:val="18"/>
                <w:szCs w:val="18"/>
                <w:lang w:val="en-AU"/>
              </w:rPr>
            </w:pPr>
            <w:r w:rsidRPr="000A53C0">
              <w:rPr>
                <w:rFonts w:ascii="Arial" w:hAnsi="Arial" w:cs="Arial"/>
                <w:bCs/>
                <w:iCs/>
                <w:color w:val="262626" w:themeColor="text1" w:themeTint="D9"/>
                <w:sz w:val="18"/>
                <w:szCs w:val="18"/>
                <w:lang w:val="en-AU"/>
              </w:rPr>
              <w:t xml:space="preserve">Number of weeks without work: </w:t>
            </w:r>
            <w:r w:rsidRPr="000A53C0">
              <w:rPr>
                <w:rFonts w:ascii="Arial" w:hAnsi="Arial" w:cs="Arial"/>
                <w:b w:val="0"/>
                <w:color w:val="262626" w:themeColor="text1" w:themeTint="D9"/>
                <w:sz w:val="18"/>
                <w:szCs w:val="18"/>
                <w:lang w:val="en-AU"/>
              </w:rPr>
              <w:t>8 weeks</w:t>
            </w:r>
            <w:r w:rsidRPr="000A53C0">
              <w:rPr>
                <w:rFonts w:ascii="Arial" w:hAnsi="Arial" w:cs="Arial"/>
                <w:bCs/>
                <w:iCs/>
                <w:color w:val="262626" w:themeColor="text1" w:themeTint="D9"/>
                <w:sz w:val="18"/>
                <w:szCs w:val="18"/>
                <w:lang w:val="en-AU"/>
              </w:rPr>
              <w:t xml:space="preserve"> </w:t>
            </w:r>
            <w:r w:rsidRPr="000A53C0">
              <w:rPr>
                <w:rFonts w:ascii="Arial" w:hAnsi="Arial" w:cs="Arial"/>
                <w:b w:val="0"/>
                <w:bCs/>
                <w:sz w:val="18"/>
                <w:szCs w:val="18"/>
              </w:rPr>
              <w:t>(</w:t>
            </w:r>
            <w:r w:rsidRPr="000A53C0">
              <w:rPr>
                <w:rFonts w:ascii="Arial" w:hAnsi="Arial" w:cs="Arial"/>
                <w:b w:val="0"/>
                <w:color w:val="262626" w:themeColor="text1" w:themeTint="D9"/>
                <w:sz w:val="18"/>
                <w:szCs w:val="18"/>
                <w:lang w:val="en-AU"/>
              </w:rPr>
              <w:t xml:space="preserve">see </w:t>
            </w:r>
            <w:r w:rsidRPr="000A53C0">
              <w:rPr>
                <w:rFonts w:ascii="Arial" w:hAnsi="Arial" w:cs="Arial"/>
                <w:b w:val="0"/>
                <w:color w:val="262626" w:themeColor="text1" w:themeTint="D9"/>
                <w:sz w:val="18"/>
                <w:szCs w:val="18"/>
                <w:lang w:val="en-AU"/>
              </w:rPr>
              <w:fldChar w:fldCharType="begin" w:fldLock="1"/>
            </w:r>
            <w:r w:rsidRPr="000A53C0">
              <w:rPr>
                <w:rFonts w:ascii="Arial" w:hAnsi="Arial" w:cs="Arial"/>
                <w:b w:val="0"/>
                <w:color w:val="262626" w:themeColor="text1" w:themeTint="D9"/>
                <w:sz w:val="18"/>
                <w:szCs w:val="18"/>
                <w:lang w:val="en-AU"/>
              </w:rPr>
              <w:instrText xml:space="preserve"> REF _Ref135928043 \h  \* MERGEFORMAT </w:instrText>
            </w:r>
            <w:r w:rsidRPr="000A53C0">
              <w:rPr>
                <w:rFonts w:ascii="Arial" w:hAnsi="Arial" w:cs="Arial"/>
                <w:b w:val="0"/>
                <w:color w:val="262626" w:themeColor="text1" w:themeTint="D9"/>
                <w:sz w:val="18"/>
                <w:szCs w:val="18"/>
                <w:lang w:val="en-AU"/>
              </w:rPr>
            </w:r>
            <w:r w:rsidRPr="000A53C0">
              <w:rPr>
                <w:rFonts w:ascii="Arial" w:hAnsi="Arial" w:cs="Arial"/>
                <w:b w:val="0"/>
                <w:color w:val="262626" w:themeColor="text1" w:themeTint="D9"/>
                <w:sz w:val="18"/>
                <w:szCs w:val="18"/>
                <w:lang w:val="en-AU"/>
              </w:rPr>
              <w:fldChar w:fldCharType="separate"/>
            </w:r>
            <w:r w:rsidR="00D16271" w:rsidRPr="00D16271">
              <w:rPr>
                <w:rFonts w:ascii="Arial" w:hAnsi="Arial" w:cs="Arial"/>
                <w:b w:val="0"/>
                <w:color w:val="262626" w:themeColor="text1" w:themeTint="D9"/>
                <w:sz w:val="18"/>
                <w:szCs w:val="18"/>
                <w:lang w:val="en-AU"/>
              </w:rPr>
              <w:t>Table 28</w:t>
            </w:r>
            <w:r w:rsidRPr="000A53C0">
              <w:rPr>
                <w:rFonts w:ascii="Arial" w:hAnsi="Arial" w:cs="Arial"/>
                <w:b w:val="0"/>
                <w:color w:val="262626" w:themeColor="text1" w:themeTint="D9"/>
                <w:sz w:val="18"/>
                <w:szCs w:val="18"/>
                <w:lang w:val="en-AU"/>
              </w:rPr>
              <w:fldChar w:fldCharType="end"/>
            </w:r>
            <w:r w:rsidRPr="000A53C0">
              <w:rPr>
                <w:rFonts w:ascii="Arial" w:hAnsi="Arial" w:cs="Arial"/>
                <w:b w:val="0"/>
                <w:sz w:val="18"/>
                <w:szCs w:val="18"/>
              </w:rPr>
              <w:t>)</w:t>
            </w:r>
          </w:p>
        </w:tc>
      </w:tr>
      <w:tr w:rsidR="00425098" w:rsidRPr="000A53C0" w14:paraId="6EDCA397" w14:textId="77777777" w:rsidTr="008540FE">
        <w:trPr>
          <w:trHeight w:val="216"/>
        </w:trPr>
        <w:tc>
          <w:tcPr>
            <w:tcW w:w="259" w:type="pct"/>
            <w:vMerge/>
            <w:shd w:val="clear" w:color="auto" w:fill="D9D9D9" w:themeFill="background1" w:themeFillShade="D9"/>
            <w:vAlign w:val="center"/>
          </w:tcPr>
          <w:p w14:paraId="50E97618" w14:textId="77777777" w:rsidR="00425098" w:rsidRPr="000A53C0" w:rsidRDefault="00425098">
            <w:pPr>
              <w:pStyle w:val="TableHeading"/>
              <w:spacing w:before="0"/>
              <w:jc w:val="center"/>
              <w:rPr>
                <w:rFonts w:ascii="Arial" w:hAnsi="Arial" w:cs="Arial"/>
                <w:color w:val="FFFFFF" w:themeColor="background1"/>
              </w:rPr>
            </w:pPr>
          </w:p>
        </w:tc>
        <w:tc>
          <w:tcPr>
            <w:tcW w:w="1082" w:type="pct"/>
            <w:vMerge/>
            <w:shd w:val="clear" w:color="auto" w:fill="D9D9D9" w:themeFill="background1" w:themeFillShade="D9"/>
            <w:tcMar>
              <w:top w:w="72" w:type="dxa"/>
              <w:left w:w="144" w:type="dxa"/>
              <w:bottom w:w="72" w:type="dxa"/>
              <w:right w:w="144" w:type="dxa"/>
            </w:tcMar>
            <w:vAlign w:val="center"/>
          </w:tcPr>
          <w:p w14:paraId="27645B59" w14:textId="77777777" w:rsidR="00425098" w:rsidRPr="000A53C0" w:rsidRDefault="00425098">
            <w:pPr>
              <w:pStyle w:val="TableHeading"/>
              <w:spacing w:before="0"/>
              <w:rPr>
                <w:rFonts w:ascii="Arial" w:hAnsi="Arial" w:cs="Arial"/>
                <w:color w:val="FFFFFF" w:themeColor="background1"/>
              </w:rPr>
            </w:pPr>
          </w:p>
        </w:tc>
        <w:tc>
          <w:tcPr>
            <w:tcW w:w="1859" w:type="pct"/>
            <w:vMerge/>
            <w:shd w:val="clear" w:color="auto" w:fill="auto"/>
            <w:vAlign w:val="center"/>
          </w:tcPr>
          <w:p w14:paraId="50113CFF" w14:textId="77777777" w:rsidR="00425098" w:rsidRPr="000A53C0" w:rsidRDefault="00425098">
            <w:pPr>
              <w:pStyle w:val="TableHeading"/>
              <w:spacing w:before="0"/>
              <w:jc w:val="center"/>
              <w:rPr>
                <w:rFonts w:ascii="Arial" w:hAnsi="Arial" w:cs="Arial"/>
                <w:b w:val="0"/>
                <w:iCs/>
                <w:color w:val="262626" w:themeColor="text1" w:themeTint="D9"/>
                <w:sz w:val="18"/>
                <w:szCs w:val="18"/>
                <w:lang w:val="en-AU"/>
              </w:rPr>
            </w:pPr>
          </w:p>
        </w:tc>
        <w:tc>
          <w:tcPr>
            <w:tcW w:w="1799" w:type="pct"/>
            <w:shd w:val="clear" w:color="auto" w:fill="auto"/>
          </w:tcPr>
          <w:p w14:paraId="405DF068" w14:textId="77777777" w:rsidR="00425098" w:rsidRPr="000A53C0" w:rsidRDefault="00425098">
            <w:pPr>
              <w:pStyle w:val="TableHeading"/>
              <w:spacing w:before="0"/>
              <w:rPr>
                <w:rFonts w:ascii="Arial" w:hAnsi="Arial" w:cs="Arial"/>
                <w:bCs/>
                <w:iCs/>
                <w:color w:val="262626" w:themeColor="text1" w:themeTint="D9"/>
                <w:sz w:val="18"/>
                <w:szCs w:val="18"/>
                <w:lang w:val="en-AU"/>
              </w:rPr>
            </w:pPr>
            <w:r w:rsidRPr="000A53C0">
              <w:rPr>
                <w:rFonts w:ascii="Arial" w:hAnsi="Arial" w:cs="Arial"/>
                <w:sz w:val="18"/>
                <w:szCs w:val="18"/>
              </w:rPr>
              <w:t xml:space="preserve">Time period: </w:t>
            </w:r>
            <w:r w:rsidRPr="000A53C0">
              <w:rPr>
                <w:rFonts w:ascii="Arial" w:hAnsi="Arial" w:cs="Arial"/>
                <w:b w:val="0"/>
                <w:sz w:val="18"/>
                <w:szCs w:val="18"/>
              </w:rPr>
              <w:t>half in implementation year and half in year of prohibition taking effect</w:t>
            </w:r>
          </w:p>
        </w:tc>
      </w:tr>
      <w:tr w:rsidR="00425098" w:rsidRPr="000A53C0" w14:paraId="62511E25" w14:textId="77777777" w:rsidTr="008540FE">
        <w:trPr>
          <w:cantSplit/>
          <w:trHeight w:val="20"/>
        </w:trPr>
        <w:tc>
          <w:tcPr>
            <w:tcW w:w="259" w:type="pct"/>
            <w:vMerge w:val="restart"/>
            <w:shd w:val="clear" w:color="auto" w:fill="D9D9D9" w:themeFill="background1" w:themeFillShade="D9"/>
            <w:vAlign w:val="center"/>
          </w:tcPr>
          <w:p w14:paraId="217CC195" w14:textId="77777777" w:rsidR="00425098" w:rsidRPr="00670753" w:rsidRDefault="00425098" w:rsidP="008861A6">
            <w:pPr>
              <w:pStyle w:val="TableHeading"/>
              <w:keepNext/>
              <w:spacing w:before="0"/>
              <w:jc w:val="center"/>
              <w:rPr>
                <w:rFonts w:ascii="Arial" w:hAnsi="Arial" w:cs="Arial"/>
                <w:sz w:val="18"/>
                <w:szCs w:val="18"/>
              </w:rPr>
            </w:pPr>
            <w:r w:rsidRPr="00670753">
              <w:rPr>
                <w:rFonts w:ascii="Arial" w:hAnsi="Arial" w:cs="Arial"/>
                <w:sz w:val="18"/>
                <w:szCs w:val="18"/>
              </w:rPr>
              <w:t>#15</w:t>
            </w:r>
          </w:p>
        </w:tc>
        <w:tc>
          <w:tcPr>
            <w:tcW w:w="1082" w:type="pct"/>
            <w:vMerge w:val="restart"/>
            <w:shd w:val="clear" w:color="auto" w:fill="D9D9D9" w:themeFill="background1" w:themeFillShade="D9"/>
            <w:tcMar>
              <w:top w:w="72" w:type="dxa"/>
              <w:left w:w="144" w:type="dxa"/>
              <w:bottom w:w="72" w:type="dxa"/>
              <w:right w:w="144" w:type="dxa"/>
            </w:tcMar>
            <w:vAlign w:val="center"/>
          </w:tcPr>
          <w:p w14:paraId="4A1B2FFE" w14:textId="77777777" w:rsidR="00425098" w:rsidRPr="00670753" w:rsidRDefault="00425098" w:rsidP="008861A6">
            <w:pPr>
              <w:pStyle w:val="TableHeading"/>
              <w:keepNext/>
              <w:spacing w:before="0"/>
              <w:rPr>
                <w:rFonts w:ascii="Arial" w:hAnsi="Arial" w:cs="Arial"/>
                <w:sz w:val="18"/>
                <w:szCs w:val="18"/>
              </w:rPr>
            </w:pPr>
            <w:r w:rsidRPr="00670753">
              <w:rPr>
                <w:rFonts w:ascii="Arial" w:hAnsi="Arial" w:cs="Arial"/>
                <w:sz w:val="18"/>
                <w:szCs w:val="18"/>
              </w:rPr>
              <w:t>Out-of-pocket costs for retraining to other trade</w:t>
            </w:r>
          </w:p>
        </w:tc>
        <w:tc>
          <w:tcPr>
            <w:tcW w:w="1859" w:type="pct"/>
            <w:vMerge w:val="restart"/>
            <w:shd w:val="clear" w:color="auto" w:fill="auto"/>
            <w:vAlign w:val="center"/>
          </w:tcPr>
          <w:p w14:paraId="100D0C53" w14:textId="77777777" w:rsidR="00425098" w:rsidRPr="000A53C0" w:rsidRDefault="00425098" w:rsidP="008861A6">
            <w:pPr>
              <w:pStyle w:val="TableHeading"/>
              <w:keepNext/>
              <w:spacing w:before="0"/>
              <w:jc w:val="center"/>
              <w:rPr>
                <w:rFonts w:ascii="Arial" w:hAnsi="Arial" w:cs="Arial"/>
                <w:bCs/>
                <w:iCs/>
                <w:color w:val="262626" w:themeColor="text1" w:themeTint="D9"/>
                <w:sz w:val="18"/>
                <w:szCs w:val="18"/>
              </w:rPr>
            </w:pPr>
            <w:r w:rsidRPr="000A53C0">
              <w:rPr>
                <w:rFonts w:ascii="Arial" w:hAnsi="Arial" w:cs="Arial"/>
                <w:bCs/>
                <w:iCs/>
                <w:color w:val="262626" w:themeColor="text1" w:themeTint="D9"/>
                <w:sz w:val="18"/>
                <w:szCs w:val="18"/>
              </w:rPr>
              <w:t>Retraining costs for other trade (per redundancy)</w:t>
            </w:r>
          </w:p>
          <w:p w14:paraId="5F9E98F4" w14:textId="77777777" w:rsidR="00425098" w:rsidRPr="000A53C0" w:rsidRDefault="00425098" w:rsidP="008861A6">
            <w:pPr>
              <w:pStyle w:val="TableHeading"/>
              <w:keepNext/>
              <w:spacing w:before="0"/>
              <w:jc w:val="center"/>
              <w:rPr>
                <w:rFonts w:ascii="Arial" w:hAnsi="Arial" w:cs="Arial"/>
                <w:sz w:val="18"/>
                <w:szCs w:val="18"/>
              </w:rPr>
            </w:pPr>
            <w:r w:rsidRPr="000A53C0">
              <w:rPr>
                <w:rFonts w:ascii="Arial" w:hAnsi="Arial" w:cs="Arial"/>
                <w:sz w:val="18"/>
                <w:szCs w:val="18"/>
              </w:rPr>
              <w:t>=</w:t>
            </w:r>
          </w:p>
          <w:p w14:paraId="625EA972"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No. of business closures, by size</w:t>
            </w:r>
          </w:p>
          <w:p w14:paraId="64976E54"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x</w:t>
            </w:r>
          </w:p>
          <w:p w14:paraId="20706648"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Average no. of workers by business, by size</w:t>
            </w:r>
          </w:p>
          <w:p w14:paraId="1310A2DD"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x</w:t>
            </w:r>
          </w:p>
          <w:p w14:paraId="0044AF70"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 of workers who choose to retrain in another trade</w:t>
            </w:r>
          </w:p>
          <w:p w14:paraId="660B032C" w14:textId="77777777" w:rsidR="00425098" w:rsidRPr="000A53C0" w:rsidRDefault="00425098" w:rsidP="008861A6">
            <w:pPr>
              <w:pStyle w:val="TableHeading"/>
              <w:keepNext/>
              <w:spacing w:before="0"/>
              <w:jc w:val="center"/>
              <w:rPr>
                <w:rFonts w:ascii="Arial" w:hAnsi="Arial" w:cs="Arial"/>
                <w:b w:val="0"/>
                <w:bCs/>
                <w:sz w:val="18"/>
                <w:szCs w:val="18"/>
              </w:rPr>
            </w:pPr>
            <w:r w:rsidRPr="000A53C0">
              <w:rPr>
                <w:rFonts w:ascii="Arial" w:hAnsi="Arial" w:cs="Arial"/>
                <w:b w:val="0"/>
                <w:bCs/>
                <w:sz w:val="18"/>
                <w:szCs w:val="18"/>
              </w:rPr>
              <w:t>x</w:t>
            </w:r>
          </w:p>
          <w:p w14:paraId="4F85A49F" w14:textId="77777777" w:rsidR="00425098" w:rsidRPr="000A53C0" w:rsidRDefault="00425098" w:rsidP="008861A6">
            <w:pPr>
              <w:pStyle w:val="TableHeading"/>
              <w:keepNext/>
              <w:spacing w:before="0"/>
              <w:jc w:val="center"/>
              <w:rPr>
                <w:rFonts w:ascii="Arial" w:hAnsi="Arial" w:cs="Arial"/>
                <w:b w:val="0"/>
                <w:sz w:val="18"/>
                <w:szCs w:val="18"/>
              </w:rPr>
            </w:pPr>
            <w:r w:rsidRPr="000A53C0">
              <w:rPr>
                <w:rFonts w:ascii="Arial" w:hAnsi="Arial" w:cs="Arial"/>
                <w:b w:val="0"/>
                <w:bCs/>
                <w:sz w:val="18"/>
                <w:szCs w:val="18"/>
              </w:rPr>
              <w:t xml:space="preserve">Cost of training </w:t>
            </w:r>
          </w:p>
        </w:tc>
        <w:tc>
          <w:tcPr>
            <w:tcW w:w="1799" w:type="pct"/>
            <w:shd w:val="clear" w:color="auto" w:fill="auto"/>
            <w:vAlign w:val="center"/>
          </w:tcPr>
          <w:p w14:paraId="550956BB" w14:textId="77777777" w:rsidR="00425098" w:rsidRPr="000A53C0" w:rsidRDefault="00425098" w:rsidP="008861A6">
            <w:pPr>
              <w:pStyle w:val="TableHeading"/>
              <w:keepNext/>
              <w:spacing w:before="0"/>
              <w:rPr>
                <w:rFonts w:ascii="Arial" w:hAnsi="Arial" w:cs="Arial"/>
                <w:sz w:val="18"/>
                <w:szCs w:val="18"/>
              </w:rPr>
            </w:pPr>
            <w:r w:rsidRPr="000A53C0">
              <w:rPr>
                <w:rFonts w:ascii="Arial" w:hAnsi="Arial" w:cs="Arial"/>
                <w:sz w:val="18"/>
                <w:szCs w:val="18"/>
              </w:rPr>
              <w:t xml:space="preserve">Number of </w:t>
            </w:r>
            <w:r w:rsidRPr="000A53C0">
              <w:rPr>
                <w:rFonts w:ascii="Arial" w:hAnsi="Arial" w:cs="Arial"/>
                <w:color w:val="262626" w:themeColor="text1" w:themeTint="D9"/>
                <w:sz w:val="18"/>
                <w:szCs w:val="18"/>
                <w:lang w:val="en-AU"/>
              </w:rPr>
              <w:t xml:space="preserve">ES PBCUs </w:t>
            </w:r>
            <w:r w:rsidRPr="000A53C0">
              <w:rPr>
                <w:rFonts w:ascii="Arial" w:hAnsi="Arial" w:cs="Arial"/>
                <w:sz w:val="18"/>
                <w:szCs w:val="18"/>
              </w:rPr>
              <w:t>closures, by size (by option</w:t>
            </w:r>
            <w:r w:rsidRPr="000A53C0">
              <w:rPr>
                <w:rFonts w:ascii="Arial" w:hAnsi="Arial" w:cs="Arial"/>
                <w:b w:val="0"/>
                <w:sz w:val="18"/>
                <w:szCs w:val="18"/>
              </w:rPr>
              <w:t>):</w:t>
            </w:r>
            <w:r w:rsidRPr="000A53C0">
              <w:rPr>
                <w:rFonts w:ascii="Arial" w:hAnsi="Arial" w:cs="Arial"/>
                <w:b w:val="0"/>
                <w:bCs/>
                <w:sz w:val="18"/>
                <w:szCs w:val="18"/>
              </w:rPr>
              <w:t xml:space="preserve"> See Ref#1</w:t>
            </w:r>
          </w:p>
        </w:tc>
      </w:tr>
      <w:tr w:rsidR="00425098" w:rsidRPr="000A53C0" w14:paraId="60E53BD7" w14:textId="77777777" w:rsidTr="008540FE">
        <w:trPr>
          <w:trHeight w:val="20"/>
        </w:trPr>
        <w:tc>
          <w:tcPr>
            <w:tcW w:w="259" w:type="pct"/>
            <w:vMerge/>
            <w:shd w:val="clear" w:color="auto" w:fill="D9D9D9" w:themeFill="background1" w:themeFillShade="D9"/>
          </w:tcPr>
          <w:p w14:paraId="5CFE65F4"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269A2CCA"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859" w:type="pct"/>
            <w:vMerge/>
            <w:shd w:val="clear" w:color="auto" w:fill="auto"/>
            <w:vAlign w:val="center"/>
          </w:tcPr>
          <w:p w14:paraId="03B5117C" w14:textId="77777777" w:rsidR="00425098" w:rsidRPr="000A53C0" w:rsidRDefault="00425098" w:rsidP="008861A6">
            <w:pPr>
              <w:pStyle w:val="TableHeading"/>
              <w:keepNext/>
              <w:spacing w:before="0"/>
              <w:jc w:val="center"/>
              <w:rPr>
                <w:rFonts w:ascii="Arial" w:hAnsi="Arial" w:cs="Arial"/>
                <w:sz w:val="18"/>
                <w:szCs w:val="18"/>
              </w:rPr>
            </w:pPr>
          </w:p>
        </w:tc>
        <w:tc>
          <w:tcPr>
            <w:tcW w:w="1799" w:type="pct"/>
            <w:shd w:val="clear" w:color="auto" w:fill="auto"/>
            <w:vAlign w:val="center"/>
          </w:tcPr>
          <w:p w14:paraId="546C7C31" w14:textId="6DD98522" w:rsidR="00425098" w:rsidRPr="000A53C0" w:rsidRDefault="00425098" w:rsidP="008861A6">
            <w:pPr>
              <w:pStyle w:val="TableHeading"/>
              <w:keepNext/>
              <w:spacing w:before="0"/>
              <w:rPr>
                <w:rFonts w:ascii="Arial" w:hAnsi="Arial" w:cs="Arial"/>
                <w:sz w:val="18"/>
                <w:szCs w:val="18"/>
              </w:rPr>
            </w:pPr>
            <w:r w:rsidRPr="000A53C0">
              <w:rPr>
                <w:rFonts w:ascii="Arial" w:hAnsi="Arial" w:cs="Arial"/>
                <w:sz w:val="18"/>
                <w:szCs w:val="18"/>
              </w:rPr>
              <w:t xml:space="preserve">Average number of workers by engineered stone PCBUS, by size: </w:t>
            </w:r>
            <w:r w:rsidRPr="000A53C0">
              <w:rPr>
                <w:rFonts w:ascii="Arial" w:hAnsi="Arial" w:cs="Arial"/>
                <w:b w:val="0"/>
                <w:bCs/>
                <w:sz w:val="18"/>
                <w:szCs w:val="18"/>
              </w:rPr>
              <w:t>(</w:t>
            </w:r>
            <w:r w:rsidRPr="000A53C0">
              <w:rPr>
                <w:rFonts w:ascii="Arial" w:hAnsi="Arial" w:cs="Arial"/>
                <w:b w:val="0"/>
                <w:bCs/>
                <w:color w:val="262626" w:themeColor="text1" w:themeTint="D9"/>
                <w:sz w:val="18"/>
                <w:szCs w:val="18"/>
                <w:lang w:val="en-AU"/>
              </w:rPr>
              <w:t xml:space="preserve">see </w:t>
            </w:r>
            <w:r w:rsidRPr="000A53C0">
              <w:rPr>
                <w:rFonts w:ascii="Arial" w:hAnsi="Arial" w:cs="Arial"/>
                <w:b w:val="0"/>
                <w:bCs/>
                <w:color w:val="262626" w:themeColor="text1" w:themeTint="D9"/>
                <w:sz w:val="18"/>
                <w:szCs w:val="18"/>
                <w:lang w:val="en-AU"/>
              </w:rPr>
              <w:fldChar w:fldCharType="begin" w:fldLock="1"/>
            </w:r>
            <w:r w:rsidRPr="000A53C0">
              <w:rPr>
                <w:rFonts w:ascii="Arial" w:hAnsi="Arial" w:cs="Arial"/>
                <w:b w:val="0"/>
                <w:bCs/>
                <w:color w:val="262626" w:themeColor="text1" w:themeTint="D9"/>
                <w:sz w:val="18"/>
                <w:szCs w:val="18"/>
                <w:lang w:val="en-AU"/>
              </w:rPr>
              <w:instrText xml:space="preserve"> REF _Ref138662108 \h  \* MERGEFORMAT </w:instrText>
            </w:r>
            <w:r w:rsidRPr="000A53C0">
              <w:rPr>
                <w:rFonts w:ascii="Arial" w:hAnsi="Arial" w:cs="Arial"/>
                <w:b w:val="0"/>
                <w:bCs/>
                <w:color w:val="262626" w:themeColor="text1" w:themeTint="D9"/>
                <w:sz w:val="18"/>
                <w:szCs w:val="18"/>
                <w:lang w:val="en-AU"/>
              </w:rPr>
            </w:r>
            <w:r w:rsidRPr="000A53C0">
              <w:rPr>
                <w:rFonts w:ascii="Arial" w:hAnsi="Arial" w:cs="Arial"/>
                <w:b w:val="0"/>
                <w:bCs/>
                <w:color w:val="262626" w:themeColor="text1" w:themeTint="D9"/>
                <w:sz w:val="18"/>
                <w:szCs w:val="18"/>
                <w:lang w:val="en-AU"/>
              </w:rPr>
              <w:fldChar w:fldCharType="separate"/>
            </w:r>
            <w:r w:rsidR="00D16271" w:rsidRPr="00D16271">
              <w:rPr>
                <w:rFonts w:ascii="Arial" w:hAnsi="Arial" w:cs="Arial"/>
                <w:b w:val="0"/>
                <w:bCs/>
                <w:color w:val="262626" w:themeColor="text1" w:themeTint="D9"/>
                <w:sz w:val="18"/>
                <w:szCs w:val="18"/>
                <w:lang w:val="en-AU"/>
              </w:rPr>
              <w:t>Table 19</w:t>
            </w:r>
            <w:r w:rsidRPr="000A53C0">
              <w:rPr>
                <w:rFonts w:ascii="Arial" w:hAnsi="Arial" w:cs="Arial"/>
                <w:b w:val="0"/>
                <w:bCs/>
                <w:color w:val="262626" w:themeColor="text1" w:themeTint="D9"/>
                <w:sz w:val="18"/>
                <w:szCs w:val="18"/>
                <w:lang w:val="en-AU"/>
              </w:rPr>
              <w:fldChar w:fldCharType="end"/>
            </w:r>
            <w:r w:rsidRPr="000A53C0">
              <w:rPr>
                <w:rFonts w:ascii="Arial" w:hAnsi="Arial" w:cs="Arial"/>
                <w:b w:val="0"/>
                <w:color w:val="262626" w:themeColor="text1" w:themeTint="D9"/>
                <w:sz w:val="18"/>
                <w:szCs w:val="18"/>
                <w:lang w:val="en-AU"/>
              </w:rPr>
              <w:t>)</w:t>
            </w:r>
          </w:p>
        </w:tc>
      </w:tr>
      <w:tr w:rsidR="00425098" w:rsidRPr="000A53C0" w14:paraId="13FF93D9" w14:textId="77777777" w:rsidTr="008540FE">
        <w:trPr>
          <w:trHeight w:val="20"/>
        </w:trPr>
        <w:tc>
          <w:tcPr>
            <w:tcW w:w="259" w:type="pct"/>
            <w:vMerge/>
            <w:shd w:val="clear" w:color="auto" w:fill="D9D9D9" w:themeFill="background1" w:themeFillShade="D9"/>
          </w:tcPr>
          <w:p w14:paraId="5535915A"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03161945"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859" w:type="pct"/>
            <w:vMerge/>
            <w:shd w:val="clear" w:color="auto" w:fill="auto"/>
            <w:vAlign w:val="center"/>
          </w:tcPr>
          <w:p w14:paraId="01D40AF1" w14:textId="77777777" w:rsidR="00425098" w:rsidRPr="000A53C0" w:rsidRDefault="00425098" w:rsidP="008861A6">
            <w:pPr>
              <w:pStyle w:val="TableHeading"/>
              <w:keepNext/>
              <w:spacing w:before="0"/>
              <w:jc w:val="center"/>
              <w:rPr>
                <w:rFonts w:ascii="Arial" w:hAnsi="Arial" w:cs="Arial"/>
                <w:sz w:val="18"/>
                <w:szCs w:val="18"/>
              </w:rPr>
            </w:pPr>
          </w:p>
        </w:tc>
        <w:tc>
          <w:tcPr>
            <w:tcW w:w="1799" w:type="pct"/>
            <w:shd w:val="clear" w:color="auto" w:fill="auto"/>
            <w:vAlign w:val="center"/>
          </w:tcPr>
          <w:p w14:paraId="3EB46CBC" w14:textId="77777777" w:rsidR="00425098" w:rsidRPr="000A53C0" w:rsidRDefault="00425098" w:rsidP="008861A6">
            <w:pPr>
              <w:pStyle w:val="TableHeading"/>
              <w:keepNext/>
              <w:spacing w:before="0"/>
              <w:rPr>
                <w:rFonts w:ascii="Arial" w:hAnsi="Arial" w:cs="Arial"/>
                <w:b w:val="0"/>
                <w:iCs/>
                <w:color w:val="262626" w:themeColor="text1" w:themeTint="D9"/>
                <w:sz w:val="18"/>
                <w:szCs w:val="18"/>
                <w:highlight w:val="magenta"/>
                <w:lang w:val="en-AU"/>
              </w:rPr>
            </w:pPr>
            <w:r w:rsidRPr="000A53C0">
              <w:rPr>
                <w:rFonts w:ascii="Arial" w:hAnsi="Arial" w:cs="Arial"/>
                <w:bCs/>
                <w:color w:val="262626" w:themeColor="text1" w:themeTint="D9"/>
                <w:sz w:val="18"/>
                <w:szCs w:val="18"/>
                <w:lang w:val="en-AU"/>
              </w:rPr>
              <w:t>% of workers who choose to retrain for another trade</w:t>
            </w:r>
            <w:r w:rsidRPr="000A53C0">
              <w:rPr>
                <w:rFonts w:ascii="Arial" w:hAnsi="Arial" w:cs="Arial"/>
                <w:b w:val="0"/>
                <w:color w:val="262626" w:themeColor="text1" w:themeTint="D9"/>
                <w:sz w:val="18"/>
                <w:szCs w:val="18"/>
                <w:lang w:val="en-AU"/>
              </w:rPr>
              <w:t xml:space="preserve">: 3% </w:t>
            </w:r>
          </w:p>
          <w:p w14:paraId="2ABC4714" w14:textId="772AF38C" w:rsidR="00425098" w:rsidRPr="000A53C0" w:rsidRDefault="00425098" w:rsidP="008861A6">
            <w:pPr>
              <w:pStyle w:val="TableHeading"/>
              <w:keepNext/>
              <w:spacing w:before="0"/>
              <w:rPr>
                <w:rFonts w:ascii="Arial" w:hAnsi="Arial" w:cs="Arial"/>
                <w:b w:val="0"/>
                <w:color w:val="262626" w:themeColor="text1" w:themeTint="D9"/>
                <w:sz w:val="18"/>
                <w:szCs w:val="18"/>
                <w:lang w:val="en-AU"/>
              </w:rPr>
            </w:pPr>
            <w:r w:rsidRPr="000A53C0">
              <w:rPr>
                <w:rFonts w:ascii="Arial" w:hAnsi="Arial" w:cs="Arial"/>
                <w:b w:val="0"/>
                <w:sz w:val="18"/>
                <w:szCs w:val="18"/>
              </w:rPr>
              <w:t xml:space="preserve">We have assumed it is the same for each option across sole traders and small businesses. (see </w:t>
            </w:r>
            <w:r w:rsidRPr="000A53C0">
              <w:rPr>
                <w:rFonts w:ascii="Arial" w:hAnsi="Arial" w:cs="Arial"/>
                <w:b w:val="0"/>
                <w:sz w:val="18"/>
                <w:szCs w:val="18"/>
              </w:rPr>
              <w:fldChar w:fldCharType="begin" w:fldLock="1"/>
            </w:r>
            <w:r w:rsidRPr="000A53C0">
              <w:rPr>
                <w:rFonts w:ascii="Arial" w:hAnsi="Arial" w:cs="Arial"/>
                <w:b w:val="0"/>
                <w:sz w:val="18"/>
                <w:szCs w:val="18"/>
              </w:rPr>
              <w:instrText xml:space="preserve"> REF _Ref135928839 \h  \* MERGEFORMAT </w:instrText>
            </w:r>
            <w:r w:rsidRPr="000A53C0">
              <w:rPr>
                <w:rFonts w:ascii="Arial" w:hAnsi="Arial" w:cs="Arial"/>
                <w:b w:val="0"/>
                <w:sz w:val="18"/>
                <w:szCs w:val="18"/>
              </w:rPr>
            </w:r>
            <w:r w:rsidRPr="000A53C0">
              <w:rPr>
                <w:rFonts w:ascii="Arial" w:hAnsi="Arial" w:cs="Arial"/>
                <w:b w:val="0"/>
                <w:sz w:val="18"/>
                <w:szCs w:val="18"/>
              </w:rPr>
              <w:fldChar w:fldCharType="separate"/>
            </w:r>
            <w:r w:rsidR="00D16271" w:rsidRPr="00D16271">
              <w:rPr>
                <w:rFonts w:ascii="Arial" w:hAnsi="Arial" w:cs="Arial"/>
                <w:b w:val="0"/>
                <w:sz w:val="18"/>
                <w:szCs w:val="18"/>
              </w:rPr>
              <w:t>Table 24</w:t>
            </w:r>
            <w:r w:rsidRPr="000A53C0">
              <w:rPr>
                <w:rFonts w:ascii="Arial" w:hAnsi="Arial" w:cs="Arial"/>
                <w:b w:val="0"/>
                <w:sz w:val="18"/>
                <w:szCs w:val="18"/>
              </w:rPr>
              <w:fldChar w:fldCharType="end"/>
            </w:r>
            <w:r w:rsidRPr="000A53C0">
              <w:rPr>
                <w:rFonts w:ascii="Arial" w:hAnsi="Arial" w:cs="Arial"/>
                <w:b w:val="0"/>
                <w:sz w:val="18"/>
                <w:szCs w:val="18"/>
              </w:rPr>
              <w:t>)</w:t>
            </w:r>
          </w:p>
        </w:tc>
      </w:tr>
      <w:tr w:rsidR="00425098" w:rsidRPr="000A53C0" w14:paraId="46901D5D" w14:textId="77777777" w:rsidTr="008540FE">
        <w:trPr>
          <w:trHeight w:val="493"/>
        </w:trPr>
        <w:tc>
          <w:tcPr>
            <w:tcW w:w="259" w:type="pct"/>
            <w:vMerge/>
            <w:shd w:val="clear" w:color="auto" w:fill="D9D9D9" w:themeFill="background1" w:themeFillShade="D9"/>
          </w:tcPr>
          <w:p w14:paraId="4ED7AD8B"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432992CD"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859" w:type="pct"/>
            <w:vMerge/>
            <w:shd w:val="clear" w:color="auto" w:fill="auto"/>
            <w:vAlign w:val="center"/>
          </w:tcPr>
          <w:p w14:paraId="2CF18C21" w14:textId="77777777" w:rsidR="00425098" w:rsidRPr="000A53C0" w:rsidRDefault="00425098" w:rsidP="008861A6">
            <w:pPr>
              <w:pStyle w:val="TableHeading"/>
              <w:keepNext/>
              <w:spacing w:before="0"/>
              <w:jc w:val="center"/>
              <w:rPr>
                <w:rFonts w:ascii="Arial" w:hAnsi="Arial" w:cs="Arial"/>
                <w:sz w:val="18"/>
                <w:szCs w:val="18"/>
              </w:rPr>
            </w:pPr>
          </w:p>
        </w:tc>
        <w:tc>
          <w:tcPr>
            <w:tcW w:w="1799" w:type="pct"/>
            <w:shd w:val="clear" w:color="auto" w:fill="auto"/>
            <w:vAlign w:val="center"/>
          </w:tcPr>
          <w:p w14:paraId="499996AB" w14:textId="77777777" w:rsidR="00425098" w:rsidRPr="000A53C0" w:rsidRDefault="00425098" w:rsidP="008861A6">
            <w:pPr>
              <w:pStyle w:val="TableHeading"/>
              <w:keepNext/>
              <w:spacing w:before="0"/>
              <w:rPr>
                <w:rFonts w:ascii="Arial" w:hAnsi="Arial" w:cs="Arial"/>
                <w:bCs/>
                <w:color w:val="262626" w:themeColor="text1" w:themeTint="D9"/>
                <w:sz w:val="18"/>
                <w:szCs w:val="18"/>
                <w:lang w:val="en-AU"/>
              </w:rPr>
            </w:pPr>
            <w:r w:rsidRPr="000A53C0">
              <w:rPr>
                <w:rFonts w:ascii="Arial" w:hAnsi="Arial" w:cs="Arial"/>
                <w:bCs/>
                <w:color w:val="262626" w:themeColor="text1" w:themeTint="D9"/>
                <w:sz w:val="18"/>
                <w:szCs w:val="18"/>
                <w:lang w:val="en-AU"/>
              </w:rPr>
              <w:t xml:space="preserve">Cost of training: </w:t>
            </w:r>
            <w:r w:rsidRPr="000A53C0">
              <w:rPr>
                <w:rFonts w:ascii="Arial" w:hAnsi="Arial" w:cs="Arial"/>
                <w:sz w:val="18"/>
                <w:szCs w:val="18"/>
              </w:rPr>
              <w:t>$13,079 (Australian Government, no date) ($6,539.50 p.a. over 2 years)</w:t>
            </w:r>
          </w:p>
          <w:p w14:paraId="2435FF4E" w14:textId="77777777" w:rsidR="00425098" w:rsidRPr="000A53C0" w:rsidRDefault="00425098" w:rsidP="00766916">
            <w:pPr>
              <w:pStyle w:val="TableHeading"/>
              <w:keepNext/>
              <w:numPr>
                <w:ilvl w:val="0"/>
                <w:numId w:val="37"/>
              </w:numPr>
              <w:spacing w:before="0"/>
              <w:rPr>
                <w:rFonts w:ascii="Arial" w:hAnsi="Arial" w:cs="Arial"/>
                <w:b w:val="0"/>
                <w:color w:val="262626" w:themeColor="text1" w:themeTint="D9"/>
                <w:sz w:val="18"/>
                <w:szCs w:val="18"/>
                <w:lang w:val="en-AU"/>
              </w:rPr>
            </w:pPr>
            <w:r w:rsidRPr="000A53C0">
              <w:rPr>
                <w:rFonts w:ascii="Arial" w:hAnsi="Arial" w:cs="Arial"/>
                <w:b w:val="0"/>
                <w:color w:val="262626" w:themeColor="text1" w:themeTint="D9"/>
                <w:sz w:val="18"/>
                <w:szCs w:val="18"/>
                <w:lang w:val="en-AU"/>
              </w:rPr>
              <w:t xml:space="preserve">This is the average cost of Cert III for Civil Construction, Cabinet Making, Tiling and Fabrication Trade. Both the fee and subsidy component. </w:t>
            </w:r>
          </w:p>
        </w:tc>
      </w:tr>
      <w:tr w:rsidR="00425098" w:rsidRPr="000A53C0" w14:paraId="074FAE69" w14:textId="77777777" w:rsidTr="008540FE">
        <w:trPr>
          <w:trHeight w:val="493"/>
        </w:trPr>
        <w:tc>
          <w:tcPr>
            <w:tcW w:w="259" w:type="pct"/>
            <w:vMerge/>
            <w:shd w:val="clear" w:color="auto" w:fill="D9D9D9" w:themeFill="background1" w:themeFillShade="D9"/>
          </w:tcPr>
          <w:p w14:paraId="21C3644F"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082" w:type="pct"/>
            <w:vMerge/>
            <w:shd w:val="clear" w:color="auto" w:fill="D9D9D9" w:themeFill="background1" w:themeFillShade="D9"/>
            <w:tcMar>
              <w:top w:w="72" w:type="dxa"/>
              <w:left w:w="144" w:type="dxa"/>
              <w:bottom w:w="72" w:type="dxa"/>
              <w:right w:w="144" w:type="dxa"/>
            </w:tcMar>
            <w:vAlign w:val="center"/>
          </w:tcPr>
          <w:p w14:paraId="5FEBF746" w14:textId="77777777" w:rsidR="00425098" w:rsidRPr="000A53C0" w:rsidRDefault="00425098" w:rsidP="008861A6">
            <w:pPr>
              <w:pStyle w:val="TableHeading"/>
              <w:keepNext/>
              <w:spacing w:before="0"/>
              <w:rPr>
                <w:rFonts w:ascii="Arial" w:hAnsi="Arial" w:cs="Arial"/>
                <w:b w:val="0"/>
                <w:iCs/>
                <w:color w:val="262626" w:themeColor="text1" w:themeTint="D9"/>
                <w:sz w:val="18"/>
                <w:szCs w:val="18"/>
              </w:rPr>
            </w:pPr>
          </w:p>
        </w:tc>
        <w:tc>
          <w:tcPr>
            <w:tcW w:w="1859" w:type="pct"/>
            <w:vMerge/>
            <w:shd w:val="clear" w:color="auto" w:fill="auto"/>
            <w:vAlign w:val="center"/>
          </w:tcPr>
          <w:p w14:paraId="7A7A2AB1" w14:textId="77777777" w:rsidR="00425098" w:rsidRPr="000A53C0" w:rsidRDefault="00425098" w:rsidP="008861A6">
            <w:pPr>
              <w:pStyle w:val="TableHeading"/>
              <w:keepNext/>
              <w:spacing w:before="0"/>
              <w:jc w:val="center"/>
              <w:rPr>
                <w:rFonts w:ascii="Arial" w:hAnsi="Arial" w:cs="Arial"/>
                <w:sz w:val="18"/>
                <w:szCs w:val="18"/>
              </w:rPr>
            </w:pPr>
          </w:p>
        </w:tc>
        <w:tc>
          <w:tcPr>
            <w:tcW w:w="1799" w:type="pct"/>
            <w:shd w:val="clear" w:color="auto" w:fill="auto"/>
            <w:vAlign w:val="center"/>
          </w:tcPr>
          <w:p w14:paraId="3BC4C894" w14:textId="77777777" w:rsidR="00425098" w:rsidRPr="000A53C0" w:rsidRDefault="00425098" w:rsidP="008861A6">
            <w:pPr>
              <w:pStyle w:val="TableHeading"/>
              <w:keepNext/>
              <w:spacing w:before="0"/>
              <w:rPr>
                <w:rFonts w:ascii="Arial" w:hAnsi="Arial" w:cs="Arial"/>
                <w:bCs/>
                <w:color w:val="262626" w:themeColor="text1" w:themeTint="D9"/>
                <w:sz w:val="18"/>
                <w:szCs w:val="18"/>
                <w:lang w:val="en-AU"/>
              </w:rPr>
            </w:pPr>
            <w:r w:rsidRPr="000A53C0">
              <w:rPr>
                <w:rFonts w:ascii="Arial" w:hAnsi="Arial" w:cs="Arial"/>
                <w:sz w:val="18"/>
                <w:szCs w:val="18"/>
              </w:rPr>
              <w:t>Time period:</w:t>
            </w:r>
            <w:r w:rsidRPr="000A53C0">
              <w:rPr>
                <w:rFonts w:ascii="Arial" w:hAnsi="Arial" w:cs="Arial"/>
                <w:b w:val="0"/>
                <w:sz w:val="18"/>
                <w:szCs w:val="18"/>
              </w:rPr>
              <w:t xml:space="preserve"> based on when engineered stone PCBUs cease operating and considering it is two years of training. Requires a simplifying assumption that workers are displaced at the start of the financial year so they can go directly into training courses.</w:t>
            </w:r>
          </w:p>
        </w:tc>
      </w:tr>
    </w:tbl>
    <w:p w14:paraId="16E2A10D" w14:textId="77777777" w:rsidR="00425098" w:rsidRPr="000A53C0" w:rsidRDefault="00425098" w:rsidP="00514CCB">
      <w:pPr>
        <w:pStyle w:val="Heading2"/>
        <w:sectPr w:rsidR="00425098" w:rsidRPr="000A53C0">
          <w:pgSz w:w="16838" w:h="11906" w:orient="landscape"/>
          <w:pgMar w:top="851" w:right="1559" w:bottom="851" w:left="1701" w:header="567" w:footer="57" w:gutter="0"/>
          <w:cols w:space="708"/>
          <w:docGrid w:linePitch="360"/>
        </w:sectPr>
      </w:pPr>
    </w:p>
    <w:p w14:paraId="0F493E53" w14:textId="0F1D2CA7" w:rsidR="00425098" w:rsidRPr="000A53C0" w:rsidRDefault="002D500D" w:rsidP="00C84BAF">
      <w:pPr>
        <w:pStyle w:val="App2"/>
        <w:rPr>
          <w:rFonts w:cs="Arial"/>
        </w:rPr>
      </w:pPr>
      <w:bookmarkStart w:id="237" w:name="_Toc136327254"/>
      <w:bookmarkStart w:id="238" w:name="_Ref138196206"/>
      <w:bookmarkStart w:id="239" w:name="_Toc142991367"/>
      <w:r w:rsidRPr="000A53C0">
        <w:rPr>
          <w:rFonts w:cs="Arial"/>
        </w:rPr>
        <w:lastRenderedPageBreak/>
        <w:t>B.</w:t>
      </w:r>
      <w:r w:rsidR="00425098" w:rsidRPr="000A53C0">
        <w:rPr>
          <w:rFonts w:cs="Arial"/>
        </w:rPr>
        <w:t>9 Breakeven analysis</w:t>
      </w:r>
      <w:bookmarkEnd w:id="237"/>
      <w:bookmarkEnd w:id="238"/>
      <w:bookmarkEnd w:id="239"/>
    </w:p>
    <w:p w14:paraId="07E8BE63" w14:textId="4D1137C0" w:rsidR="00425098" w:rsidRPr="000A53C0" w:rsidRDefault="002D500D" w:rsidP="00D657D6">
      <w:pPr>
        <w:pStyle w:val="App3"/>
        <w:rPr>
          <w:rFonts w:cs="Arial"/>
        </w:rPr>
      </w:pPr>
      <w:r w:rsidRPr="000A53C0">
        <w:rPr>
          <w:rFonts w:cs="Arial"/>
        </w:rPr>
        <w:t>B.</w:t>
      </w:r>
      <w:r w:rsidR="00425098" w:rsidRPr="000A53C0">
        <w:rPr>
          <w:rFonts w:cs="Arial"/>
        </w:rPr>
        <w:t xml:space="preserve">9.1 Assessing the avoided costs of silicosis and silica-related disease </w:t>
      </w:r>
    </w:p>
    <w:p w14:paraId="06DC9357" w14:textId="77777777" w:rsidR="00425098" w:rsidRPr="000A53C0" w:rsidRDefault="00425098" w:rsidP="00425098">
      <w:pPr>
        <w:pStyle w:val="BodyText"/>
        <w:rPr>
          <w:rFonts w:cs="Arial"/>
        </w:rPr>
      </w:pPr>
      <w:r w:rsidRPr="000A53C0">
        <w:rPr>
          <w:rFonts w:cs="Arial"/>
        </w:rPr>
        <w:t xml:space="preserve">The economic impact associated with a worker developing silicosis or a silica-related disease would occur across many years, from the time the disease is diagnosed through to the end of the worker’s life. In most cases, silicosis and silica-related diseases will worsen over time. </w:t>
      </w:r>
    </w:p>
    <w:p w14:paraId="570D2CFF" w14:textId="77777777" w:rsidR="00425098" w:rsidRPr="000A53C0" w:rsidRDefault="00425098" w:rsidP="00425098">
      <w:pPr>
        <w:pStyle w:val="BodyText"/>
        <w:rPr>
          <w:rFonts w:cs="Arial"/>
        </w:rPr>
      </w:pPr>
      <w:r w:rsidRPr="000A53C0">
        <w:rPr>
          <w:rFonts w:cs="Arial"/>
        </w:rPr>
        <w:t xml:space="preserve">Avoided health costs are typically estimated through the quantification of value of lives saved and illness avoided. This is an accepted economic method for analysing and comparing policy options for reducing fatalities and illness. The following section outlines the key concepts underpinning this analysis. </w:t>
      </w:r>
    </w:p>
    <w:p w14:paraId="2F841BEA" w14:textId="691AD798" w:rsidR="00425098" w:rsidRPr="000A53C0" w:rsidRDefault="002D500D" w:rsidP="00D657D6">
      <w:pPr>
        <w:pStyle w:val="App3"/>
        <w:rPr>
          <w:rFonts w:cs="Arial"/>
        </w:rPr>
      </w:pPr>
      <w:r w:rsidRPr="000A53C0">
        <w:rPr>
          <w:rFonts w:cs="Arial"/>
        </w:rPr>
        <w:t>B.</w:t>
      </w:r>
      <w:r w:rsidR="00425098" w:rsidRPr="000A53C0">
        <w:rPr>
          <w:rFonts w:cs="Arial"/>
        </w:rPr>
        <w:t>9.2 Value of lives saved and illness avoided</w:t>
      </w:r>
    </w:p>
    <w:p w14:paraId="7A2F9B59" w14:textId="77777777" w:rsidR="00425098" w:rsidRPr="000A53C0" w:rsidRDefault="00425098" w:rsidP="00425098">
      <w:pPr>
        <w:pStyle w:val="BodyText"/>
        <w:rPr>
          <w:rFonts w:cs="Arial"/>
        </w:rPr>
      </w:pPr>
      <w:r w:rsidRPr="000A53C0">
        <w:rPr>
          <w:rFonts w:cs="Arial"/>
        </w:rPr>
        <w:t>The value of lives saved and illness avoided is estimated by comparing the duration an individual life with silicosis or silica-related disease and the number of years lost due to premature death before the average life expectancy. These concepts are outlined below.</w:t>
      </w:r>
    </w:p>
    <w:p w14:paraId="0F67A025" w14:textId="021E8CD5" w:rsidR="00425098" w:rsidRPr="000A53C0" w:rsidRDefault="002D500D" w:rsidP="00030457">
      <w:pPr>
        <w:pStyle w:val="App4"/>
        <w:rPr>
          <w:rFonts w:cs="Arial"/>
        </w:rPr>
      </w:pPr>
      <w:r w:rsidRPr="000A53C0">
        <w:rPr>
          <w:rFonts w:cs="Arial"/>
        </w:rPr>
        <w:t>B.</w:t>
      </w:r>
      <w:r w:rsidR="00425098" w:rsidRPr="000A53C0">
        <w:rPr>
          <w:rFonts w:cs="Arial"/>
        </w:rPr>
        <w:t xml:space="preserve">9.2.1 Value of a statistical life </w:t>
      </w:r>
    </w:p>
    <w:p w14:paraId="157753D5" w14:textId="49101ABC" w:rsidR="00425098" w:rsidRPr="000A53C0" w:rsidRDefault="00425098" w:rsidP="00425098">
      <w:pPr>
        <w:pStyle w:val="BodyText"/>
        <w:rPr>
          <w:rFonts w:cs="Arial"/>
        </w:rPr>
      </w:pPr>
      <w:r w:rsidRPr="000A53C0">
        <w:rPr>
          <w:rFonts w:cs="Arial"/>
        </w:rPr>
        <w:t>A key concept used to measure the value of lives saved is the value of a statistical life which is an estimate of the value society places on reducing the risk of dying. The value of a statistical life is most appropriately measured by estimating how much society is willing to pay to reduce the risk of death. Based on empirical domestic and international research, Office of Impact Analysis (OIA) guidance indicates that the value of a statistical life is $</w:t>
      </w:r>
      <w:r w:rsidR="008A395D" w:rsidRPr="000A53C0">
        <w:rPr>
          <w:rFonts w:cs="Arial"/>
        </w:rPr>
        <w:t>5.3</w:t>
      </w:r>
      <w:r w:rsidRPr="000A53C0">
        <w:rPr>
          <w:rFonts w:cs="Arial"/>
        </w:rPr>
        <w:t xml:space="preserve"> million in 2022 dollars and the value of a statistical life year is $227,000 </w:t>
      </w:r>
      <w:bookmarkStart w:id="240" w:name="_Hlk138283285"/>
      <w:r w:rsidRPr="000A53C0">
        <w:rPr>
          <w:rFonts w:cs="Arial"/>
        </w:rPr>
        <w:t xml:space="preserve">(Office of Impact Analysis, </w:t>
      </w:r>
      <w:bookmarkEnd w:id="240"/>
      <w:r w:rsidR="008A395D" w:rsidRPr="000A53C0">
        <w:rPr>
          <w:rFonts w:cs="Arial"/>
        </w:rPr>
        <w:t>2023</w:t>
      </w:r>
      <w:r w:rsidRPr="000A53C0">
        <w:rPr>
          <w:rFonts w:cs="Arial"/>
        </w:rPr>
        <w:t>).</w:t>
      </w:r>
    </w:p>
    <w:p w14:paraId="1DD7C230" w14:textId="420A1972" w:rsidR="00425098" w:rsidRPr="000A53C0" w:rsidRDefault="002D500D" w:rsidP="00030457">
      <w:pPr>
        <w:pStyle w:val="App4"/>
        <w:rPr>
          <w:rFonts w:cs="Arial"/>
        </w:rPr>
      </w:pPr>
      <w:r w:rsidRPr="000A53C0">
        <w:rPr>
          <w:rFonts w:cs="Arial"/>
        </w:rPr>
        <w:t>B.</w:t>
      </w:r>
      <w:r w:rsidR="00425098" w:rsidRPr="000A53C0">
        <w:rPr>
          <w:rFonts w:cs="Arial"/>
        </w:rPr>
        <w:t xml:space="preserve">9.2.2 Value of a disability adjusted life year (DALY) </w:t>
      </w:r>
    </w:p>
    <w:p w14:paraId="79415A90" w14:textId="77777777" w:rsidR="00425098" w:rsidRPr="000A53C0" w:rsidRDefault="00425098" w:rsidP="00425098">
      <w:pPr>
        <w:pStyle w:val="BodyText"/>
        <w:rPr>
          <w:rFonts w:cs="Arial"/>
        </w:rPr>
      </w:pPr>
      <w:r w:rsidRPr="000A53C0">
        <w:rPr>
          <w:rFonts w:cs="Arial"/>
        </w:rPr>
        <w:t xml:space="preserve">Regulatory and non-regulatory changes can have the benefit of reducing the risk of injury, disease or disability. A method to value these benefits is to adjust the value of statistical life year (which could be interpreted as the value of a year of life free of injury, disease and disability) by a factor that accounts for the type of injury, disease or disability. </w:t>
      </w:r>
    </w:p>
    <w:p w14:paraId="5B3C502E" w14:textId="7D57F627" w:rsidR="00425098" w:rsidRPr="000A53C0" w:rsidRDefault="00425098" w:rsidP="00425098">
      <w:pPr>
        <w:pStyle w:val="BodyText"/>
        <w:rPr>
          <w:rFonts w:cs="Arial"/>
        </w:rPr>
      </w:pPr>
      <w:r w:rsidRPr="000A53C0">
        <w:rPr>
          <w:rFonts w:cs="Arial"/>
        </w:rPr>
        <w:t>The value of an individual living with the disease is measured using a disability adjusted life year (DALY) factor, representing the loss of one year of full health. Using the disability weighting for chronic obstructive lung disease (0.43) provided by the Australian Institute of Health and Welfare, the value of a DALY is $</w:t>
      </w:r>
      <w:r w:rsidR="00871D35" w:rsidRPr="000A53C0">
        <w:rPr>
          <w:rFonts w:cs="Arial"/>
        </w:rPr>
        <w:t>96,462</w:t>
      </w:r>
      <w:r w:rsidRPr="000A53C0">
        <w:rPr>
          <w:rFonts w:cs="Arial"/>
        </w:rPr>
        <w:t xml:space="preserve"> per annum</w:t>
      </w:r>
      <w:sdt>
        <w:sdtPr>
          <w:rPr>
            <w:rFonts w:cs="Arial"/>
          </w:rPr>
          <w:id w:val="252794080"/>
          <w:citation/>
        </w:sdtPr>
        <w:sdtEndPr/>
        <w:sdtContent>
          <w:r w:rsidR="00871D35" w:rsidRPr="000A53C0">
            <w:rPr>
              <w:rFonts w:cs="Arial"/>
            </w:rPr>
            <w:fldChar w:fldCharType="begin"/>
          </w:r>
          <w:r w:rsidR="00871D35" w:rsidRPr="000A53C0">
            <w:rPr>
              <w:rFonts w:cs="Arial"/>
            </w:rPr>
            <w:instrText xml:space="preserve">CITATION Off23 \l 3081 </w:instrText>
          </w:r>
          <w:r w:rsidR="00871D35" w:rsidRPr="000A53C0">
            <w:rPr>
              <w:rFonts w:cs="Arial"/>
            </w:rPr>
            <w:fldChar w:fldCharType="separate"/>
          </w:r>
          <w:r w:rsidR="001F7BAA" w:rsidRPr="000A53C0">
            <w:rPr>
              <w:rFonts w:cs="Arial"/>
              <w:noProof/>
            </w:rPr>
            <w:t xml:space="preserve"> (Office of Impact Analysis 2023)</w:t>
          </w:r>
          <w:r w:rsidR="00871D35" w:rsidRPr="000A53C0">
            <w:rPr>
              <w:rFonts w:cs="Arial"/>
            </w:rPr>
            <w:fldChar w:fldCharType="end"/>
          </w:r>
        </w:sdtContent>
      </w:sdt>
      <w:r w:rsidRPr="000A53C0">
        <w:rPr>
          <w:rFonts w:cs="Arial"/>
        </w:rPr>
        <w:t>.</w:t>
      </w:r>
    </w:p>
    <w:p w14:paraId="33DCD6F1" w14:textId="77777777" w:rsidR="00425098" w:rsidRPr="000A53C0" w:rsidRDefault="00425098" w:rsidP="00425098">
      <w:pPr>
        <w:pStyle w:val="BodyText"/>
        <w:rPr>
          <w:rFonts w:cs="Arial"/>
        </w:rPr>
      </w:pPr>
      <w:r w:rsidRPr="000A53C0">
        <w:rPr>
          <w:rFonts w:cs="Arial"/>
        </w:rPr>
        <w:t>Key assumptions used in the Victorian Occupational Health and Safety Amendment (Crystalline Silica) Regulations 2021</w:t>
      </w:r>
      <w:r w:rsidRPr="000A53C0" w:rsidDel="00581F3F">
        <w:rPr>
          <w:rFonts w:cs="Arial"/>
        </w:rPr>
        <w:t xml:space="preserve"> </w:t>
      </w:r>
      <w:r w:rsidRPr="000A53C0">
        <w:rPr>
          <w:rFonts w:cs="Arial"/>
        </w:rPr>
        <w:t xml:space="preserve">Regulatory Impact Statement commissioned by WorkSafe Victoria </w:t>
      </w:r>
      <w:r w:rsidRPr="000A53C0">
        <w:rPr>
          <w:rFonts w:cs="Arial"/>
        </w:rPr>
        <w:fldChar w:fldCharType="begin"/>
      </w:r>
      <w:r w:rsidRPr="000A53C0">
        <w:rPr>
          <w:rFonts w:cs="Arial"/>
        </w:rPr>
        <w:instrText xml:space="preserve"> ADDIN ZOTERO_ITEM CSL_CITATION {"citationID":"aUqD5hIM","properties":{"formattedCitation":"(Deloitte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r w:rsidRPr="000A53C0">
        <w:rPr>
          <w:rFonts w:cs="Arial"/>
        </w:rPr>
        <w:t xml:space="preserve"> have been used to estimate average value of life saved and illness avoided per person as presented below. </w:t>
      </w:r>
    </w:p>
    <w:p w14:paraId="3A2EBA69" w14:textId="59E77966" w:rsidR="00425098" w:rsidRPr="000A53C0" w:rsidRDefault="002D500D" w:rsidP="006171C5">
      <w:pPr>
        <w:pStyle w:val="App4"/>
        <w:rPr>
          <w:rFonts w:cs="Arial"/>
        </w:rPr>
      </w:pPr>
      <w:r w:rsidRPr="000A53C0">
        <w:rPr>
          <w:rFonts w:cs="Arial"/>
        </w:rPr>
        <w:t>B.</w:t>
      </w:r>
      <w:r w:rsidR="00425098" w:rsidRPr="000A53C0">
        <w:rPr>
          <w:rFonts w:cs="Arial"/>
        </w:rPr>
        <w:t>9.3 Average value of life saved</w:t>
      </w:r>
    </w:p>
    <w:p w14:paraId="2DB22656" w14:textId="77777777" w:rsidR="00425098" w:rsidRPr="000A53C0" w:rsidRDefault="00425098" w:rsidP="006171C5">
      <w:pPr>
        <w:pStyle w:val="BodyText"/>
        <w:keepNext/>
        <w:rPr>
          <w:rFonts w:cs="Arial"/>
        </w:rPr>
      </w:pPr>
      <w:r w:rsidRPr="000A53C0">
        <w:rPr>
          <w:rFonts w:cs="Arial"/>
        </w:rPr>
        <w:t xml:space="preserve">The average value of life saved is calculated in three steps as presented below. </w:t>
      </w:r>
    </w:p>
    <w:p w14:paraId="4E204F6A" w14:textId="77777777" w:rsidR="00543B29" w:rsidRDefault="00543B29" w:rsidP="004E5891">
      <w:pPr>
        <w:rPr>
          <w:b/>
          <w:bCs/>
        </w:rPr>
      </w:pPr>
    </w:p>
    <w:p w14:paraId="5965EF0C" w14:textId="77777777" w:rsidR="00543B29" w:rsidRDefault="00543B29" w:rsidP="004E5891">
      <w:pPr>
        <w:rPr>
          <w:b/>
          <w:bCs/>
        </w:rPr>
      </w:pPr>
    </w:p>
    <w:p w14:paraId="633260E8" w14:textId="30B47448" w:rsidR="00543B29" w:rsidRDefault="00543B29" w:rsidP="004E5891">
      <w:pPr>
        <w:rPr>
          <w:b/>
          <w:bCs/>
        </w:rPr>
      </w:pPr>
    </w:p>
    <w:p w14:paraId="26758311" w14:textId="369091B3" w:rsidR="00425098" w:rsidRPr="004E5891" w:rsidRDefault="00425098" w:rsidP="004E5891">
      <w:pPr>
        <w:rPr>
          <w:b/>
          <w:bCs/>
        </w:rPr>
      </w:pPr>
      <w:r w:rsidRPr="004E5891">
        <w:rPr>
          <w:b/>
          <w:bCs/>
        </w:rPr>
        <w:lastRenderedPageBreak/>
        <w:t>Step 1: Estimate the average age of death due to silicosis or silica-related disease</w:t>
      </w:r>
    </w:p>
    <w:p w14:paraId="0531E424" w14:textId="43ABD70E" w:rsidR="00425098" w:rsidRPr="000A53C0" w:rsidRDefault="00425098" w:rsidP="006171C5">
      <w:pPr>
        <w:pStyle w:val="BodyText"/>
        <w:keepNext/>
        <w:rPr>
          <w:rFonts w:cs="Arial"/>
        </w:rPr>
      </w:pPr>
      <w:r w:rsidRPr="000A53C0">
        <w:rPr>
          <w:rFonts w:cs="Arial"/>
        </w:rPr>
        <w:t xml:space="preserve">The approach used to estimate the average age of death due to silicosis or silica-related disease is presented below, with key assumptions underpinning the estimated outlined in </w:t>
      </w:r>
      <w:r w:rsidRPr="000A53C0">
        <w:rPr>
          <w:rFonts w:cs="Arial"/>
        </w:rPr>
        <w:fldChar w:fldCharType="begin" w:fldLock="1"/>
      </w:r>
      <w:r w:rsidRPr="000A53C0">
        <w:rPr>
          <w:rFonts w:cs="Arial"/>
        </w:rPr>
        <w:instrText xml:space="preserve"> REF _Ref124835567 \h  \* MERGEFORMAT </w:instrText>
      </w:r>
      <w:r w:rsidRPr="000A53C0">
        <w:rPr>
          <w:rFonts w:cs="Arial"/>
        </w:rPr>
      </w:r>
      <w:r w:rsidRPr="000A53C0">
        <w:rPr>
          <w:rFonts w:cs="Arial"/>
        </w:rPr>
        <w:fldChar w:fldCharType="separate"/>
      </w:r>
      <w:r w:rsidR="00D16271" w:rsidRPr="00D16271">
        <w:rPr>
          <w:rFonts w:cs="Arial"/>
        </w:rPr>
        <w:t>Table 33</w:t>
      </w:r>
      <w:r w:rsidRPr="000A53C0">
        <w:rPr>
          <w:rFonts w:cs="Arial"/>
        </w:rPr>
        <w:fldChar w:fldCharType="end"/>
      </w:r>
      <w:r w:rsidRPr="000A53C0">
        <w:rPr>
          <w:rFonts w:cs="Arial"/>
        </w:rPr>
        <w:t>.</w:t>
      </w:r>
    </w:p>
    <w:p w14:paraId="6609FF0F" w14:textId="77777777" w:rsidR="00425098" w:rsidRPr="000A53C0" w:rsidRDefault="00425098" w:rsidP="006171C5">
      <w:pPr>
        <w:pStyle w:val="BodyText"/>
        <w:keepNext/>
        <w:jc w:val="center"/>
        <w:rPr>
          <w:rFonts w:cs="Arial"/>
          <w:b/>
          <w:i/>
        </w:rPr>
      </w:pPr>
      <w:r w:rsidRPr="000A53C0">
        <w:rPr>
          <w:rFonts w:cs="Arial"/>
          <w:b/>
          <w:i/>
        </w:rPr>
        <w:t>Estimated average age of death due to silicosis or silica-related disease</w:t>
      </w:r>
    </w:p>
    <w:p w14:paraId="288AD551" w14:textId="77777777" w:rsidR="00425098" w:rsidRPr="000A53C0" w:rsidRDefault="00425098" w:rsidP="006171C5">
      <w:pPr>
        <w:pStyle w:val="BodyText"/>
        <w:keepNext/>
        <w:jc w:val="center"/>
        <w:rPr>
          <w:rFonts w:cs="Arial"/>
          <w:b/>
          <w:i/>
        </w:rPr>
      </w:pPr>
      <w:r w:rsidRPr="000A53C0">
        <w:rPr>
          <w:rFonts w:cs="Arial"/>
          <w:b/>
          <w:i/>
        </w:rPr>
        <w:t>=</w:t>
      </w:r>
    </w:p>
    <w:p w14:paraId="7126495B" w14:textId="77777777" w:rsidR="00425098" w:rsidRPr="000A53C0" w:rsidRDefault="00425098" w:rsidP="006171C5">
      <w:pPr>
        <w:pStyle w:val="BodyText"/>
        <w:keepNext/>
        <w:jc w:val="center"/>
        <w:rPr>
          <w:rFonts w:cs="Arial"/>
          <w:b/>
          <w:i/>
        </w:rPr>
      </w:pPr>
      <w:r w:rsidRPr="000A53C0">
        <w:rPr>
          <w:rFonts w:cs="Arial"/>
          <w:i/>
        </w:rPr>
        <w:t>Average age of diagnosis with silicosis or silica-related disease</w:t>
      </w:r>
    </w:p>
    <w:p w14:paraId="64D92C74" w14:textId="77777777" w:rsidR="00425098" w:rsidRPr="000A53C0" w:rsidRDefault="00425098" w:rsidP="006171C5">
      <w:pPr>
        <w:pStyle w:val="BodyText"/>
        <w:keepNext/>
        <w:jc w:val="center"/>
        <w:rPr>
          <w:rFonts w:cs="Arial"/>
          <w:b/>
          <w:i/>
        </w:rPr>
      </w:pPr>
      <w:r w:rsidRPr="000A53C0">
        <w:rPr>
          <w:rFonts w:cs="Arial"/>
          <w:b/>
          <w:i/>
        </w:rPr>
        <w:t>+</w:t>
      </w:r>
    </w:p>
    <w:p w14:paraId="7A8B5CD7" w14:textId="77777777" w:rsidR="00425098" w:rsidRPr="000A53C0" w:rsidRDefault="00425098" w:rsidP="006171C5">
      <w:pPr>
        <w:pStyle w:val="BodyText"/>
        <w:keepNext/>
        <w:jc w:val="center"/>
        <w:rPr>
          <w:rFonts w:cs="Arial"/>
          <w:i/>
        </w:rPr>
      </w:pPr>
      <w:r w:rsidRPr="000A53C0">
        <w:rPr>
          <w:rFonts w:cs="Arial"/>
          <w:i/>
        </w:rPr>
        <w:t>Average time between diagnosis of silicosis or silica-related disease and death</w:t>
      </w:r>
      <w:r w:rsidRPr="000A53C0">
        <w:rPr>
          <w:rFonts w:cs="Arial"/>
          <w:i/>
        </w:rPr>
        <w:br/>
      </w:r>
    </w:p>
    <w:p w14:paraId="4F75AA3A" w14:textId="102D7C84" w:rsidR="00425098" w:rsidRPr="000A53C0" w:rsidRDefault="00425098" w:rsidP="00B7761C">
      <w:pPr>
        <w:pStyle w:val="Caption"/>
        <w:rPr>
          <w:rFonts w:cs="Arial"/>
        </w:rPr>
      </w:pPr>
      <w:bookmarkStart w:id="241" w:name="_Ref124835567"/>
      <w:r w:rsidRPr="004E5891">
        <w:rPr>
          <w:rFonts w:cs="Arial"/>
          <w:b/>
          <w:bCs/>
        </w:rPr>
        <w:t xml:space="preserve">Table </w:t>
      </w:r>
      <w:r w:rsidRPr="004E5891">
        <w:rPr>
          <w:rFonts w:cs="Arial"/>
          <w:b/>
          <w:bCs/>
        </w:rPr>
        <w:fldChar w:fldCharType="begin"/>
      </w:r>
      <w:r w:rsidRPr="004E5891">
        <w:rPr>
          <w:rFonts w:cs="Arial"/>
          <w:b/>
          <w:bCs/>
        </w:rPr>
        <w:instrText>SEQ Table \* ARABIC</w:instrText>
      </w:r>
      <w:r w:rsidRPr="004E5891">
        <w:rPr>
          <w:rFonts w:cs="Arial"/>
          <w:b/>
          <w:bCs/>
        </w:rPr>
        <w:fldChar w:fldCharType="separate"/>
      </w:r>
      <w:r w:rsidR="00D16271">
        <w:rPr>
          <w:rFonts w:cs="Arial"/>
          <w:b/>
          <w:bCs/>
          <w:noProof/>
        </w:rPr>
        <w:t>33</w:t>
      </w:r>
      <w:r w:rsidRPr="004E5891">
        <w:rPr>
          <w:rFonts w:cs="Arial"/>
          <w:b/>
          <w:bCs/>
        </w:rPr>
        <w:fldChar w:fldCharType="end"/>
      </w:r>
      <w:bookmarkEnd w:id="241"/>
      <w:r w:rsidRPr="000A53C0">
        <w:rPr>
          <w:rFonts w:cs="Arial"/>
        </w:rPr>
        <w:t xml:space="preserve"> Estimated average age of death due to silicosis or silica-related disease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425098" w:rsidRPr="000A53C0" w14:paraId="4E0DBD18" w14:textId="77777777" w:rsidTr="004E5891">
        <w:trPr>
          <w:trHeight w:val="513"/>
          <w:tblHeader/>
        </w:trPr>
        <w:tc>
          <w:tcPr>
            <w:tcW w:w="3055" w:type="pct"/>
            <w:shd w:val="clear" w:color="auto" w:fill="E81D32"/>
            <w:vAlign w:val="center"/>
          </w:tcPr>
          <w:p w14:paraId="7010524D" w14:textId="77777777" w:rsidR="00425098" w:rsidRPr="004E5891" w:rsidRDefault="00425098" w:rsidP="004E5891">
            <w:pPr>
              <w:pStyle w:val="TableHeading"/>
              <w:spacing w:before="0" w:after="0"/>
              <w:rPr>
                <w:rFonts w:ascii="Arial" w:hAnsi="Arial" w:cs="Arial"/>
                <w:iCs/>
                <w:color w:val="FFFFFF" w:themeColor="background1"/>
              </w:rPr>
            </w:pPr>
            <w:r w:rsidRPr="004E5891">
              <w:rPr>
                <w:rFonts w:ascii="Arial" w:hAnsi="Arial" w:cs="Arial"/>
                <w:color w:val="FFFFFF" w:themeColor="background1"/>
              </w:rPr>
              <w:t xml:space="preserve">Assumption </w:t>
            </w:r>
          </w:p>
        </w:tc>
        <w:tc>
          <w:tcPr>
            <w:tcW w:w="1945" w:type="pct"/>
            <w:shd w:val="clear" w:color="auto" w:fill="E81D32"/>
            <w:vAlign w:val="center"/>
          </w:tcPr>
          <w:p w14:paraId="3D324F01" w14:textId="77777777" w:rsidR="00425098" w:rsidRPr="004E5891" w:rsidRDefault="00425098" w:rsidP="004E5891">
            <w:pPr>
              <w:pStyle w:val="TableHeading"/>
              <w:spacing w:before="0" w:after="0"/>
              <w:rPr>
                <w:rFonts w:ascii="Arial" w:hAnsi="Arial" w:cs="Arial"/>
                <w:color w:val="FFFFFF" w:themeColor="background1"/>
              </w:rPr>
            </w:pPr>
            <w:r w:rsidRPr="004E5891">
              <w:rPr>
                <w:rFonts w:ascii="Arial" w:hAnsi="Arial" w:cs="Arial"/>
                <w:color w:val="FFFFFF" w:themeColor="background1"/>
              </w:rPr>
              <w:t>Value</w:t>
            </w:r>
          </w:p>
        </w:tc>
      </w:tr>
      <w:tr w:rsidR="00425098" w:rsidRPr="000A53C0" w14:paraId="67A7B661" w14:textId="77777777">
        <w:trPr>
          <w:trHeight w:val="196"/>
        </w:trPr>
        <w:tc>
          <w:tcPr>
            <w:tcW w:w="3055" w:type="pct"/>
            <w:tcBorders>
              <w:bottom w:val="single" w:sz="8" w:space="0" w:color="D1D1D1" w:themeColor="background2"/>
            </w:tcBorders>
            <w:vAlign w:val="center"/>
          </w:tcPr>
          <w:p w14:paraId="001C127F" w14:textId="77777777" w:rsidR="00425098" w:rsidRPr="000A53C0" w:rsidRDefault="00425098">
            <w:pPr>
              <w:pStyle w:val="TableBody"/>
              <w:rPr>
                <w:rFonts w:cs="Arial"/>
              </w:rPr>
            </w:pPr>
            <w:r w:rsidRPr="000A53C0">
              <w:rPr>
                <w:rFonts w:cs="Arial"/>
              </w:rPr>
              <w:t xml:space="preserve">Average age of diagnosis with silicosis or silica-related disease </w:t>
            </w:r>
          </w:p>
        </w:tc>
        <w:tc>
          <w:tcPr>
            <w:tcW w:w="1945" w:type="pct"/>
            <w:tcBorders>
              <w:bottom w:val="single" w:sz="8" w:space="0" w:color="D1D1D1" w:themeColor="background2"/>
            </w:tcBorders>
            <w:vAlign w:val="center"/>
          </w:tcPr>
          <w:p w14:paraId="4FFE3E45" w14:textId="77777777" w:rsidR="00425098" w:rsidRPr="000A53C0" w:rsidRDefault="00425098">
            <w:pPr>
              <w:pStyle w:val="TableBody"/>
              <w:rPr>
                <w:rFonts w:cs="Arial"/>
              </w:rPr>
            </w:pPr>
            <w:r w:rsidRPr="000A53C0">
              <w:rPr>
                <w:rFonts w:cs="Arial"/>
              </w:rPr>
              <w:t xml:space="preserve">43.30 years </w:t>
            </w:r>
            <w:r w:rsidRPr="000A53C0">
              <w:rPr>
                <w:rFonts w:cs="Arial"/>
              </w:rPr>
              <w:fldChar w:fldCharType="begin"/>
            </w:r>
            <w:r w:rsidRPr="000A53C0">
              <w:rPr>
                <w:rFonts w:cs="Arial"/>
              </w:rPr>
              <w:instrText xml:space="preserve"> ADDIN ZOTERO_ITEM CSL_CITATION {"citationID":"HruToubF","properties":{"formattedCitation":"(Deloitte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224A47B9" w14:textId="77777777">
        <w:trPr>
          <w:trHeight w:val="196"/>
        </w:trPr>
        <w:tc>
          <w:tcPr>
            <w:tcW w:w="3055" w:type="pct"/>
            <w:tcBorders>
              <w:top w:val="single" w:sz="8" w:space="0" w:color="D1D1D1" w:themeColor="background2"/>
              <w:bottom w:val="single" w:sz="8" w:space="0" w:color="D1D1D1" w:themeColor="background2"/>
            </w:tcBorders>
            <w:vAlign w:val="center"/>
          </w:tcPr>
          <w:p w14:paraId="280CA33F" w14:textId="77777777" w:rsidR="00425098" w:rsidRPr="000A53C0" w:rsidRDefault="00425098">
            <w:pPr>
              <w:pStyle w:val="TableBody"/>
              <w:rPr>
                <w:rFonts w:cs="Arial"/>
              </w:rPr>
            </w:pPr>
            <w:r w:rsidRPr="000A53C0">
              <w:rPr>
                <w:rFonts w:cs="Arial"/>
              </w:rPr>
              <w:t xml:space="preserve">Average time between diagnosis of silicosis or silica-related disease and death </w:t>
            </w:r>
          </w:p>
        </w:tc>
        <w:tc>
          <w:tcPr>
            <w:tcW w:w="1945" w:type="pct"/>
            <w:tcBorders>
              <w:top w:val="single" w:sz="8" w:space="0" w:color="D1D1D1" w:themeColor="background2"/>
              <w:bottom w:val="single" w:sz="8" w:space="0" w:color="D1D1D1" w:themeColor="background2"/>
            </w:tcBorders>
            <w:vAlign w:val="center"/>
          </w:tcPr>
          <w:p w14:paraId="07DF72F8" w14:textId="77777777" w:rsidR="00425098" w:rsidRPr="000A53C0" w:rsidRDefault="00425098">
            <w:pPr>
              <w:pStyle w:val="TableBody"/>
              <w:rPr>
                <w:rFonts w:cs="Arial"/>
              </w:rPr>
            </w:pPr>
            <w:r w:rsidRPr="000A53C0">
              <w:rPr>
                <w:rFonts w:cs="Arial"/>
              </w:rPr>
              <w:t xml:space="preserve">9.30 years </w:t>
            </w:r>
            <w:r w:rsidRPr="000A53C0">
              <w:rPr>
                <w:rFonts w:cs="Arial"/>
              </w:rPr>
              <w:fldChar w:fldCharType="begin"/>
            </w:r>
            <w:r w:rsidRPr="000A53C0">
              <w:rPr>
                <w:rFonts w:cs="Arial"/>
              </w:rPr>
              <w:instrText xml:space="preserve"> ADDIN ZOTERO_ITEM CSL_CITATION {"citationID":"YT7TFsi2","properties":{"formattedCitation":"(Deloitte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657951DB"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6AE3D75" w14:textId="77777777" w:rsidR="00425098" w:rsidRPr="000A53C0" w:rsidRDefault="00425098">
            <w:pPr>
              <w:pStyle w:val="TableBody"/>
              <w:rPr>
                <w:rFonts w:cs="Arial"/>
                <w:b/>
              </w:rPr>
            </w:pPr>
            <w:r w:rsidRPr="000A53C0">
              <w:rPr>
                <w:rFonts w:cs="Arial"/>
                <w:b/>
                <w:i/>
              </w:rPr>
              <w:t xml:space="preserve">Estimated average age of death due to silicosis or silicate related disease </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35785C4A" w14:textId="77777777" w:rsidR="00425098" w:rsidRPr="000A53C0" w:rsidRDefault="00425098">
            <w:pPr>
              <w:pStyle w:val="TableBody"/>
              <w:rPr>
                <w:rFonts w:cs="Arial"/>
                <w:b/>
              </w:rPr>
            </w:pPr>
            <w:r w:rsidRPr="000A53C0">
              <w:rPr>
                <w:rFonts w:cs="Arial"/>
                <w:b/>
              </w:rPr>
              <w:t>52.6 years</w:t>
            </w:r>
          </w:p>
        </w:tc>
      </w:tr>
    </w:tbl>
    <w:p w14:paraId="2E866D02" w14:textId="77777777" w:rsidR="004E5891" w:rsidRDefault="004E5891" w:rsidP="004E5891">
      <w:pPr>
        <w:rPr>
          <w:b/>
          <w:bCs/>
        </w:rPr>
      </w:pPr>
    </w:p>
    <w:p w14:paraId="7A4629A1" w14:textId="725E80F7" w:rsidR="00425098" w:rsidRPr="004E5891" w:rsidRDefault="00425098" w:rsidP="004E5891">
      <w:pPr>
        <w:rPr>
          <w:b/>
          <w:bCs/>
        </w:rPr>
      </w:pPr>
      <w:r w:rsidRPr="004E5891">
        <w:rPr>
          <w:b/>
          <w:bCs/>
        </w:rPr>
        <w:t xml:space="preserve">Step 2: Weighted average life expectancy of people with silicosis or silica-related disease </w:t>
      </w:r>
    </w:p>
    <w:p w14:paraId="70B7F4FB" w14:textId="4264BD01" w:rsidR="00425098" w:rsidRPr="000A53C0" w:rsidRDefault="00425098" w:rsidP="00425098">
      <w:pPr>
        <w:pStyle w:val="BodyText"/>
        <w:rPr>
          <w:rFonts w:cs="Arial"/>
        </w:rPr>
      </w:pPr>
      <w:r w:rsidRPr="000A53C0">
        <w:rPr>
          <w:rFonts w:cs="Arial"/>
        </w:rPr>
        <w:t xml:space="preserve">The approach used to estimate the weighted average life expectancy of people with silicosis or silica-related disease is presented below, with key assumptions underpinning the estimated outlined in </w:t>
      </w:r>
      <w:r w:rsidRPr="000A53C0">
        <w:rPr>
          <w:rFonts w:cs="Arial"/>
        </w:rPr>
        <w:fldChar w:fldCharType="begin" w:fldLock="1"/>
      </w:r>
      <w:r w:rsidRPr="000A53C0">
        <w:rPr>
          <w:rFonts w:cs="Arial"/>
        </w:rPr>
        <w:instrText xml:space="preserve"> REF _Ref124836176 \h </w:instrText>
      </w:r>
      <w:r w:rsidR="000A53C0">
        <w:rPr>
          <w:rFonts w:cs="Arial"/>
        </w:rPr>
        <w:instrText xml:space="preserve"> \* MERGEFORMAT </w:instrText>
      </w:r>
      <w:r w:rsidRPr="000A53C0">
        <w:rPr>
          <w:rFonts w:cs="Arial"/>
        </w:rPr>
      </w:r>
      <w:r w:rsidRPr="000A53C0">
        <w:rPr>
          <w:rFonts w:cs="Arial"/>
        </w:rPr>
        <w:fldChar w:fldCharType="separate"/>
      </w:r>
      <w:r w:rsidR="00D16271" w:rsidRPr="00D16271">
        <w:rPr>
          <w:rFonts w:cs="Arial"/>
        </w:rPr>
        <w:t xml:space="preserve">Table </w:t>
      </w:r>
      <w:r w:rsidR="00D16271" w:rsidRPr="00D16271">
        <w:rPr>
          <w:rFonts w:cs="Arial"/>
          <w:noProof/>
        </w:rPr>
        <w:t>34</w:t>
      </w:r>
      <w:r w:rsidRPr="000A53C0">
        <w:rPr>
          <w:rFonts w:cs="Arial"/>
        </w:rPr>
        <w:fldChar w:fldCharType="end"/>
      </w:r>
      <w:r w:rsidRPr="000A53C0">
        <w:rPr>
          <w:rFonts w:cs="Arial"/>
        </w:rPr>
        <w:t>.</w:t>
      </w:r>
    </w:p>
    <w:p w14:paraId="5C3E25D0" w14:textId="77777777" w:rsidR="00425098" w:rsidRPr="009816F4" w:rsidRDefault="00425098" w:rsidP="00425098">
      <w:pPr>
        <w:pStyle w:val="BodyText"/>
        <w:jc w:val="center"/>
        <w:rPr>
          <w:rFonts w:cs="Arial"/>
          <w:b/>
          <w:bCs/>
          <w:i/>
        </w:rPr>
      </w:pPr>
      <w:r w:rsidRPr="009816F4">
        <w:rPr>
          <w:rFonts w:cs="Arial"/>
          <w:b/>
          <w:bCs/>
          <w:i/>
        </w:rPr>
        <w:t>Weighted average life expectancy of people with silicosis or silica-related disease</w:t>
      </w:r>
    </w:p>
    <w:p w14:paraId="573D744D" w14:textId="77777777" w:rsidR="00425098" w:rsidRPr="000A53C0" w:rsidRDefault="00425098" w:rsidP="00425098">
      <w:pPr>
        <w:pStyle w:val="BodyText"/>
        <w:jc w:val="center"/>
        <w:rPr>
          <w:rFonts w:cs="Arial"/>
          <w:i/>
        </w:rPr>
      </w:pPr>
      <w:r w:rsidRPr="000A53C0">
        <w:rPr>
          <w:rFonts w:cs="Arial"/>
          <w:i/>
        </w:rPr>
        <w:t>=</w:t>
      </w:r>
    </w:p>
    <w:p w14:paraId="6BA3A2B5" w14:textId="77777777" w:rsidR="00425098" w:rsidRPr="000A53C0" w:rsidRDefault="00425098" w:rsidP="00425098">
      <w:pPr>
        <w:pStyle w:val="BodyText"/>
        <w:jc w:val="center"/>
        <w:rPr>
          <w:rFonts w:cs="Arial"/>
          <w:i/>
        </w:rPr>
      </w:pPr>
      <w:r w:rsidRPr="000A53C0">
        <w:rPr>
          <w:rFonts w:cs="Arial"/>
          <w:i/>
        </w:rPr>
        <w:t>(Proportion of silica-related diagnoses that led to a fatality x estimated average life expectancy of an Australian with silicosis or silica-related disease)</w:t>
      </w:r>
      <w:r w:rsidRPr="000A53C0">
        <w:rPr>
          <w:rFonts w:cs="Arial"/>
          <w:i/>
        </w:rPr>
        <w:br/>
        <w:t>+</w:t>
      </w:r>
      <w:r w:rsidRPr="000A53C0">
        <w:rPr>
          <w:rFonts w:cs="Arial"/>
          <w:i/>
        </w:rPr>
        <w:br/>
        <w:t>(Proportion of silicosis or silica-related diagnoses that did not lead to a fatality x Average life expectancy of an Australian)</w:t>
      </w:r>
    </w:p>
    <w:p w14:paraId="7FA5F9CE" w14:textId="336C3B00" w:rsidR="00425098" w:rsidRPr="000A53C0" w:rsidRDefault="00425098" w:rsidP="00B7761C">
      <w:pPr>
        <w:pStyle w:val="Caption"/>
        <w:rPr>
          <w:rFonts w:cs="Arial"/>
        </w:rPr>
      </w:pPr>
      <w:bookmarkStart w:id="242" w:name="_Ref124836176"/>
      <w:r w:rsidRPr="004E5891">
        <w:rPr>
          <w:rFonts w:cs="Arial"/>
          <w:b/>
          <w:bCs/>
        </w:rPr>
        <w:t xml:space="preserve">Table </w:t>
      </w:r>
      <w:r w:rsidRPr="004E5891">
        <w:rPr>
          <w:rFonts w:cs="Arial"/>
          <w:b/>
          <w:bCs/>
        </w:rPr>
        <w:fldChar w:fldCharType="begin"/>
      </w:r>
      <w:r w:rsidRPr="004E5891">
        <w:rPr>
          <w:rFonts w:cs="Arial"/>
          <w:b/>
          <w:bCs/>
        </w:rPr>
        <w:instrText>SEQ Table \* ARABIC</w:instrText>
      </w:r>
      <w:r w:rsidRPr="004E5891">
        <w:rPr>
          <w:rFonts w:cs="Arial"/>
          <w:b/>
          <w:bCs/>
        </w:rPr>
        <w:fldChar w:fldCharType="separate"/>
      </w:r>
      <w:r w:rsidR="00D16271">
        <w:rPr>
          <w:rFonts w:cs="Arial"/>
          <w:b/>
          <w:bCs/>
          <w:noProof/>
        </w:rPr>
        <w:t>34</w:t>
      </w:r>
      <w:r w:rsidRPr="004E5891">
        <w:rPr>
          <w:rFonts w:cs="Arial"/>
          <w:b/>
          <w:bCs/>
        </w:rPr>
        <w:fldChar w:fldCharType="end"/>
      </w:r>
      <w:bookmarkEnd w:id="242"/>
      <w:r w:rsidRPr="000A53C0">
        <w:rPr>
          <w:rFonts w:cs="Arial"/>
        </w:rPr>
        <w:t xml:space="preserve"> Weighted average life expectancy of people with silicosis or silica-related disease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425098" w:rsidRPr="000A53C0" w14:paraId="68522EBD" w14:textId="77777777" w:rsidTr="004E5891">
        <w:trPr>
          <w:trHeight w:val="529"/>
          <w:tblHeader/>
        </w:trPr>
        <w:tc>
          <w:tcPr>
            <w:tcW w:w="3055" w:type="pct"/>
            <w:shd w:val="clear" w:color="auto" w:fill="E81D32"/>
            <w:vAlign w:val="center"/>
          </w:tcPr>
          <w:p w14:paraId="1D6D3E03" w14:textId="77777777" w:rsidR="00425098" w:rsidRPr="004E5891" w:rsidRDefault="00425098" w:rsidP="004E5891">
            <w:pPr>
              <w:pStyle w:val="TableHeading"/>
              <w:spacing w:before="0" w:after="0"/>
              <w:rPr>
                <w:rFonts w:ascii="Arial" w:hAnsi="Arial" w:cs="Arial"/>
                <w:iCs/>
                <w:color w:val="FFFFFF" w:themeColor="background1"/>
              </w:rPr>
            </w:pPr>
            <w:r w:rsidRPr="004E5891">
              <w:rPr>
                <w:rFonts w:ascii="Arial" w:hAnsi="Arial" w:cs="Arial"/>
                <w:color w:val="FFFFFF" w:themeColor="background1"/>
              </w:rPr>
              <w:t xml:space="preserve">Assumption </w:t>
            </w:r>
          </w:p>
        </w:tc>
        <w:tc>
          <w:tcPr>
            <w:tcW w:w="1945" w:type="pct"/>
            <w:shd w:val="clear" w:color="auto" w:fill="E81D32"/>
            <w:vAlign w:val="center"/>
          </w:tcPr>
          <w:p w14:paraId="02F0BB68" w14:textId="77777777" w:rsidR="00425098" w:rsidRPr="004E5891" w:rsidRDefault="00425098" w:rsidP="004E5891">
            <w:pPr>
              <w:pStyle w:val="TableHeading"/>
              <w:spacing w:before="0" w:after="0"/>
              <w:rPr>
                <w:rFonts w:ascii="Arial" w:hAnsi="Arial" w:cs="Arial"/>
                <w:color w:val="FFFFFF" w:themeColor="background1"/>
              </w:rPr>
            </w:pPr>
            <w:r w:rsidRPr="004E5891">
              <w:rPr>
                <w:rFonts w:ascii="Arial" w:hAnsi="Arial" w:cs="Arial"/>
                <w:color w:val="FFFFFF" w:themeColor="background1"/>
              </w:rPr>
              <w:t>Value</w:t>
            </w:r>
          </w:p>
        </w:tc>
      </w:tr>
      <w:tr w:rsidR="00425098" w:rsidRPr="000A53C0" w14:paraId="72B8936F" w14:textId="77777777">
        <w:trPr>
          <w:trHeight w:val="196"/>
        </w:trPr>
        <w:tc>
          <w:tcPr>
            <w:tcW w:w="3055" w:type="pct"/>
            <w:tcBorders>
              <w:bottom w:val="single" w:sz="8" w:space="0" w:color="D1D1D1" w:themeColor="background2"/>
            </w:tcBorders>
            <w:vAlign w:val="center"/>
          </w:tcPr>
          <w:p w14:paraId="33D7FE14" w14:textId="77777777" w:rsidR="00425098" w:rsidRPr="000A53C0" w:rsidRDefault="00425098">
            <w:pPr>
              <w:pStyle w:val="TableBody"/>
              <w:rPr>
                <w:rFonts w:cs="Arial"/>
              </w:rPr>
            </w:pPr>
            <w:r w:rsidRPr="000A53C0">
              <w:rPr>
                <w:rFonts w:cs="Arial"/>
              </w:rPr>
              <w:t>Proportion of silicosis or silica-related diagnoses that led to a fatality</w:t>
            </w:r>
          </w:p>
        </w:tc>
        <w:tc>
          <w:tcPr>
            <w:tcW w:w="1945" w:type="pct"/>
            <w:tcBorders>
              <w:bottom w:val="single" w:sz="8" w:space="0" w:color="D1D1D1" w:themeColor="background2"/>
            </w:tcBorders>
            <w:vAlign w:val="center"/>
          </w:tcPr>
          <w:p w14:paraId="003B0196" w14:textId="77777777" w:rsidR="00425098" w:rsidRPr="000A53C0" w:rsidRDefault="00425098">
            <w:pPr>
              <w:pStyle w:val="TableBody"/>
              <w:rPr>
                <w:rFonts w:cs="Arial"/>
              </w:rPr>
            </w:pPr>
            <w:r w:rsidRPr="000A53C0">
              <w:rPr>
                <w:rFonts w:cs="Arial"/>
              </w:rPr>
              <w:t xml:space="preserve">28% </w:t>
            </w:r>
            <w:r w:rsidRPr="000A53C0">
              <w:rPr>
                <w:rFonts w:cs="Arial"/>
              </w:rPr>
              <w:fldChar w:fldCharType="begin"/>
            </w:r>
            <w:r w:rsidRPr="000A53C0">
              <w:rPr>
                <w:rFonts w:cs="Arial"/>
              </w:rPr>
              <w:instrText xml:space="preserve"> ADDIN ZOTERO_ITEM CSL_CITATION {"citationID":"U5kyctjd","properties":{"formattedCitation":"(Deloitte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619BE065" w14:textId="77777777">
        <w:trPr>
          <w:trHeight w:val="196"/>
        </w:trPr>
        <w:tc>
          <w:tcPr>
            <w:tcW w:w="3055" w:type="pct"/>
            <w:tcBorders>
              <w:top w:val="single" w:sz="8" w:space="0" w:color="D1D1D1" w:themeColor="background2"/>
              <w:bottom w:val="single" w:sz="8" w:space="0" w:color="D1D1D1" w:themeColor="background2"/>
            </w:tcBorders>
            <w:vAlign w:val="center"/>
          </w:tcPr>
          <w:p w14:paraId="2DFCEF28" w14:textId="77777777" w:rsidR="00425098" w:rsidRPr="000A53C0" w:rsidRDefault="00425098">
            <w:pPr>
              <w:pStyle w:val="TableBody"/>
              <w:rPr>
                <w:rFonts w:cs="Arial"/>
              </w:rPr>
            </w:pPr>
            <w:r w:rsidRPr="000A53C0">
              <w:rPr>
                <w:rFonts w:cs="Arial"/>
                <w:b/>
              </w:rPr>
              <w:t xml:space="preserve">Estimated average age of death due to silicosis or silica-related disease </w:t>
            </w:r>
          </w:p>
        </w:tc>
        <w:tc>
          <w:tcPr>
            <w:tcW w:w="1945" w:type="pct"/>
            <w:tcBorders>
              <w:top w:val="single" w:sz="8" w:space="0" w:color="D1D1D1" w:themeColor="background2"/>
              <w:bottom w:val="single" w:sz="8" w:space="0" w:color="D1D1D1" w:themeColor="background2"/>
            </w:tcBorders>
            <w:vAlign w:val="center"/>
          </w:tcPr>
          <w:p w14:paraId="5B6F8DB3" w14:textId="77777777" w:rsidR="00425098" w:rsidRPr="000A53C0" w:rsidRDefault="00425098">
            <w:pPr>
              <w:pStyle w:val="TableBody"/>
              <w:rPr>
                <w:rFonts w:cs="Arial"/>
              </w:rPr>
            </w:pPr>
            <w:r w:rsidRPr="000A53C0">
              <w:rPr>
                <w:rFonts w:cs="Arial"/>
              </w:rPr>
              <w:t>52.6 years</w:t>
            </w:r>
          </w:p>
        </w:tc>
      </w:tr>
      <w:tr w:rsidR="00425098" w:rsidRPr="000A53C0" w14:paraId="77054A22" w14:textId="77777777">
        <w:trPr>
          <w:trHeight w:val="196"/>
        </w:trPr>
        <w:tc>
          <w:tcPr>
            <w:tcW w:w="3055" w:type="pct"/>
            <w:tcBorders>
              <w:top w:val="single" w:sz="8" w:space="0" w:color="D1D1D1" w:themeColor="background2"/>
              <w:bottom w:val="single" w:sz="8" w:space="0" w:color="D1D1D1" w:themeColor="background2"/>
            </w:tcBorders>
            <w:vAlign w:val="center"/>
          </w:tcPr>
          <w:p w14:paraId="33FC70C3" w14:textId="77777777" w:rsidR="00425098" w:rsidRPr="000A53C0" w:rsidRDefault="00425098">
            <w:pPr>
              <w:pStyle w:val="TableBody"/>
              <w:rPr>
                <w:rFonts w:cs="Arial"/>
              </w:rPr>
            </w:pPr>
            <w:r w:rsidRPr="000A53C0">
              <w:rPr>
                <w:rFonts w:cs="Arial"/>
              </w:rPr>
              <w:t>Proportion of silicosis or silica-related diagnoses that do not lead to a fatality</w:t>
            </w:r>
          </w:p>
        </w:tc>
        <w:tc>
          <w:tcPr>
            <w:tcW w:w="1945" w:type="pct"/>
            <w:tcBorders>
              <w:top w:val="single" w:sz="8" w:space="0" w:color="D1D1D1" w:themeColor="background2"/>
              <w:bottom w:val="single" w:sz="8" w:space="0" w:color="D1D1D1" w:themeColor="background2"/>
            </w:tcBorders>
            <w:vAlign w:val="center"/>
          </w:tcPr>
          <w:p w14:paraId="767EBC28" w14:textId="77777777" w:rsidR="00425098" w:rsidRPr="000A53C0" w:rsidRDefault="00425098">
            <w:pPr>
              <w:pStyle w:val="TableBody"/>
              <w:rPr>
                <w:rFonts w:cs="Arial"/>
              </w:rPr>
            </w:pPr>
            <w:r w:rsidRPr="000A53C0">
              <w:rPr>
                <w:rFonts w:cs="Arial"/>
              </w:rPr>
              <w:t xml:space="preserve">72% </w:t>
            </w:r>
            <w:r w:rsidRPr="000A53C0">
              <w:rPr>
                <w:rFonts w:cs="Arial"/>
              </w:rPr>
              <w:fldChar w:fldCharType="begin"/>
            </w:r>
            <w:r w:rsidRPr="000A53C0">
              <w:rPr>
                <w:rFonts w:cs="Arial"/>
              </w:rPr>
              <w:instrText xml:space="preserve"> ADDIN ZOTERO_ITEM CSL_CITATION {"citationID":"s6KlDljS","properties":{"formattedCitation":"(Deloitte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0885596A" w14:textId="77777777">
        <w:trPr>
          <w:trHeight w:val="196"/>
        </w:trPr>
        <w:tc>
          <w:tcPr>
            <w:tcW w:w="3055" w:type="pct"/>
            <w:tcBorders>
              <w:top w:val="single" w:sz="8" w:space="0" w:color="D1D1D1" w:themeColor="background2"/>
              <w:bottom w:val="single" w:sz="8" w:space="0" w:color="D1D1D1" w:themeColor="background2"/>
            </w:tcBorders>
            <w:vAlign w:val="center"/>
          </w:tcPr>
          <w:p w14:paraId="20F9E115" w14:textId="77777777" w:rsidR="00425098" w:rsidRPr="000A53C0" w:rsidRDefault="00425098">
            <w:pPr>
              <w:pStyle w:val="TableBody"/>
              <w:rPr>
                <w:rFonts w:cs="Arial"/>
              </w:rPr>
            </w:pPr>
            <w:r w:rsidRPr="000A53C0">
              <w:rPr>
                <w:rFonts w:cs="Arial"/>
              </w:rPr>
              <w:t>Average life expectancy of an Australian</w:t>
            </w:r>
          </w:p>
        </w:tc>
        <w:tc>
          <w:tcPr>
            <w:tcW w:w="1945" w:type="pct"/>
            <w:tcBorders>
              <w:top w:val="single" w:sz="8" w:space="0" w:color="D1D1D1" w:themeColor="background2"/>
              <w:bottom w:val="single" w:sz="8" w:space="0" w:color="D1D1D1" w:themeColor="background2"/>
            </w:tcBorders>
            <w:vAlign w:val="center"/>
          </w:tcPr>
          <w:p w14:paraId="2D3C974E" w14:textId="77777777" w:rsidR="00425098" w:rsidRPr="000A53C0" w:rsidRDefault="00425098">
            <w:pPr>
              <w:pStyle w:val="TableBody"/>
              <w:rPr>
                <w:rFonts w:cs="Arial"/>
              </w:rPr>
            </w:pPr>
            <w:r w:rsidRPr="000A53C0">
              <w:rPr>
                <w:rFonts w:cs="Arial"/>
              </w:rPr>
              <w:t xml:space="preserve">82.30 years </w:t>
            </w:r>
            <w:r w:rsidRPr="000A53C0">
              <w:rPr>
                <w:rFonts w:cs="Arial"/>
              </w:rPr>
              <w:fldChar w:fldCharType="begin"/>
            </w:r>
            <w:r w:rsidRPr="000A53C0">
              <w:rPr>
                <w:rFonts w:cs="Arial"/>
              </w:rPr>
              <w:instrText xml:space="preserve"> ADDIN ZOTERO_ITEM CSL_CITATION {"citationID":"8E1yaRBN","properties":{"formattedCitation":"(Australian Institute of Health and Welfare 2022)","plainCitation":"(Australian Institute of Health and Welfare 2022)","noteIndex":0},"citationItems":[{"id":934,"uris":["http://zotero.org/users/6230888/items/KRFHT8IG"],"itemData":{"id":934,"type":"report","page":"27","title":"Deaths in Australia","URL":"https://www.aihw.gov.au/getmedia/743dd325-7e96-4674-bb87-9f77420a7ef5/Deaths-in-Australia.pdf","author":[{"literal":"Australian Institute of Health and Welfare"}],"accessed":{"date-parts":[["2022",6,30]]},"issued":{"date-parts":[["2022"]]}}}],"schema":"https://github.com/citation-style-language/schema/raw/master/csl-citation.json"} </w:instrText>
            </w:r>
            <w:r w:rsidRPr="000A53C0">
              <w:rPr>
                <w:rFonts w:cs="Arial"/>
              </w:rPr>
              <w:fldChar w:fldCharType="separate"/>
            </w:r>
            <w:r w:rsidRPr="000A53C0">
              <w:rPr>
                <w:rFonts w:cs="Arial"/>
              </w:rPr>
              <w:t>(Australian Institute of Health and Welfare 2022)</w:t>
            </w:r>
            <w:r w:rsidRPr="000A53C0">
              <w:rPr>
                <w:rFonts w:cs="Arial"/>
              </w:rPr>
              <w:fldChar w:fldCharType="end"/>
            </w:r>
          </w:p>
        </w:tc>
      </w:tr>
      <w:tr w:rsidR="00425098" w:rsidRPr="000A53C0" w14:paraId="321D2DA5"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7EC3F552" w14:textId="77777777" w:rsidR="00425098" w:rsidRPr="000A53C0" w:rsidRDefault="00425098">
            <w:pPr>
              <w:pStyle w:val="TableBody"/>
              <w:rPr>
                <w:rFonts w:cs="Arial"/>
                <w:b/>
              </w:rPr>
            </w:pPr>
            <w:r w:rsidRPr="000A53C0">
              <w:rPr>
                <w:rFonts w:cs="Arial"/>
                <w:b/>
              </w:rPr>
              <w:t xml:space="preserve">Weighted average life expectancy of people with a silicosis or silica-related disease </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3EA7455F" w14:textId="77777777" w:rsidR="00425098" w:rsidRPr="000A53C0" w:rsidRDefault="00425098">
            <w:pPr>
              <w:pStyle w:val="TableBody"/>
              <w:rPr>
                <w:rFonts w:cs="Arial"/>
                <w:b/>
              </w:rPr>
            </w:pPr>
            <w:r w:rsidRPr="000A53C0">
              <w:rPr>
                <w:rFonts w:cs="Arial"/>
                <w:b/>
              </w:rPr>
              <w:t>74.0 years</w:t>
            </w:r>
          </w:p>
        </w:tc>
      </w:tr>
    </w:tbl>
    <w:p w14:paraId="1D9CFAC6" w14:textId="77777777" w:rsidR="00CE4A41" w:rsidRDefault="00CE4A41" w:rsidP="00CE4A41">
      <w:pPr>
        <w:rPr>
          <w:b/>
          <w:bCs/>
        </w:rPr>
      </w:pPr>
    </w:p>
    <w:p w14:paraId="246CEE81" w14:textId="7520D7E8" w:rsidR="00425098" w:rsidRPr="00CE4A41" w:rsidRDefault="00425098" w:rsidP="00CE4A41">
      <w:pPr>
        <w:rPr>
          <w:b/>
          <w:bCs/>
        </w:rPr>
      </w:pPr>
      <w:r w:rsidRPr="00CE4A41">
        <w:rPr>
          <w:b/>
          <w:bCs/>
        </w:rPr>
        <w:lastRenderedPageBreak/>
        <w:t>Step 3</w:t>
      </w:r>
      <w:r w:rsidR="007C03F1">
        <w:rPr>
          <w:b/>
          <w:bCs/>
        </w:rPr>
        <w:t>:</w:t>
      </w:r>
      <w:r w:rsidRPr="00CE4A41">
        <w:rPr>
          <w:b/>
          <w:bCs/>
        </w:rPr>
        <w:t xml:space="preserve"> Estimate the average value of life saved</w:t>
      </w:r>
    </w:p>
    <w:p w14:paraId="0206A35C" w14:textId="7FFFE0DB" w:rsidR="00425098" w:rsidRPr="000A53C0" w:rsidRDefault="00425098" w:rsidP="006171C5">
      <w:pPr>
        <w:pStyle w:val="BodyText"/>
        <w:keepNext/>
        <w:rPr>
          <w:rFonts w:cs="Arial"/>
        </w:rPr>
      </w:pPr>
      <w:r w:rsidRPr="000A53C0">
        <w:rPr>
          <w:rFonts w:cs="Arial"/>
        </w:rPr>
        <w:t xml:space="preserve">The approach used to estimate the average value of life saved for people with silicosis or a silica-related disease is presented in the formula below, with key assumptions underpinning the estimated outlined in </w:t>
      </w:r>
      <w:r w:rsidRPr="000A53C0">
        <w:rPr>
          <w:rFonts w:cs="Arial"/>
          <w:highlight w:val="yellow"/>
        </w:rPr>
        <w:fldChar w:fldCharType="begin" w:fldLock="1"/>
      </w:r>
      <w:r w:rsidRPr="000A53C0">
        <w:rPr>
          <w:rFonts w:cs="Arial"/>
        </w:rPr>
        <w:instrText xml:space="preserve"> REF _Ref124855429 \h </w:instrText>
      </w:r>
      <w:r w:rsidRPr="000A53C0">
        <w:rPr>
          <w:rFonts w:cs="Arial"/>
          <w:highlight w:val="yellow"/>
        </w:rPr>
        <w:instrText xml:space="preserve"> \* MERGEFORMAT </w:instrText>
      </w:r>
      <w:r w:rsidRPr="000A53C0">
        <w:rPr>
          <w:rFonts w:cs="Arial"/>
          <w:highlight w:val="yellow"/>
        </w:rPr>
      </w:r>
      <w:r w:rsidRPr="000A53C0">
        <w:rPr>
          <w:rFonts w:cs="Arial"/>
          <w:highlight w:val="yellow"/>
        </w:rPr>
        <w:fldChar w:fldCharType="separate"/>
      </w:r>
      <w:r w:rsidR="00D16271" w:rsidRPr="00D16271">
        <w:rPr>
          <w:rFonts w:cs="Arial"/>
        </w:rPr>
        <w:t>Table 35</w:t>
      </w:r>
      <w:r w:rsidRPr="000A53C0">
        <w:rPr>
          <w:rFonts w:cs="Arial"/>
          <w:highlight w:val="yellow"/>
        </w:rPr>
        <w:fldChar w:fldCharType="end"/>
      </w:r>
      <w:r w:rsidRPr="000A53C0">
        <w:rPr>
          <w:rFonts w:cs="Arial"/>
        </w:rPr>
        <w:t xml:space="preserve">. </w:t>
      </w:r>
    </w:p>
    <w:p w14:paraId="53B5A164" w14:textId="77777777" w:rsidR="00425098" w:rsidRPr="009816F4" w:rsidRDefault="00425098" w:rsidP="006171C5">
      <w:pPr>
        <w:pStyle w:val="BodyText"/>
        <w:keepNext/>
        <w:jc w:val="center"/>
        <w:rPr>
          <w:rFonts w:cs="Arial"/>
          <w:b/>
          <w:bCs/>
          <w:i/>
        </w:rPr>
      </w:pPr>
      <w:r w:rsidRPr="009816F4">
        <w:rPr>
          <w:rFonts w:cs="Arial"/>
          <w:b/>
          <w:bCs/>
          <w:i/>
        </w:rPr>
        <w:t>Estimated average value of life saved</w:t>
      </w:r>
    </w:p>
    <w:p w14:paraId="79FD502B" w14:textId="77777777" w:rsidR="00425098" w:rsidRPr="000A53C0" w:rsidRDefault="00425098" w:rsidP="006171C5">
      <w:pPr>
        <w:pStyle w:val="BodyText"/>
        <w:keepNext/>
        <w:jc w:val="center"/>
        <w:rPr>
          <w:rFonts w:cs="Arial"/>
          <w:i/>
        </w:rPr>
      </w:pPr>
      <w:r w:rsidRPr="000A53C0">
        <w:rPr>
          <w:rFonts w:cs="Arial"/>
          <w:i/>
        </w:rPr>
        <w:t>=</w:t>
      </w:r>
    </w:p>
    <w:p w14:paraId="05F98679" w14:textId="28D24189" w:rsidR="00425098" w:rsidRPr="000A53C0" w:rsidRDefault="00425098" w:rsidP="006171C5">
      <w:pPr>
        <w:pStyle w:val="BodyText"/>
        <w:keepNext/>
        <w:jc w:val="center"/>
        <w:rPr>
          <w:rFonts w:cs="Arial"/>
          <w:i/>
        </w:rPr>
      </w:pPr>
      <w:r w:rsidRPr="000A53C0">
        <w:rPr>
          <w:rFonts w:cs="Arial"/>
          <w:i/>
        </w:rPr>
        <w:t>Value of a statistical life year</w:t>
      </w:r>
    </w:p>
    <w:p w14:paraId="50A88561" w14:textId="77777777" w:rsidR="00425098" w:rsidRPr="000A53C0" w:rsidRDefault="00425098" w:rsidP="006171C5">
      <w:pPr>
        <w:pStyle w:val="BodyText"/>
        <w:keepNext/>
        <w:jc w:val="center"/>
        <w:rPr>
          <w:rFonts w:cs="Arial"/>
          <w:i/>
        </w:rPr>
      </w:pPr>
      <w:r w:rsidRPr="000A53C0">
        <w:rPr>
          <w:rFonts w:cs="Arial"/>
          <w:i/>
        </w:rPr>
        <w:t>x</w:t>
      </w:r>
    </w:p>
    <w:p w14:paraId="6C11C7A2" w14:textId="1CEBF685" w:rsidR="00425098" w:rsidRPr="000A53C0" w:rsidRDefault="00425098" w:rsidP="006171C5">
      <w:pPr>
        <w:pStyle w:val="BodyText"/>
        <w:keepNext/>
        <w:jc w:val="center"/>
        <w:rPr>
          <w:rFonts w:cs="Arial"/>
          <w:i/>
        </w:rPr>
      </w:pPr>
      <w:r w:rsidRPr="000A53C0">
        <w:rPr>
          <w:rFonts w:cs="Arial"/>
          <w:i/>
        </w:rPr>
        <w:t>(Average life expectancy of an Australian - Weighted average life expectancy)</w:t>
      </w:r>
    </w:p>
    <w:p w14:paraId="01247330" w14:textId="1C4BA32B" w:rsidR="00425098" w:rsidRPr="000A53C0" w:rsidRDefault="00425098" w:rsidP="00B7761C">
      <w:pPr>
        <w:pStyle w:val="Caption"/>
        <w:rPr>
          <w:rFonts w:cs="Arial"/>
        </w:rPr>
      </w:pPr>
      <w:bookmarkStart w:id="243" w:name="_Ref124855429"/>
      <w:r w:rsidRPr="00CE4A41">
        <w:rPr>
          <w:rFonts w:cs="Arial"/>
          <w:b/>
          <w:bCs/>
        </w:rPr>
        <w:t xml:space="preserve">Table </w:t>
      </w:r>
      <w:r w:rsidRPr="00CE4A41">
        <w:rPr>
          <w:rFonts w:cs="Arial"/>
          <w:b/>
          <w:bCs/>
        </w:rPr>
        <w:fldChar w:fldCharType="begin"/>
      </w:r>
      <w:r w:rsidRPr="00CE4A41">
        <w:rPr>
          <w:rFonts w:cs="Arial"/>
          <w:b/>
          <w:bCs/>
        </w:rPr>
        <w:instrText>SEQ Table \* ARABIC</w:instrText>
      </w:r>
      <w:r w:rsidRPr="00CE4A41">
        <w:rPr>
          <w:rFonts w:cs="Arial"/>
          <w:b/>
          <w:bCs/>
        </w:rPr>
        <w:fldChar w:fldCharType="separate"/>
      </w:r>
      <w:r w:rsidR="00D16271">
        <w:rPr>
          <w:rFonts w:cs="Arial"/>
          <w:b/>
          <w:bCs/>
          <w:noProof/>
        </w:rPr>
        <w:t>35</w:t>
      </w:r>
      <w:r w:rsidRPr="00CE4A41">
        <w:rPr>
          <w:rFonts w:cs="Arial"/>
          <w:b/>
          <w:bCs/>
        </w:rPr>
        <w:fldChar w:fldCharType="end"/>
      </w:r>
      <w:bookmarkEnd w:id="243"/>
      <w:r w:rsidRPr="000A53C0">
        <w:rPr>
          <w:rFonts w:cs="Arial"/>
        </w:rPr>
        <w:t xml:space="preserve"> Average value of life saved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425098" w:rsidRPr="000A53C0" w14:paraId="16FE67C4" w14:textId="77777777" w:rsidTr="00CE4A41">
        <w:trPr>
          <w:trHeight w:val="599"/>
          <w:tblHeader/>
        </w:trPr>
        <w:tc>
          <w:tcPr>
            <w:tcW w:w="3055" w:type="pct"/>
            <w:shd w:val="clear" w:color="auto" w:fill="E81D32"/>
            <w:vAlign w:val="center"/>
          </w:tcPr>
          <w:p w14:paraId="6E63AA1D" w14:textId="77777777" w:rsidR="00425098" w:rsidRPr="00CE4A41" w:rsidRDefault="00425098" w:rsidP="00CE4A41">
            <w:pPr>
              <w:pStyle w:val="TableHeading"/>
              <w:spacing w:before="0" w:after="0"/>
              <w:rPr>
                <w:rFonts w:ascii="Arial" w:hAnsi="Arial" w:cs="Arial"/>
                <w:iCs/>
                <w:color w:val="FFFFFF" w:themeColor="background1"/>
              </w:rPr>
            </w:pPr>
            <w:r w:rsidRPr="00CE4A41">
              <w:rPr>
                <w:rFonts w:ascii="Arial" w:hAnsi="Arial" w:cs="Arial"/>
                <w:color w:val="FFFFFF" w:themeColor="background1"/>
              </w:rPr>
              <w:t xml:space="preserve">Assumption </w:t>
            </w:r>
          </w:p>
        </w:tc>
        <w:tc>
          <w:tcPr>
            <w:tcW w:w="1945" w:type="pct"/>
            <w:shd w:val="clear" w:color="auto" w:fill="E81D32"/>
            <w:vAlign w:val="center"/>
          </w:tcPr>
          <w:p w14:paraId="008204CA" w14:textId="77777777" w:rsidR="00425098" w:rsidRPr="00CE4A41" w:rsidRDefault="00425098" w:rsidP="00CE4A41">
            <w:pPr>
              <w:pStyle w:val="TableHeading"/>
              <w:spacing w:before="0" w:after="0"/>
              <w:rPr>
                <w:rFonts w:ascii="Arial" w:hAnsi="Arial" w:cs="Arial"/>
                <w:color w:val="FFFFFF" w:themeColor="background1"/>
              </w:rPr>
            </w:pPr>
            <w:r w:rsidRPr="00CE4A41">
              <w:rPr>
                <w:rFonts w:ascii="Arial" w:hAnsi="Arial" w:cs="Arial"/>
                <w:color w:val="FFFFFF" w:themeColor="background1"/>
              </w:rPr>
              <w:t>Value</w:t>
            </w:r>
          </w:p>
        </w:tc>
      </w:tr>
      <w:tr w:rsidR="00425098" w:rsidRPr="000A53C0" w14:paraId="38F92A4C" w14:textId="77777777">
        <w:trPr>
          <w:trHeight w:val="196"/>
        </w:trPr>
        <w:tc>
          <w:tcPr>
            <w:tcW w:w="3055" w:type="pct"/>
            <w:tcBorders>
              <w:bottom w:val="single" w:sz="8" w:space="0" w:color="D1D1D1" w:themeColor="background2"/>
            </w:tcBorders>
            <w:vAlign w:val="center"/>
          </w:tcPr>
          <w:p w14:paraId="38DF8E64" w14:textId="18EEBE8B" w:rsidR="00425098" w:rsidRPr="000A53C0" w:rsidRDefault="00425098">
            <w:pPr>
              <w:pStyle w:val="TableBody"/>
              <w:keepNext/>
              <w:rPr>
                <w:rFonts w:cs="Arial"/>
              </w:rPr>
            </w:pPr>
            <w:r w:rsidRPr="000A53C0">
              <w:rPr>
                <w:rFonts w:cs="Arial"/>
              </w:rPr>
              <w:t xml:space="preserve">Value of a statistical life year </w:t>
            </w:r>
          </w:p>
        </w:tc>
        <w:tc>
          <w:tcPr>
            <w:tcW w:w="1945" w:type="pct"/>
            <w:tcBorders>
              <w:bottom w:val="single" w:sz="8" w:space="0" w:color="D1D1D1" w:themeColor="background2"/>
            </w:tcBorders>
            <w:vAlign w:val="center"/>
          </w:tcPr>
          <w:p w14:paraId="73665C8B" w14:textId="07561C6F" w:rsidR="00425098" w:rsidRPr="000A53C0" w:rsidRDefault="00425098">
            <w:pPr>
              <w:pStyle w:val="TableBody"/>
              <w:keepNext/>
              <w:rPr>
                <w:rFonts w:cs="Arial"/>
              </w:rPr>
            </w:pPr>
            <w:r w:rsidRPr="000A53C0">
              <w:rPr>
                <w:rFonts w:cs="Arial"/>
              </w:rPr>
              <w:t>$</w:t>
            </w:r>
            <w:r w:rsidR="009078DD" w:rsidRPr="000A53C0">
              <w:rPr>
                <w:rFonts w:cs="Arial"/>
              </w:rPr>
              <w:t>227</w:t>
            </w:r>
            <w:r w:rsidRPr="000A53C0">
              <w:rPr>
                <w:rFonts w:cs="Arial"/>
              </w:rPr>
              <w:t xml:space="preserve">,000 </w:t>
            </w:r>
            <w:r w:rsidRPr="000A53C0">
              <w:rPr>
                <w:rFonts w:cs="Arial"/>
              </w:rPr>
              <w:fldChar w:fldCharType="begin"/>
            </w:r>
            <w:r w:rsidRPr="000A53C0">
              <w:rPr>
                <w:rFonts w:cs="Arial"/>
              </w:rPr>
              <w:instrText xml:space="preserve"> ADDIN ZOTERO_ITEM CSL_CITATION {"citationID":"QsDABkZ9","properties":{"formattedCitation":"(Department of Prime Minister and Cabinet 2021b)","plainCitation":"(Department of Prime Minister and Cabinet 2021b)","noteIndex":0},"citationItems":[{"id":935,"uris":["http://zotero.org/users/6230888/items/85UH9XC3"],"itemData":{"id":935,"type":"webpage","title":"Guidance note: value of statistical life","URL":"https://obpr.pmc.gov.au/resources/guidance-assessing-impacts/value-statistical-life","author":[{"literal":"Department of Prime Minister and Cabinet"}],"accessed":{"date-parts":[["2022",6,30]]},"issued":{"date-parts":[["2021"]]}}}],"schema":"https://github.com/citation-style-language/schema/raw/master/csl-citation.json"} </w:instrText>
            </w:r>
            <w:r w:rsidRPr="000A53C0">
              <w:rPr>
                <w:rFonts w:cs="Arial"/>
              </w:rPr>
              <w:fldChar w:fldCharType="separate"/>
            </w:r>
            <w:sdt>
              <w:sdtPr>
                <w:rPr>
                  <w:rFonts w:cs="Arial"/>
                </w:rPr>
                <w:id w:val="2022353540"/>
                <w:citation/>
              </w:sdtPr>
              <w:sdtEndPr/>
              <w:sdtContent>
                <w:r w:rsidR="00353248" w:rsidRPr="000A53C0">
                  <w:rPr>
                    <w:rFonts w:cs="Arial"/>
                  </w:rPr>
                  <w:fldChar w:fldCharType="begin"/>
                </w:r>
                <w:r w:rsidR="00353248" w:rsidRPr="000A53C0">
                  <w:rPr>
                    <w:rFonts w:cs="Arial"/>
                  </w:rPr>
                  <w:instrText xml:space="preserve"> CITATION Off23 \l 3081 </w:instrText>
                </w:r>
                <w:r w:rsidR="00353248" w:rsidRPr="000A53C0">
                  <w:rPr>
                    <w:rFonts w:cs="Arial"/>
                  </w:rPr>
                  <w:fldChar w:fldCharType="separate"/>
                </w:r>
                <w:r w:rsidR="001F7BAA" w:rsidRPr="000A53C0">
                  <w:rPr>
                    <w:rFonts w:cs="Arial"/>
                    <w:noProof/>
                  </w:rPr>
                  <w:t xml:space="preserve"> (Office of Impact Analysis 2023)</w:t>
                </w:r>
                <w:r w:rsidR="00353248" w:rsidRPr="000A53C0">
                  <w:rPr>
                    <w:rFonts w:cs="Arial"/>
                  </w:rPr>
                  <w:fldChar w:fldCharType="end"/>
                </w:r>
              </w:sdtContent>
            </w:sdt>
            <w:r w:rsidR="00353248" w:rsidRPr="000A53C0" w:rsidDel="00353248">
              <w:rPr>
                <w:rFonts w:cs="Arial"/>
              </w:rPr>
              <w:t xml:space="preserve"> </w:t>
            </w:r>
            <w:r w:rsidRPr="000A53C0">
              <w:rPr>
                <w:rFonts w:cs="Arial"/>
              </w:rPr>
              <w:fldChar w:fldCharType="end"/>
            </w:r>
          </w:p>
        </w:tc>
      </w:tr>
      <w:tr w:rsidR="00425098" w:rsidRPr="000A53C0" w14:paraId="0AFEAA79" w14:textId="77777777">
        <w:trPr>
          <w:trHeight w:val="196"/>
        </w:trPr>
        <w:tc>
          <w:tcPr>
            <w:tcW w:w="3055" w:type="pct"/>
            <w:tcBorders>
              <w:top w:val="single" w:sz="8" w:space="0" w:color="D1D1D1" w:themeColor="background2"/>
              <w:bottom w:val="single" w:sz="8" w:space="0" w:color="D1D1D1" w:themeColor="background2"/>
            </w:tcBorders>
            <w:vAlign w:val="center"/>
          </w:tcPr>
          <w:p w14:paraId="49D86B5E" w14:textId="77777777" w:rsidR="00425098" w:rsidRPr="000A53C0" w:rsidRDefault="00425098">
            <w:pPr>
              <w:pStyle w:val="TableBody"/>
              <w:rPr>
                <w:rFonts w:cs="Arial"/>
              </w:rPr>
            </w:pPr>
            <w:r w:rsidRPr="000A53C0">
              <w:rPr>
                <w:rFonts w:cs="Arial"/>
              </w:rPr>
              <w:t>Average life expectancy of an Australian</w:t>
            </w:r>
          </w:p>
        </w:tc>
        <w:tc>
          <w:tcPr>
            <w:tcW w:w="1945" w:type="pct"/>
            <w:tcBorders>
              <w:top w:val="single" w:sz="8" w:space="0" w:color="D1D1D1" w:themeColor="background2"/>
              <w:bottom w:val="single" w:sz="8" w:space="0" w:color="D1D1D1" w:themeColor="background2"/>
            </w:tcBorders>
            <w:vAlign w:val="center"/>
          </w:tcPr>
          <w:p w14:paraId="0E9BD31D" w14:textId="77777777" w:rsidR="00425098" w:rsidRPr="000A53C0" w:rsidRDefault="00425098">
            <w:pPr>
              <w:pStyle w:val="TableBody"/>
              <w:rPr>
                <w:rFonts w:cs="Arial"/>
                <w:b/>
              </w:rPr>
            </w:pPr>
            <w:r w:rsidRPr="000A53C0">
              <w:rPr>
                <w:rFonts w:cs="Arial"/>
              </w:rPr>
              <w:t xml:space="preserve">82.30 years </w:t>
            </w:r>
            <w:r w:rsidRPr="000A53C0">
              <w:rPr>
                <w:rFonts w:cs="Arial"/>
              </w:rPr>
              <w:fldChar w:fldCharType="begin"/>
            </w:r>
            <w:r w:rsidRPr="000A53C0">
              <w:rPr>
                <w:rFonts w:cs="Arial"/>
              </w:rPr>
              <w:instrText xml:space="preserve"> ADDIN ZOTERO_ITEM CSL_CITATION {"citationID":"8E1yaRBN","properties":{"formattedCitation":"(Australian Institute of Health and Welfare 2022)","plainCitation":"(Australian Institute of Health and Welfare 2022)","noteIndex":0},"citationItems":[{"id":934,"uris":["http://zotero.org/users/6230888/items/KRFHT8IG"],"itemData":{"id":934,"type":"report","page":"27","title":"Deaths in Australia","URL":"https://www.aihw.gov.au/getmedia/743dd325-7e96-4674-bb87-9f77420a7ef5/Deaths-in-Australia.pdf","author":[{"literal":"Australian Institute of Health and Welfare"}],"accessed":{"date-parts":[["2022",6,30]]},"issued":{"date-parts":[["2022"]]}}}],"schema":"https://github.com/citation-style-language/schema/raw/master/csl-citation.json"} </w:instrText>
            </w:r>
            <w:r w:rsidRPr="000A53C0">
              <w:rPr>
                <w:rFonts w:cs="Arial"/>
              </w:rPr>
              <w:fldChar w:fldCharType="separate"/>
            </w:r>
            <w:r w:rsidRPr="000A53C0">
              <w:rPr>
                <w:rFonts w:cs="Arial"/>
              </w:rPr>
              <w:t>(Australian Institute of Health and Welfare 2022)</w:t>
            </w:r>
            <w:r w:rsidRPr="000A53C0">
              <w:rPr>
                <w:rFonts w:cs="Arial"/>
              </w:rPr>
              <w:fldChar w:fldCharType="end"/>
            </w:r>
          </w:p>
        </w:tc>
      </w:tr>
      <w:tr w:rsidR="00425098" w:rsidRPr="000A53C0" w14:paraId="407E5B8B" w14:textId="77777777">
        <w:trPr>
          <w:trHeight w:val="196"/>
        </w:trPr>
        <w:tc>
          <w:tcPr>
            <w:tcW w:w="3055" w:type="pct"/>
            <w:tcBorders>
              <w:top w:val="single" w:sz="8" w:space="0" w:color="D1D1D1" w:themeColor="background2"/>
              <w:bottom w:val="single" w:sz="8" w:space="0" w:color="D1D1D1" w:themeColor="background2"/>
            </w:tcBorders>
            <w:vAlign w:val="center"/>
          </w:tcPr>
          <w:p w14:paraId="66DE9A81" w14:textId="77777777" w:rsidR="00425098" w:rsidRPr="000A53C0" w:rsidRDefault="00425098">
            <w:pPr>
              <w:pStyle w:val="TableBody"/>
              <w:rPr>
                <w:rFonts w:cs="Arial"/>
              </w:rPr>
            </w:pPr>
            <w:r w:rsidRPr="000A53C0">
              <w:rPr>
                <w:rFonts w:cs="Arial"/>
              </w:rPr>
              <w:t xml:space="preserve">Weighted average life expectancy of people with silicosis or a silica-related disease </w:t>
            </w:r>
          </w:p>
        </w:tc>
        <w:tc>
          <w:tcPr>
            <w:tcW w:w="1945" w:type="pct"/>
            <w:tcBorders>
              <w:top w:val="single" w:sz="8" w:space="0" w:color="D1D1D1" w:themeColor="background2"/>
              <w:bottom w:val="single" w:sz="8" w:space="0" w:color="D1D1D1" w:themeColor="background2"/>
            </w:tcBorders>
            <w:vAlign w:val="center"/>
          </w:tcPr>
          <w:p w14:paraId="04DA29B3" w14:textId="0D8D7EA8" w:rsidR="00425098" w:rsidRPr="000A53C0" w:rsidRDefault="009D3E6E">
            <w:pPr>
              <w:pStyle w:val="TableBody"/>
              <w:rPr>
                <w:rFonts w:cs="Arial"/>
              </w:rPr>
            </w:pPr>
            <w:r w:rsidRPr="000A53C0">
              <w:rPr>
                <w:rFonts w:cs="Arial"/>
                <w:b/>
              </w:rPr>
              <w:t>74.0</w:t>
            </w:r>
            <w:r w:rsidR="00425098" w:rsidRPr="000A53C0">
              <w:rPr>
                <w:rFonts w:cs="Arial"/>
                <w:b/>
              </w:rPr>
              <w:t xml:space="preserve"> years</w:t>
            </w:r>
          </w:p>
        </w:tc>
      </w:tr>
      <w:tr w:rsidR="00425098" w:rsidRPr="000A53C0" w14:paraId="457661EE"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4A8AC115" w14:textId="77777777" w:rsidR="00425098" w:rsidRPr="000A53C0" w:rsidRDefault="00425098">
            <w:pPr>
              <w:pStyle w:val="TableBody"/>
              <w:rPr>
                <w:rFonts w:cs="Arial"/>
                <w:b/>
              </w:rPr>
            </w:pPr>
            <w:r w:rsidRPr="000A53C0">
              <w:rPr>
                <w:rFonts w:cs="Arial"/>
                <w:b/>
              </w:rPr>
              <w:t xml:space="preserve">Estimated average value of life saved </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481E1773" w14:textId="77777777" w:rsidR="00425098" w:rsidRPr="000A53C0" w:rsidRDefault="00425098">
            <w:pPr>
              <w:pStyle w:val="TableBody"/>
              <w:rPr>
                <w:rFonts w:cs="Arial"/>
                <w:b/>
              </w:rPr>
            </w:pPr>
            <w:r w:rsidRPr="000A53C0">
              <w:rPr>
                <w:rFonts w:cs="Arial"/>
                <w:b/>
              </w:rPr>
              <w:t xml:space="preserve">$1.9 million </w:t>
            </w:r>
          </w:p>
        </w:tc>
      </w:tr>
    </w:tbl>
    <w:p w14:paraId="7EF08C5B" w14:textId="65948632" w:rsidR="00425098" w:rsidRPr="000A53C0" w:rsidRDefault="002D500D" w:rsidP="00514CCB">
      <w:pPr>
        <w:pStyle w:val="Heading3"/>
      </w:pPr>
      <w:r w:rsidRPr="000A53C0">
        <w:t>B.</w:t>
      </w:r>
      <w:r w:rsidR="00425098" w:rsidRPr="000A53C0">
        <w:t>9.4 Average value of illness avoid from silica-related disease</w:t>
      </w:r>
    </w:p>
    <w:p w14:paraId="6D4576F1" w14:textId="48D8813C" w:rsidR="00425098" w:rsidRPr="000A53C0" w:rsidRDefault="00425098" w:rsidP="00425098">
      <w:pPr>
        <w:pStyle w:val="BodyText"/>
        <w:rPr>
          <w:rFonts w:cs="Arial"/>
        </w:rPr>
      </w:pPr>
      <w:r w:rsidRPr="000A53C0">
        <w:rPr>
          <w:rFonts w:cs="Arial"/>
        </w:rPr>
        <w:t xml:space="preserve">The approach used to estimate the average value of illness avoided due to silicosis or silica-related disease is presented in the formula below, with key assumptions underpinning the estimated outlined in </w:t>
      </w:r>
      <w:r w:rsidRPr="000A53C0">
        <w:rPr>
          <w:rFonts w:cs="Arial"/>
        </w:rPr>
        <w:fldChar w:fldCharType="begin" w:fldLock="1"/>
      </w:r>
      <w:r w:rsidRPr="000A53C0">
        <w:rPr>
          <w:rFonts w:cs="Arial"/>
        </w:rPr>
        <w:instrText xml:space="preserve"> REF _Ref124836234 \h  \* MERGEFORMAT </w:instrText>
      </w:r>
      <w:r w:rsidRPr="000A53C0">
        <w:rPr>
          <w:rFonts w:cs="Arial"/>
        </w:rPr>
      </w:r>
      <w:r w:rsidRPr="000A53C0">
        <w:rPr>
          <w:rFonts w:cs="Arial"/>
        </w:rPr>
        <w:fldChar w:fldCharType="separate"/>
      </w:r>
      <w:r w:rsidR="00D16271" w:rsidRPr="00D16271">
        <w:rPr>
          <w:rFonts w:cs="Arial"/>
        </w:rPr>
        <w:t>Table 36</w:t>
      </w:r>
      <w:r w:rsidRPr="000A53C0">
        <w:rPr>
          <w:rFonts w:cs="Arial"/>
        </w:rPr>
        <w:fldChar w:fldCharType="end"/>
      </w:r>
      <w:r w:rsidRPr="000A53C0">
        <w:rPr>
          <w:rFonts w:cs="Arial"/>
        </w:rPr>
        <w:t xml:space="preserve">. </w:t>
      </w:r>
    </w:p>
    <w:p w14:paraId="1CF0ED5F" w14:textId="77777777" w:rsidR="00425098" w:rsidRPr="009816F4" w:rsidRDefault="00425098" w:rsidP="00425098">
      <w:pPr>
        <w:pStyle w:val="BodyText"/>
        <w:jc w:val="center"/>
        <w:rPr>
          <w:rFonts w:cs="Arial"/>
          <w:b/>
          <w:bCs/>
          <w:i/>
        </w:rPr>
      </w:pPr>
      <w:r w:rsidRPr="009816F4">
        <w:rPr>
          <w:rFonts w:cs="Arial"/>
          <w:b/>
          <w:bCs/>
          <w:i/>
        </w:rPr>
        <w:t>Value of illness avoided</w:t>
      </w:r>
    </w:p>
    <w:p w14:paraId="61CF05B0" w14:textId="77777777" w:rsidR="00425098" w:rsidRPr="000A53C0" w:rsidRDefault="00425098" w:rsidP="00425098">
      <w:pPr>
        <w:pStyle w:val="BodyText"/>
        <w:jc w:val="center"/>
        <w:rPr>
          <w:rFonts w:cs="Arial"/>
          <w:i/>
        </w:rPr>
      </w:pPr>
      <w:r w:rsidRPr="000A53C0">
        <w:rPr>
          <w:rFonts w:cs="Arial"/>
          <w:i/>
        </w:rPr>
        <w:t>=</w:t>
      </w:r>
    </w:p>
    <w:p w14:paraId="5E1A2945" w14:textId="77777777" w:rsidR="00425098" w:rsidRPr="000A53C0" w:rsidRDefault="00425098" w:rsidP="00425098">
      <w:pPr>
        <w:pStyle w:val="BodyText"/>
        <w:jc w:val="center"/>
        <w:rPr>
          <w:rFonts w:cs="Arial"/>
          <w:i/>
        </w:rPr>
      </w:pPr>
      <w:r w:rsidRPr="000A53C0">
        <w:rPr>
          <w:rFonts w:cs="Arial"/>
          <w:i/>
        </w:rPr>
        <w:t>Value of Disability adjusted life year (DALY)</w:t>
      </w:r>
    </w:p>
    <w:p w14:paraId="2CAE3155" w14:textId="77777777" w:rsidR="00425098" w:rsidRPr="000A53C0" w:rsidRDefault="00425098" w:rsidP="00425098">
      <w:pPr>
        <w:pStyle w:val="BodyText"/>
        <w:jc w:val="center"/>
        <w:rPr>
          <w:rFonts w:cs="Arial"/>
        </w:rPr>
      </w:pPr>
      <w:r w:rsidRPr="000A53C0">
        <w:rPr>
          <w:rFonts w:cs="Arial"/>
        </w:rPr>
        <w:t>x</w:t>
      </w:r>
    </w:p>
    <w:p w14:paraId="31A7479F" w14:textId="77777777" w:rsidR="00425098" w:rsidRPr="000A53C0" w:rsidRDefault="00425098" w:rsidP="00425098">
      <w:pPr>
        <w:pStyle w:val="BodyText"/>
        <w:jc w:val="center"/>
        <w:rPr>
          <w:rFonts w:cs="Arial"/>
          <w:i/>
        </w:rPr>
      </w:pPr>
      <w:r w:rsidRPr="000A53C0">
        <w:rPr>
          <w:rFonts w:cs="Arial"/>
          <w:i/>
        </w:rPr>
        <w:t>(Weighted average life expectancy of people with silicosis or silica-related disease - Average age of diagnosis with silica-related disease)</w:t>
      </w:r>
    </w:p>
    <w:p w14:paraId="79736C02" w14:textId="2D560D34" w:rsidR="00425098" w:rsidRPr="000A53C0" w:rsidRDefault="00425098" w:rsidP="00B7761C">
      <w:pPr>
        <w:pStyle w:val="Caption"/>
        <w:rPr>
          <w:rFonts w:cs="Arial"/>
        </w:rPr>
      </w:pPr>
      <w:bookmarkStart w:id="244" w:name="_Ref124836234"/>
      <w:r w:rsidRPr="00DD5B91">
        <w:rPr>
          <w:rFonts w:cs="Arial"/>
          <w:b/>
          <w:bCs/>
        </w:rPr>
        <w:t xml:space="preserve">Table </w:t>
      </w:r>
      <w:r w:rsidRPr="00DD5B91">
        <w:rPr>
          <w:rFonts w:cs="Arial"/>
          <w:b/>
          <w:bCs/>
        </w:rPr>
        <w:fldChar w:fldCharType="begin"/>
      </w:r>
      <w:r w:rsidRPr="00DD5B91">
        <w:rPr>
          <w:rFonts w:cs="Arial"/>
          <w:b/>
          <w:bCs/>
        </w:rPr>
        <w:instrText>SEQ Table \* ARABIC</w:instrText>
      </w:r>
      <w:r w:rsidRPr="00DD5B91">
        <w:rPr>
          <w:rFonts w:cs="Arial"/>
          <w:b/>
          <w:bCs/>
        </w:rPr>
        <w:fldChar w:fldCharType="separate"/>
      </w:r>
      <w:r w:rsidR="00D16271">
        <w:rPr>
          <w:rFonts w:cs="Arial"/>
          <w:b/>
          <w:bCs/>
          <w:noProof/>
        </w:rPr>
        <w:t>36</w:t>
      </w:r>
      <w:r w:rsidRPr="00DD5B91">
        <w:rPr>
          <w:rFonts w:cs="Arial"/>
          <w:b/>
          <w:bCs/>
        </w:rPr>
        <w:fldChar w:fldCharType="end"/>
      </w:r>
      <w:bookmarkEnd w:id="244"/>
      <w:r w:rsidRPr="000A53C0">
        <w:rPr>
          <w:rFonts w:cs="Arial"/>
        </w:rPr>
        <w:t xml:space="preserve"> Average value of illness avoided from silica-related disease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425098" w:rsidRPr="000A53C0" w14:paraId="60860448" w14:textId="77777777" w:rsidTr="00DD5B91">
        <w:trPr>
          <w:trHeight w:val="623"/>
          <w:tblHeader/>
        </w:trPr>
        <w:tc>
          <w:tcPr>
            <w:tcW w:w="3055" w:type="pct"/>
            <w:shd w:val="clear" w:color="auto" w:fill="E81D32"/>
            <w:vAlign w:val="center"/>
          </w:tcPr>
          <w:p w14:paraId="5C039358" w14:textId="77777777" w:rsidR="00425098" w:rsidRPr="00DD5B91" w:rsidRDefault="00425098" w:rsidP="00DD5B91">
            <w:pPr>
              <w:pStyle w:val="TableHeading"/>
              <w:spacing w:before="0" w:after="0"/>
              <w:rPr>
                <w:rFonts w:ascii="Arial" w:hAnsi="Arial" w:cs="Arial"/>
                <w:color w:val="FFFFFF" w:themeColor="background1"/>
              </w:rPr>
            </w:pPr>
            <w:r w:rsidRPr="00DD5B91">
              <w:rPr>
                <w:rFonts w:ascii="Arial" w:hAnsi="Arial" w:cs="Arial"/>
                <w:color w:val="FFFFFF" w:themeColor="background1"/>
              </w:rPr>
              <w:t xml:space="preserve">Assumption </w:t>
            </w:r>
          </w:p>
        </w:tc>
        <w:tc>
          <w:tcPr>
            <w:tcW w:w="1945" w:type="pct"/>
            <w:shd w:val="clear" w:color="auto" w:fill="E81D32"/>
            <w:vAlign w:val="center"/>
          </w:tcPr>
          <w:p w14:paraId="1038724F" w14:textId="77777777" w:rsidR="00425098" w:rsidRPr="00DD5B91" w:rsidRDefault="00425098" w:rsidP="00DD5B91">
            <w:pPr>
              <w:pStyle w:val="TableHeading"/>
              <w:spacing w:before="0" w:after="0"/>
              <w:rPr>
                <w:rFonts w:ascii="Arial" w:hAnsi="Arial" w:cs="Arial"/>
                <w:color w:val="FFFFFF" w:themeColor="background1"/>
              </w:rPr>
            </w:pPr>
            <w:r w:rsidRPr="00DD5B91">
              <w:rPr>
                <w:rFonts w:ascii="Arial" w:hAnsi="Arial" w:cs="Arial"/>
                <w:color w:val="FFFFFF" w:themeColor="background1"/>
              </w:rPr>
              <w:t>Value</w:t>
            </w:r>
          </w:p>
        </w:tc>
      </w:tr>
      <w:tr w:rsidR="00425098" w:rsidRPr="000A53C0" w14:paraId="01BC8414" w14:textId="77777777">
        <w:trPr>
          <w:trHeight w:val="196"/>
        </w:trPr>
        <w:tc>
          <w:tcPr>
            <w:tcW w:w="3055" w:type="pct"/>
            <w:tcBorders>
              <w:bottom w:val="single" w:sz="8" w:space="0" w:color="D1D1D1" w:themeColor="background2"/>
            </w:tcBorders>
            <w:vAlign w:val="center"/>
          </w:tcPr>
          <w:p w14:paraId="105F3838" w14:textId="77777777" w:rsidR="00425098" w:rsidRPr="000A53C0" w:rsidRDefault="00425098">
            <w:pPr>
              <w:pStyle w:val="TableBody"/>
              <w:rPr>
                <w:rFonts w:cs="Arial"/>
              </w:rPr>
            </w:pPr>
            <w:r w:rsidRPr="000A53C0">
              <w:rPr>
                <w:rFonts w:cs="Arial"/>
              </w:rPr>
              <w:t>Value of Disability adjusted life year (DALY)</w:t>
            </w:r>
          </w:p>
        </w:tc>
        <w:tc>
          <w:tcPr>
            <w:tcW w:w="1945" w:type="pct"/>
            <w:tcBorders>
              <w:bottom w:val="single" w:sz="8" w:space="0" w:color="D1D1D1" w:themeColor="background2"/>
            </w:tcBorders>
            <w:vAlign w:val="center"/>
          </w:tcPr>
          <w:p w14:paraId="2FFC6BB3" w14:textId="61D16C90" w:rsidR="00425098" w:rsidRPr="000A53C0" w:rsidRDefault="00425098">
            <w:pPr>
              <w:pStyle w:val="TableBody"/>
              <w:rPr>
                <w:rFonts w:cs="Arial"/>
              </w:rPr>
            </w:pPr>
            <w:r w:rsidRPr="000A53C0">
              <w:rPr>
                <w:rFonts w:cs="Arial"/>
              </w:rPr>
              <w:t>$</w:t>
            </w:r>
            <w:r w:rsidR="007A4A0E" w:rsidRPr="000A53C0">
              <w:rPr>
                <w:rFonts w:cs="Arial"/>
              </w:rPr>
              <w:t>96,462</w:t>
            </w:r>
            <w:r w:rsidR="00353248" w:rsidRPr="000A53C0">
              <w:rPr>
                <w:rFonts w:cs="Arial"/>
              </w:rPr>
              <w:t xml:space="preserve"> </w:t>
            </w:r>
            <w:sdt>
              <w:sdtPr>
                <w:rPr>
                  <w:rFonts w:cs="Arial"/>
                </w:rPr>
                <w:id w:val="-1047834288"/>
                <w:citation/>
              </w:sdtPr>
              <w:sdtEndPr/>
              <w:sdtContent>
                <w:r w:rsidR="00353248" w:rsidRPr="000A53C0">
                  <w:rPr>
                    <w:rFonts w:cs="Arial"/>
                  </w:rPr>
                  <w:fldChar w:fldCharType="begin"/>
                </w:r>
                <w:r w:rsidR="00353248" w:rsidRPr="000A53C0">
                  <w:rPr>
                    <w:rFonts w:cs="Arial"/>
                  </w:rPr>
                  <w:instrText xml:space="preserve"> CITATION Off23 \l 3081 </w:instrText>
                </w:r>
                <w:r w:rsidR="00353248" w:rsidRPr="000A53C0">
                  <w:rPr>
                    <w:rFonts w:cs="Arial"/>
                  </w:rPr>
                  <w:fldChar w:fldCharType="separate"/>
                </w:r>
                <w:r w:rsidR="001F7BAA" w:rsidRPr="000A53C0">
                  <w:rPr>
                    <w:rFonts w:cs="Arial"/>
                    <w:noProof/>
                  </w:rPr>
                  <w:t>(Office of Impact Analysis 2023)</w:t>
                </w:r>
                <w:r w:rsidR="00353248" w:rsidRPr="000A53C0">
                  <w:rPr>
                    <w:rFonts w:cs="Arial"/>
                  </w:rPr>
                  <w:fldChar w:fldCharType="end"/>
                </w:r>
              </w:sdtContent>
            </w:sdt>
            <w:r w:rsidRPr="000A53C0">
              <w:rPr>
                <w:rFonts w:cs="Arial"/>
                <w:vertAlign w:val="superscript"/>
              </w:rPr>
              <w:t xml:space="preserve"> </w:t>
            </w:r>
            <w:r w:rsidRPr="000A53C0">
              <w:rPr>
                <w:rFonts w:cs="Arial"/>
              </w:rPr>
              <w:fldChar w:fldCharType="begin"/>
            </w:r>
            <w:r w:rsidRPr="000A53C0">
              <w:rPr>
                <w:rFonts w:cs="Arial"/>
              </w:rPr>
              <w:instrText xml:space="preserve"> ADDIN ZOTERO_ITEM CSL_CITATION {"citationID":"sp6Gdfik","properties":{"formattedCitation":"(Department of Prime Minister and Cabinet 2021b)","plainCitation":"(Department of Prime Minister and Cabinet 2021b)","noteIndex":0},"citationItems":[{"id":935,"uris":["http://zotero.org/users/6230888/items/85UH9XC3"],"itemData":{"id":935,"type":"webpage","title":"Guidance note: value of statistical life","URL":"https://obpr.pmc.gov.au/resources/guidance-assessing-impacts/value-statistical-life","author":[{"literal":"Department of Prime Minister and Cabinet"}],"accessed":{"date-parts":[["2022",6,30]]},"issued":{"date-parts":[["2021"]]}}}],"schema":"https://github.com/citation-style-language/schema/raw/master/csl-citation.json"} </w:instrText>
            </w:r>
            <w:r w:rsidRPr="000A53C0">
              <w:rPr>
                <w:rFonts w:cs="Arial"/>
              </w:rPr>
              <w:fldChar w:fldCharType="separate"/>
            </w:r>
            <w:r w:rsidRPr="000A53C0">
              <w:rPr>
                <w:rFonts w:cs="Arial"/>
              </w:rPr>
              <w:t>)</w:t>
            </w:r>
            <w:r w:rsidRPr="000A53C0">
              <w:rPr>
                <w:rFonts w:cs="Arial"/>
              </w:rPr>
              <w:fldChar w:fldCharType="end"/>
            </w:r>
          </w:p>
        </w:tc>
      </w:tr>
      <w:tr w:rsidR="00425098" w:rsidRPr="000A53C0" w14:paraId="051AE8DB" w14:textId="77777777">
        <w:trPr>
          <w:trHeight w:val="196"/>
        </w:trPr>
        <w:tc>
          <w:tcPr>
            <w:tcW w:w="3055" w:type="pct"/>
            <w:tcBorders>
              <w:top w:val="single" w:sz="8" w:space="0" w:color="D1D1D1" w:themeColor="background2"/>
              <w:bottom w:val="single" w:sz="8" w:space="0" w:color="D1D1D1" w:themeColor="background2"/>
            </w:tcBorders>
            <w:vAlign w:val="center"/>
          </w:tcPr>
          <w:p w14:paraId="3823A2C5" w14:textId="77777777" w:rsidR="00425098" w:rsidRPr="000A53C0" w:rsidRDefault="00425098">
            <w:pPr>
              <w:pStyle w:val="TableBody"/>
              <w:rPr>
                <w:rFonts w:cs="Arial"/>
              </w:rPr>
            </w:pPr>
            <w:r w:rsidRPr="000A53C0">
              <w:rPr>
                <w:rFonts w:cs="Arial"/>
                <w:b/>
              </w:rPr>
              <w:t xml:space="preserve">Weighted average life expectancy of people with silicosis or silica-related disease </w:t>
            </w:r>
          </w:p>
        </w:tc>
        <w:tc>
          <w:tcPr>
            <w:tcW w:w="1945" w:type="pct"/>
            <w:tcBorders>
              <w:top w:val="single" w:sz="8" w:space="0" w:color="D1D1D1" w:themeColor="background2"/>
              <w:bottom w:val="single" w:sz="8" w:space="0" w:color="D1D1D1" w:themeColor="background2"/>
            </w:tcBorders>
            <w:vAlign w:val="center"/>
          </w:tcPr>
          <w:p w14:paraId="4A283F8D" w14:textId="1234BEC8" w:rsidR="00425098" w:rsidRPr="000A53C0" w:rsidRDefault="00D7012C">
            <w:pPr>
              <w:pStyle w:val="TableBody"/>
              <w:rPr>
                <w:rFonts w:cs="Arial"/>
                <w:b/>
              </w:rPr>
            </w:pPr>
            <w:r w:rsidRPr="000A53C0">
              <w:rPr>
                <w:rFonts w:cs="Arial"/>
                <w:b/>
              </w:rPr>
              <w:t>74</w:t>
            </w:r>
            <w:r w:rsidR="009D3E6E" w:rsidRPr="000A53C0">
              <w:rPr>
                <w:rFonts w:cs="Arial"/>
                <w:b/>
              </w:rPr>
              <w:t xml:space="preserve">.0 </w:t>
            </w:r>
            <w:r w:rsidR="00425098" w:rsidRPr="000A53C0">
              <w:rPr>
                <w:rFonts w:cs="Arial"/>
                <w:b/>
              </w:rPr>
              <w:t>years</w:t>
            </w:r>
          </w:p>
        </w:tc>
      </w:tr>
      <w:tr w:rsidR="00425098" w:rsidRPr="000A53C0" w14:paraId="0F4D2F30" w14:textId="77777777">
        <w:trPr>
          <w:trHeight w:val="196"/>
        </w:trPr>
        <w:tc>
          <w:tcPr>
            <w:tcW w:w="3055" w:type="pct"/>
            <w:tcBorders>
              <w:top w:val="single" w:sz="8" w:space="0" w:color="D1D1D1" w:themeColor="background2"/>
              <w:bottom w:val="single" w:sz="8" w:space="0" w:color="D1D1D1" w:themeColor="background2"/>
            </w:tcBorders>
            <w:vAlign w:val="center"/>
          </w:tcPr>
          <w:p w14:paraId="7463CADC" w14:textId="77777777" w:rsidR="00425098" w:rsidRPr="000A53C0" w:rsidRDefault="00425098">
            <w:pPr>
              <w:pStyle w:val="TableBody"/>
              <w:rPr>
                <w:rFonts w:cs="Arial"/>
              </w:rPr>
            </w:pPr>
            <w:r w:rsidRPr="000A53C0">
              <w:rPr>
                <w:rFonts w:cs="Arial"/>
              </w:rPr>
              <w:t xml:space="preserve">Average age of diagnosis with silica-related disease </w:t>
            </w:r>
          </w:p>
        </w:tc>
        <w:tc>
          <w:tcPr>
            <w:tcW w:w="1945" w:type="pct"/>
            <w:tcBorders>
              <w:top w:val="single" w:sz="8" w:space="0" w:color="D1D1D1" w:themeColor="background2"/>
              <w:bottom w:val="single" w:sz="8" w:space="0" w:color="D1D1D1" w:themeColor="background2"/>
            </w:tcBorders>
            <w:vAlign w:val="center"/>
          </w:tcPr>
          <w:p w14:paraId="336A47B1" w14:textId="77777777" w:rsidR="00425098" w:rsidRPr="000A53C0" w:rsidRDefault="00425098">
            <w:pPr>
              <w:pStyle w:val="TableBody"/>
              <w:rPr>
                <w:rFonts w:cs="Arial"/>
              </w:rPr>
            </w:pPr>
            <w:r w:rsidRPr="000A53C0">
              <w:rPr>
                <w:rFonts w:cs="Arial"/>
              </w:rPr>
              <w:t xml:space="preserve">43.30 years </w:t>
            </w:r>
            <w:r w:rsidRPr="000A53C0">
              <w:rPr>
                <w:rFonts w:cs="Arial"/>
              </w:rPr>
              <w:fldChar w:fldCharType="begin"/>
            </w:r>
            <w:r w:rsidRPr="000A53C0">
              <w:rPr>
                <w:rFonts w:cs="Arial"/>
              </w:rPr>
              <w:instrText xml:space="preserve"> ADDIN ZOTERO_ITEM CSL_CITATION {"citationID":"HruToubF","properties":{"formattedCitation":"(Deloitte 2021)","plainCitation":"(Deloitte 2021)","noteIndex":0},"citationItems":[{"id":917,"uris":["http://zotero.org/users/6230888/items/DDIZNKBY"],"itemData":{"id":917,"type":"article-journal","language":"en","page":"75","source":"Zotero","title":"Occupational Health and Safety Amendment (Crystalline Silica) Regulations 2021","author":[{"literal":"Deloitte"}],"issued":{"date-parts":[["2021"]]}}}],"schema":"https://github.com/citation-style-language/schema/raw/master/csl-citation.json"} </w:instrText>
            </w:r>
            <w:r w:rsidRPr="000A53C0">
              <w:rPr>
                <w:rFonts w:cs="Arial"/>
              </w:rPr>
              <w:fldChar w:fldCharType="separate"/>
            </w:r>
            <w:r w:rsidRPr="000A53C0">
              <w:rPr>
                <w:rFonts w:cs="Arial"/>
              </w:rPr>
              <w:t>(Deloitte 2021)</w:t>
            </w:r>
            <w:r w:rsidRPr="000A53C0">
              <w:rPr>
                <w:rFonts w:cs="Arial"/>
              </w:rPr>
              <w:fldChar w:fldCharType="end"/>
            </w:r>
          </w:p>
        </w:tc>
      </w:tr>
      <w:tr w:rsidR="00425098" w:rsidRPr="000A53C0" w14:paraId="5D281E40"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1F180EC5" w14:textId="77777777" w:rsidR="00425098" w:rsidRPr="000A53C0" w:rsidRDefault="00425098">
            <w:pPr>
              <w:pStyle w:val="TableBody"/>
              <w:rPr>
                <w:rFonts w:cs="Arial"/>
                <w:b/>
              </w:rPr>
            </w:pPr>
            <w:r w:rsidRPr="000A53C0">
              <w:rPr>
                <w:rFonts w:cs="Arial"/>
                <w:b/>
              </w:rPr>
              <w:t>Estimated</w:t>
            </w:r>
            <w:r w:rsidRPr="000A53C0">
              <w:rPr>
                <w:rFonts w:cs="Arial"/>
              </w:rPr>
              <w:t xml:space="preserve"> </w:t>
            </w:r>
            <w:r w:rsidRPr="000A53C0">
              <w:rPr>
                <w:rFonts w:cs="Arial"/>
                <w:b/>
              </w:rPr>
              <w:t xml:space="preserve">average value of illness avoided </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78FB563B" w14:textId="0C87B775" w:rsidR="00425098" w:rsidRPr="000A53C0" w:rsidRDefault="00425098">
            <w:pPr>
              <w:pStyle w:val="TableBody"/>
              <w:rPr>
                <w:rFonts w:cs="Arial"/>
                <w:b/>
              </w:rPr>
            </w:pPr>
            <w:r w:rsidRPr="000A53C0">
              <w:rPr>
                <w:rFonts w:cs="Arial"/>
                <w:b/>
              </w:rPr>
              <w:t>$</w:t>
            </w:r>
            <w:r w:rsidR="005D03AB" w:rsidRPr="000A53C0">
              <w:rPr>
                <w:rFonts w:cs="Arial"/>
                <w:b/>
              </w:rPr>
              <w:t>3.0</w:t>
            </w:r>
            <w:r w:rsidRPr="000A53C0">
              <w:rPr>
                <w:rFonts w:cs="Arial"/>
                <w:b/>
              </w:rPr>
              <w:t>m</w:t>
            </w:r>
          </w:p>
        </w:tc>
      </w:tr>
    </w:tbl>
    <w:p w14:paraId="671D7129" w14:textId="77777777" w:rsidR="00425098" w:rsidRPr="000A53C0" w:rsidRDefault="00425098" w:rsidP="00425098">
      <w:pPr>
        <w:pStyle w:val="BodyText"/>
        <w:rPr>
          <w:rFonts w:cs="Arial"/>
          <w:color w:val="014463" w:themeColor="text2"/>
        </w:rPr>
      </w:pPr>
    </w:p>
    <w:p w14:paraId="6F8B3205" w14:textId="5AF1F02D" w:rsidR="00425098" w:rsidRPr="000A53C0" w:rsidRDefault="002D500D" w:rsidP="00514CCB">
      <w:pPr>
        <w:pStyle w:val="Heading3"/>
      </w:pPr>
      <w:r w:rsidRPr="000A53C0">
        <w:lastRenderedPageBreak/>
        <w:t>B.</w:t>
      </w:r>
      <w:r w:rsidR="00425098" w:rsidRPr="000A53C0">
        <w:t>9.5 The estimated expected value of a life saved and illness avoided</w:t>
      </w:r>
    </w:p>
    <w:p w14:paraId="4A0ADAE2" w14:textId="4D95AAD7" w:rsidR="00425098" w:rsidRPr="000A53C0" w:rsidRDefault="00425098" w:rsidP="008861A6">
      <w:pPr>
        <w:pStyle w:val="BodyText"/>
        <w:keepNext/>
        <w:rPr>
          <w:rFonts w:cs="Arial"/>
        </w:rPr>
      </w:pPr>
      <w:r w:rsidRPr="000A53C0">
        <w:rPr>
          <w:rFonts w:cs="Arial"/>
        </w:rPr>
        <w:t>Summing the components, the expected value of life saved and illness avoided is $4.</w:t>
      </w:r>
      <w:r w:rsidR="00212B1D" w:rsidRPr="000A53C0">
        <w:rPr>
          <w:rFonts w:cs="Arial"/>
        </w:rPr>
        <w:t>9</w:t>
      </w:r>
      <w:r w:rsidR="00B76E5C" w:rsidRPr="000A53C0">
        <w:rPr>
          <w:rFonts w:cs="Arial"/>
        </w:rPr>
        <w:t xml:space="preserve"> </w:t>
      </w:r>
      <w:r w:rsidRPr="000A53C0">
        <w:rPr>
          <w:rFonts w:cs="Arial"/>
        </w:rPr>
        <w:t>million.</w:t>
      </w:r>
    </w:p>
    <w:p w14:paraId="2A15BCAA" w14:textId="2FD023B9" w:rsidR="0017572C" w:rsidRPr="000A53C0" w:rsidRDefault="0017572C" w:rsidP="0017572C">
      <w:pPr>
        <w:pStyle w:val="Caption"/>
        <w:rPr>
          <w:rFonts w:cs="Arial"/>
        </w:rPr>
      </w:pPr>
      <w:r w:rsidRPr="00DD5B91">
        <w:rPr>
          <w:rFonts w:cs="Arial"/>
          <w:b/>
          <w:bCs/>
        </w:rPr>
        <w:t>Table 3</w:t>
      </w:r>
      <w:r w:rsidR="00DD5B91" w:rsidRPr="00DD5B91">
        <w:rPr>
          <w:rFonts w:cs="Arial"/>
          <w:b/>
          <w:bCs/>
        </w:rPr>
        <w:t>7</w:t>
      </w:r>
      <w:r w:rsidR="006A5549" w:rsidRPr="000A53C0">
        <w:rPr>
          <w:rFonts w:cs="Arial"/>
        </w:rPr>
        <w:t xml:space="preserve"> Estimated expected value of life saved and illness avoided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5"/>
        <w:gridCol w:w="3969"/>
      </w:tblGrid>
      <w:tr w:rsidR="0017572C" w:rsidRPr="000A53C0" w14:paraId="03AF7934" w14:textId="77777777" w:rsidTr="00DD5B91">
        <w:trPr>
          <w:trHeight w:val="606"/>
          <w:tblHeader/>
        </w:trPr>
        <w:tc>
          <w:tcPr>
            <w:tcW w:w="3055" w:type="pct"/>
            <w:shd w:val="clear" w:color="auto" w:fill="E81D32"/>
            <w:vAlign w:val="center"/>
          </w:tcPr>
          <w:p w14:paraId="64E9F76B" w14:textId="77777777" w:rsidR="0017572C" w:rsidRPr="00DD5B91" w:rsidRDefault="0017572C" w:rsidP="00DD5B91">
            <w:pPr>
              <w:pStyle w:val="TableHeading"/>
              <w:spacing w:before="0" w:after="0"/>
              <w:rPr>
                <w:rFonts w:ascii="Arial" w:hAnsi="Arial" w:cs="Arial"/>
                <w:color w:val="FFFFFF" w:themeColor="background1"/>
              </w:rPr>
            </w:pPr>
            <w:r w:rsidRPr="00DD5B91">
              <w:rPr>
                <w:rFonts w:ascii="Arial" w:hAnsi="Arial" w:cs="Arial"/>
                <w:color w:val="FFFFFF" w:themeColor="background1"/>
              </w:rPr>
              <w:t xml:space="preserve">Assumption </w:t>
            </w:r>
          </w:p>
        </w:tc>
        <w:tc>
          <w:tcPr>
            <w:tcW w:w="1945" w:type="pct"/>
            <w:shd w:val="clear" w:color="auto" w:fill="E81D32"/>
            <w:vAlign w:val="center"/>
          </w:tcPr>
          <w:p w14:paraId="7EC5C1F9" w14:textId="77777777" w:rsidR="0017572C" w:rsidRPr="00DD5B91" w:rsidRDefault="0017572C" w:rsidP="00DD5B91">
            <w:pPr>
              <w:pStyle w:val="TableHeading"/>
              <w:spacing w:before="0" w:after="0"/>
              <w:rPr>
                <w:rFonts w:ascii="Arial" w:hAnsi="Arial" w:cs="Arial"/>
                <w:color w:val="FFFFFF" w:themeColor="background1"/>
              </w:rPr>
            </w:pPr>
            <w:r w:rsidRPr="00DD5B91">
              <w:rPr>
                <w:rFonts w:ascii="Arial" w:hAnsi="Arial" w:cs="Arial"/>
                <w:color w:val="FFFFFF" w:themeColor="background1"/>
              </w:rPr>
              <w:t>Value ($m)</w:t>
            </w:r>
          </w:p>
        </w:tc>
      </w:tr>
      <w:tr w:rsidR="0017572C" w:rsidRPr="000A53C0" w14:paraId="2EC01105" w14:textId="77777777">
        <w:trPr>
          <w:trHeight w:val="196"/>
        </w:trPr>
        <w:tc>
          <w:tcPr>
            <w:tcW w:w="3055" w:type="pct"/>
            <w:tcBorders>
              <w:bottom w:val="single" w:sz="8" w:space="0" w:color="D1D1D1" w:themeColor="background2"/>
            </w:tcBorders>
            <w:vAlign w:val="center"/>
          </w:tcPr>
          <w:p w14:paraId="7DC96A39" w14:textId="77777777" w:rsidR="0017572C" w:rsidRPr="000A53C0" w:rsidRDefault="0017572C">
            <w:pPr>
              <w:pStyle w:val="TableBody"/>
              <w:rPr>
                <w:rFonts w:cs="Arial"/>
              </w:rPr>
            </w:pPr>
            <w:r w:rsidRPr="000A53C0">
              <w:rPr>
                <w:rFonts w:cs="Arial"/>
              </w:rPr>
              <w:t xml:space="preserve">Estimated average value of life saved </w:t>
            </w:r>
          </w:p>
        </w:tc>
        <w:tc>
          <w:tcPr>
            <w:tcW w:w="1945" w:type="pct"/>
            <w:tcBorders>
              <w:bottom w:val="single" w:sz="8" w:space="0" w:color="D1D1D1" w:themeColor="background2"/>
            </w:tcBorders>
            <w:vAlign w:val="center"/>
          </w:tcPr>
          <w:p w14:paraId="32FCFE99" w14:textId="0DC5ADBB" w:rsidR="0017572C" w:rsidRPr="000A53C0" w:rsidRDefault="0017572C">
            <w:pPr>
              <w:pStyle w:val="TableBody"/>
              <w:rPr>
                <w:rFonts w:cs="Arial"/>
              </w:rPr>
            </w:pPr>
            <w:r w:rsidRPr="000A53C0">
              <w:rPr>
                <w:rFonts w:cs="Arial"/>
              </w:rPr>
              <w:t xml:space="preserve">$1.9m </w:t>
            </w:r>
          </w:p>
        </w:tc>
      </w:tr>
      <w:tr w:rsidR="0017572C" w:rsidRPr="000A53C0" w14:paraId="08BCE872" w14:textId="77777777">
        <w:trPr>
          <w:trHeight w:val="196"/>
        </w:trPr>
        <w:tc>
          <w:tcPr>
            <w:tcW w:w="3055" w:type="pct"/>
            <w:tcBorders>
              <w:top w:val="single" w:sz="8" w:space="0" w:color="D1D1D1" w:themeColor="background2"/>
              <w:bottom w:val="single" w:sz="8" w:space="0" w:color="D1D1D1" w:themeColor="background2"/>
            </w:tcBorders>
            <w:vAlign w:val="center"/>
          </w:tcPr>
          <w:p w14:paraId="1959B3B4" w14:textId="77777777" w:rsidR="0017572C" w:rsidRPr="000A53C0" w:rsidRDefault="0017572C">
            <w:pPr>
              <w:pStyle w:val="TableBody"/>
              <w:rPr>
                <w:rFonts w:cs="Arial"/>
              </w:rPr>
            </w:pPr>
            <w:r w:rsidRPr="000A53C0">
              <w:rPr>
                <w:rFonts w:cs="Arial"/>
              </w:rPr>
              <w:t>Estimated average value of illness avoided</w:t>
            </w:r>
          </w:p>
        </w:tc>
        <w:tc>
          <w:tcPr>
            <w:tcW w:w="1945" w:type="pct"/>
            <w:tcBorders>
              <w:top w:val="single" w:sz="8" w:space="0" w:color="D1D1D1" w:themeColor="background2"/>
              <w:bottom w:val="single" w:sz="8" w:space="0" w:color="D1D1D1" w:themeColor="background2"/>
            </w:tcBorders>
            <w:vAlign w:val="center"/>
          </w:tcPr>
          <w:p w14:paraId="214FAD6D" w14:textId="01C7E1CF" w:rsidR="0017572C" w:rsidRPr="000A53C0" w:rsidRDefault="0017572C">
            <w:pPr>
              <w:pStyle w:val="TableBody"/>
              <w:rPr>
                <w:rFonts w:cs="Arial"/>
              </w:rPr>
            </w:pPr>
            <w:r w:rsidRPr="000A53C0">
              <w:rPr>
                <w:rFonts w:cs="Arial"/>
              </w:rPr>
              <w:t>$</w:t>
            </w:r>
            <w:r w:rsidR="005D03AB" w:rsidRPr="000A53C0">
              <w:rPr>
                <w:rFonts w:cs="Arial"/>
              </w:rPr>
              <w:t>3.0</w:t>
            </w:r>
            <w:r w:rsidRPr="000A53C0">
              <w:rPr>
                <w:rFonts w:cs="Arial"/>
              </w:rPr>
              <w:t>m</w:t>
            </w:r>
          </w:p>
        </w:tc>
      </w:tr>
      <w:tr w:rsidR="0017572C" w:rsidRPr="000A53C0" w14:paraId="647C1F34" w14:textId="77777777">
        <w:trPr>
          <w:trHeight w:val="196"/>
        </w:trPr>
        <w:tc>
          <w:tcPr>
            <w:tcW w:w="305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522E1995" w14:textId="77777777" w:rsidR="0017572C" w:rsidRPr="000A53C0" w:rsidRDefault="0017572C">
            <w:pPr>
              <w:pStyle w:val="TableBody"/>
              <w:rPr>
                <w:rFonts w:cs="Arial"/>
              </w:rPr>
            </w:pPr>
            <w:r w:rsidRPr="000A53C0">
              <w:rPr>
                <w:rFonts w:cs="Arial"/>
              </w:rPr>
              <w:t>Estimated expected value of life saved and illness avoided</w:t>
            </w:r>
          </w:p>
        </w:tc>
        <w:tc>
          <w:tcPr>
            <w:tcW w:w="1945" w:type="pct"/>
            <w:tcBorders>
              <w:top w:val="single" w:sz="8" w:space="0" w:color="D1D1D1" w:themeColor="background2"/>
              <w:bottom w:val="single" w:sz="8" w:space="0" w:color="D1D1D1" w:themeColor="background2"/>
            </w:tcBorders>
            <w:shd w:val="clear" w:color="auto" w:fill="D9D9D9" w:themeFill="background1" w:themeFillShade="D9"/>
            <w:vAlign w:val="center"/>
          </w:tcPr>
          <w:p w14:paraId="4D983D7F" w14:textId="6C2E84A9" w:rsidR="0017572C" w:rsidRPr="000A53C0" w:rsidRDefault="0017572C">
            <w:pPr>
              <w:pStyle w:val="TableBody"/>
              <w:rPr>
                <w:rFonts w:cs="Arial"/>
              </w:rPr>
            </w:pPr>
            <w:r w:rsidRPr="000A53C0">
              <w:rPr>
                <w:rFonts w:cs="Arial"/>
              </w:rPr>
              <w:t>$4.</w:t>
            </w:r>
            <w:r w:rsidR="00212B1D" w:rsidRPr="000A53C0">
              <w:rPr>
                <w:rFonts w:cs="Arial"/>
              </w:rPr>
              <w:t>9</w:t>
            </w:r>
            <w:r w:rsidR="00B76E5C" w:rsidRPr="000A53C0">
              <w:rPr>
                <w:rFonts w:cs="Arial"/>
              </w:rPr>
              <w:t>m</w:t>
            </w:r>
          </w:p>
        </w:tc>
      </w:tr>
    </w:tbl>
    <w:p w14:paraId="02612C37" w14:textId="77777777" w:rsidR="0017572C" w:rsidRPr="000A53C0" w:rsidRDefault="0017572C" w:rsidP="00425098">
      <w:pPr>
        <w:pStyle w:val="BodyText"/>
        <w:rPr>
          <w:rFonts w:cs="Arial"/>
        </w:rPr>
      </w:pPr>
    </w:p>
    <w:bookmarkEnd w:id="174"/>
    <w:p w14:paraId="4244856B" w14:textId="743A4120" w:rsidR="00192E1B" w:rsidRPr="000A53C0" w:rsidRDefault="00192E1B" w:rsidP="008861A6">
      <w:pPr>
        <w:spacing w:before="100" w:beforeAutospacing="1" w:after="100" w:afterAutospacing="1"/>
        <w:rPr>
          <w:rFonts w:cs="Arial"/>
          <w:sz w:val="21"/>
          <w:szCs w:val="21"/>
        </w:rPr>
      </w:pPr>
    </w:p>
    <w:sectPr w:rsidR="00192E1B" w:rsidRPr="000A53C0" w:rsidSect="00EB0372">
      <w:headerReference w:type="even" r:id="rId34"/>
      <w:headerReference w:type="default" r:id="rId35"/>
      <w:footerReference w:type="default" r:id="rId36"/>
      <w:headerReference w:type="first" r:id="rId37"/>
      <w:footerReference w:type="first" r:id="rId38"/>
      <w:pgSz w:w="11906" w:h="16838"/>
      <w:pgMar w:top="1559" w:right="851" w:bottom="1701" w:left="851" w:header="567" w:footer="3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9C661" w14:textId="77777777" w:rsidR="00233122" w:rsidRDefault="00233122" w:rsidP="00B95533">
      <w:pPr>
        <w:spacing w:after="0" w:line="240" w:lineRule="auto"/>
      </w:pPr>
      <w:r>
        <w:separator/>
      </w:r>
    </w:p>
  </w:endnote>
  <w:endnote w:type="continuationSeparator" w:id="0">
    <w:p w14:paraId="546A9C63" w14:textId="77777777" w:rsidR="00233122" w:rsidRDefault="00233122" w:rsidP="00B95533">
      <w:pPr>
        <w:spacing w:after="0" w:line="240" w:lineRule="auto"/>
      </w:pPr>
      <w:r>
        <w:continuationSeparator/>
      </w:r>
    </w:p>
  </w:endnote>
  <w:endnote w:type="continuationNotice" w:id="1">
    <w:p w14:paraId="72764F99" w14:textId="77777777" w:rsidR="00233122" w:rsidRDefault="00233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EYInterstate Light">
    <w:altName w:val="Calibri"/>
    <w:charset w:val="00"/>
    <w:family w:val="auto"/>
    <w:pitch w:val="variable"/>
    <w:sig w:usb0="A00002AF" w:usb1="5000206A"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6221" w14:textId="77777777" w:rsidR="009F7CB4" w:rsidRDefault="009F7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7BFE2" w14:textId="4FE680DA" w:rsidR="00F1382E" w:rsidRPr="00B87E45" w:rsidRDefault="00233122" w:rsidP="001007B9">
    <w:pPr>
      <w:pStyle w:val="ProtectiveMarking"/>
    </w:pPr>
    <w:sdt>
      <w:sdtPr>
        <w:alias w:val="Classification"/>
        <w:tag w:val="Classification"/>
        <w:id w:val="-706402449"/>
        <w:dataBinding w:xpath="/root[1]/Classification[1]" w:storeItemID="{F533AE62-A212-4B26-92DA-A3B336E8AE06}"/>
        <w:text/>
      </w:sdtPr>
      <w:sdtEndPr/>
      <w:sdtContent>
        <w:r w:rsidR="00F1382E">
          <w:t>Choose Classifiction</w:t>
        </w:r>
      </w:sdtContent>
    </w:sdt>
  </w:p>
  <w:p w14:paraId="5C88FE04" w14:textId="77777777" w:rsidR="00F1382E" w:rsidRPr="00073D52" w:rsidRDefault="00F1382E" w:rsidP="001007B9">
    <w:pPr>
      <w:pStyle w:val="Footerline"/>
    </w:pPr>
    <w:r>
      <w:rPr>
        <w:color w:val="2B579A"/>
        <w:shd w:val="clear" w:color="auto" w:fill="E6E6E6"/>
        <w:lang w:eastAsia="en-AU"/>
      </w:rPr>
      <mc:AlternateContent>
        <mc:Choice Requires="wps">
          <w:drawing>
            <wp:anchor distT="45720" distB="45720" distL="114300" distR="114300" simplePos="0" relativeHeight="251658240" behindDoc="0" locked="1" layoutInCell="1" allowOverlap="1" wp14:anchorId="1AEE6B03" wp14:editId="4D1A8530">
              <wp:simplePos x="0" y="0"/>
              <wp:positionH relativeFrom="margin">
                <wp:posOffset>6142355</wp:posOffset>
              </wp:positionH>
              <wp:positionV relativeFrom="page">
                <wp:posOffset>9950450</wp:posOffset>
              </wp:positionV>
              <wp:extent cx="332105" cy="726440"/>
              <wp:effectExtent l="0" t="0" r="10795" b="0"/>
              <wp:wrapNone/>
              <wp:docPr id="75" name="Text Box 7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04FAC34D" w14:textId="6CB88452" w:rsidR="00F1382E" w:rsidRPr="00073D52" w:rsidRDefault="00F1382E" w:rsidP="001007B9">
                          <w:pPr>
                            <w:pStyle w:val="Footer"/>
                            <w:rPr>
                              <w:b w:val="0"/>
                              <w:bCs/>
                              <w:sz w:val="16"/>
                              <w:szCs w:val="16"/>
                            </w:rPr>
                          </w:pPr>
                          <w:r w:rsidRPr="00073D52">
                            <w:rPr>
                              <w:b w:val="0"/>
                              <w:bCs/>
                              <w:color w:val="2B579A"/>
                              <w:sz w:val="16"/>
                              <w:szCs w:val="16"/>
                              <w:shd w:val="clear" w:color="auto" w:fill="E6E6E6"/>
                            </w:rPr>
                            <w:fldChar w:fldCharType="begin"/>
                          </w:r>
                          <w:r w:rsidRPr="00073D52">
                            <w:rPr>
                              <w:b w:val="0"/>
                              <w:bCs/>
                              <w:sz w:val="16"/>
                              <w:szCs w:val="16"/>
                            </w:rPr>
                            <w:instrText xml:space="preserve"> PAGE   \* MERGEFORMAT </w:instrText>
                          </w:r>
                          <w:r w:rsidRPr="00073D52">
                            <w:rPr>
                              <w:b w:val="0"/>
                              <w:bCs/>
                              <w:color w:val="2B579A"/>
                              <w:sz w:val="16"/>
                              <w:szCs w:val="16"/>
                              <w:shd w:val="clear" w:color="auto" w:fill="E6E6E6"/>
                            </w:rPr>
                            <w:fldChar w:fldCharType="separate"/>
                          </w:r>
                          <w:r w:rsidR="001A5B00">
                            <w:rPr>
                              <w:b w:val="0"/>
                              <w:bCs/>
                              <w:noProof/>
                              <w:sz w:val="16"/>
                              <w:szCs w:val="16"/>
                            </w:rPr>
                            <w:t>9</w:t>
                          </w:r>
                          <w:r w:rsidRPr="00073D52">
                            <w:rPr>
                              <w:b w:val="0"/>
                              <w:bCs/>
                              <w:noProof/>
                              <w:color w:val="2B579A"/>
                              <w:sz w:val="16"/>
                              <w:szCs w:val="16"/>
                              <w:shd w:val="clear" w:color="auto" w:fill="E6E6E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EE6B03" id="_x0000_t202" coordsize="21600,21600" o:spt="202" path="m,l,21600r21600,l21600,xe">
              <v:stroke joinstyle="miter"/>
              <v:path gradientshapeok="t" o:connecttype="rect"/>
            </v:shapetype>
            <v:shape id="Text Box 75" o:spid="_x0000_s1026" type="#_x0000_t202" alt="&quot;&quot;" style="position:absolute;margin-left:483.65pt;margin-top:783.5pt;width:26.15pt;height:5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" filled="f" stroked="f">
              <v:textbox inset="0,0,0,0">
                <w:txbxContent>
                  <w:p w14:paraId="04FAC34D" w14:textId="6CB88452" w:rsidR="00F1382E" w:rsidRPr="00073D52" w:rsidRDefault="00F1382E" w:rsidP="001007B9">
                    <w:pPr>
                      <w:pStyle w:val="Footer"/>
                      <w:rPr>
                        <w:b w:val="0"/>
                        <w:bCs/>
                        <w:sz w:val="16"/>
                        <w:szCs w:val="16"/>
                      </w:rPr>
                    </w:pPr>
                    <w:r w:rsidRPr="00073D52">
                      <w:rPr>
                        <w:b w:val="0"/>
                        <w:bCs/>
                        <w:color w:val="2B579A"/>
                        <w:sz w:val="16"/>
                        <w:szCs w:val="16"/>
                        <w:shd w:val="clear" w:color="auto" w:fill="E6E6E6"/>
                      </w:rPr>
                      <w:fldChar w:fldCharType="begin"/>
                    </w:r>
                    <w:r w:rsidRPr="00073D52">
                      <w:rPr>
                        <w:b w:val="0"/>
                        <w:bCs/>
                        <w:sz w:val="16"/>
                        <w:szCs w:val="16"/>
                      </w:rPr>
                      <w:instrText xml:space="preserve"> PAGE   \* MERGEFORMAT </w:instrText>
                    </w:r>
                    <w:r w:rsidRPr="00073D52">
                      <w:rPr>
                        <w:b w:val="0"/>
                        <w:bCs/>
                        <w:color w:val="2B579A"/>
                        <w:sz w:val="16"/>
                        <w:szCs w:val="16"/>
                        <w:shd w:val="clear" w:color="auto" w:fill="E6E6E6"/>
                      </w:rPr>
                      <w:fldChar w:fldCharType="separate"/>
                    </w:r>
                    <w:r w:rsidR="001A5B00">
                      <w:rPr>
                        <w:b w:val="0"/>
                        <w:bCs/>
                        <w:noProof/>
                        <w:sz w:val="16"/>
                        <w:szCs w:val="16"/>
                      </w:rPr>
                      <w:t>9</w:t>
                    </w:r>
                    <w:r w:rsidRPr="00073D52">
                      <w:rPr>
                        <w:b w:val="0"/>
                        <w:bCs/>
                        <w:noProof/>
                        <w:color w:val="2B579A"/>
                        <w:sz w:val="16"/>
                        <w:szCs w:val="16"/>
                        <w:shd w:val="clear" w:color="auto" w:fill="E6E6E6"/>
                      </w:rPr>
                      <w:fldChar w:fldCharType="end"/>
                    </w:r>
                  </w:p>
                </w:txbxContent>
              </v:textbox>
              <w10:wrap anchorx="margin" anchory="page"/>
              <w10:anchorlock/>
            </v:shape>
          </w:pict>
        </mc:Fallback>
      </mc:AlternateContent>
    </w:r>
  </w:p>
  <w:p w14:paraId="0E85D325" w14:textId="77777777" w:rsidR="00F1382E" w:rsidRPr="001007B9" w:rsidRDefault="00F1382E" w:rsidP="009B4379">
    <w:pPr>
      <w:pStyle w:val="Footer"/>
      <w:spacing w:after="500"/>
      <w:contextualSpacing/>
      <w:jc w:val="left"/>
      <w:rPr>
        <w:color w:val="25303B" w:themeColor="accent1"/>
      </w:rPr>
    </w:pPr>
    <w:r w:rsidRPr="00073D52">
      <w:rPr>
        <w:color w:val="25303B" w:themeColor="accent1"/>
      </w:rPr>
      <w:t>PM</w:t>
    </w:r>
    <w:r>
      <w:rPr>
        <w:color w:val="25303B" w:themeColor="accent1"/>
      </w:rPr>
      <w:t>&amp;</w:t>
    </w:r>
    <w:r w:rsidRPr="00073D52">
      <w:rPr>
        <w:color w:val="25303B" w:themeColor="accent1"/>
      </w:rPr>
      <w:t xml:space="preserve">C </w:t>
    </w:r>
    <w:r w:rsidRPr="00BC24CA">
      <w:rPr>
        <w:color w:val="25303B" w:themeColor="accent1"/>
        <w:sz w:val="16"/>
        <w:szCs w:val="16"/>
      </w:rPr>
      <w:t>|</w:t>
    </w:r>
    <w:r w:rsidRPr="00073D52">
      <w:rPr>
        <w:color w:val="25303B" w:themeColor="accent1"/>
      </w:rPr>
      <w:t xml:space="preserve"> </w:t>
    </w:r>
    <w:sdt>
      <w:sdtPr>
        <w:rPr>
          <w:color w:val="25303B" w:themeColor="accent1"/>
          <w:sz w:val="16"/>
          <w:szCs w:val="16"/>
          <w:shd w:val="clear" w:color="auto" w:fill="E6E6E6"/>
        </w:rPr>
        <w:alias w:val="Section Name"/>
        <w:tag w:val="SectionName"/>
        <w:id w:val="605542894"/>
        <w:placeholder>
          <w:docPart w:val="219620ADD92642389C5D4B3C4F0DC506"/>
        </w:placeholder>
        <w:showingPlcHdr/>
        <w:text/>
      </w:sdtPr>
      <w:sdtEndPr/>
      <w:sdtContent>
        <w:r w:rsidRPr="00BC24CA">
          <w:rPr>
            <w:caps w:val="0"/>
            <w:sz w:val="16"/>
            <w:szCs w:val="16"/>
          </w:rPr>
          <w:t>[Section Name]</w:t>
        </w:r>
      </w:sdtContent>
    </w:sdt>
    <w:r>
      <w:rPr>
        <w:color w:val="25303B" w:themeColor="accent1"/>
        <w:sz w:val="16"/>
        <w:szCs w:val="16"/>
      </w:rPr>
      <w:t xml:space="preserve">  |  </w:t>
    </w:r>
    <w:sdt>
      <w:sdtPr>
        <w:rPr>
          <w:color w:val="25303B" w:themeColor="accent1"/>
          <w:sz w:val="16"/>
          <w:szCs w:val="16"/>
          <w:shd w:val="clear" w:color="auto" w:fill="E6E6E6"/>
        </w:rPr>
        <w:alias w:val="Document Title"/>
        <w:tag w:val="DocumentTitle"/>
        <w:id w:val="-523643007"/>
        <w:placeholder>
          <w:docPart w:val="4A1B4207812C47D4A115D0D13B555E30"/>
        </w:placeholder>
        <w:showingPlcHdr/>
        <w:text/>
      </w:sdtPr>
      <w:sdtEndPr/>
      <w:sdtContent>
        <w:r w:rsidRPr="00BC24CA">
          <w:rPr>
            <w:caps w:val="0"/>
            <w:sz w:val="16"/>
            <w:szCs w:val="16"/>
          </w:rPr>
          <w:t>[</w:t>
        </w:r>
        <w:r>
          <w:rPr>
            <w:caps w:val="0"/>
            <w:sz w:val="16"/>
            <w:szCs w:val="16"/>
          </w:rPr>
          <w:t>Document Title</w:t>
        </w:r>
        <w:r w:rsidRPr="00BC24CA">
          <w:rPr>
            <w:caps w:val="0"/>
            <w:sz w:val="16"/>
            <w:szCs w:val="16"/>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2F4DD" w14:textId="77777777" w:rsidR="009F7CB4" w:rsidRDefault="009F7C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136199"/>
      <w:docPartObj>
        <w:docPartGallery w:val="Page Numbers (Bottom of Page)"/>
        <w:docPartUnique/>
      </w:docPartObj>
    </w:sdtPr>
    <w:sdtEndPr>
      <w:rPr>
        <w:rFonts w:ascii="Arial" w:hAnsi="Arial" w:cs="Arial"/>
        <w:color w:val="auto"/>
        <w:sz w:val="18"/>
        <w:szCs w:val="18"/>
      </w:rPr>
    </w:sdtEndPr>
    <w:sdtContent>
      <w:sdt>
        <w:sdtPr>
          <w:rPr>
            <w:rFonts w:ascii="Arial" w:hAnsi="Arial" w:cs="Arial"/>
            <w:color w:val="auto"/>
            <w:sz w:val="18"/>
            <w:szCs w:val="18"/>
          </w:rPr>
          <w:id w:val="-1769616900"/>
          <w:docPartObj>
            <w:docPartGallery w:val="Page Numbers (Top of Page)"/>
            <w:docPartUnique/>
          </w:docPartObj>
        </w:sdtPr>
        <w:sdtEndPr/>
        <w:sdtContent>
          <w:p w14:paraId="0BC59104" w14:textId="77777777" w:rsidR="00FF7A27" w:rsidRPr="00926B26" w:rsidRDefault="00FF7A27" w:rsidP="00FF7A27">
            <w:pPr>
              <w:pStyle w:val="Footer"/>
              <w:jc w:val="left"/>
              <w:rPr>
                <w:rFonts w:ascii="Arial" w:eastAsia="Calibri" w:hAnsi="Arial" w:cs="Arial"/>
                <w:color w:val="auto"/>
                <w:sz w:val="16"/>
                <w:szCs w:val="16"/>
              </w:rPr>
            </w:pPr>
            <w:r>
              <w:rPr>
                <w:rFonts w:ascii="Arial" w:eastAsia="Calibri" w:hAnsi="Arial" w:cs="Arial"/>
                <w:color w:val="auto"/>
                <w:sz w:val="16"/>
                <w:szCs w:val="16"/>
              </w:rPr>
              <w:t>DECISION regulation impact statement</w:t>
            </w:r>
          </w:p>
          <w:p w14:paraId="3558FC8D" w14:textId="7D40A080" w:rsidR="00FF7A27" w:rsidRPr="00926B26" w:rsidRDefault="00FF7A27" w:rsidP="00FF7A27">
            <w:pPr>
              <w:pStyle w:val="Footer"/>
              <w:tabs>
                <w:tab w:val="clear" w:pos="4513"/>
                <w:tab w:val="clear" w:pos="9026"/>
                <w:tab w:val="left" w:pos="7938"/>
              </w:tabs>
              <w:jc w:val="left"/>
              <w:rPr>
                <w:rFonts w:ascii="Arial" w:hAnsi="Arial" w:cs="Arial"/>
                <w:color w:val="auto"/>
                <w:sz w:val="18"/>
                <w:szCs w:val="18"/>
              </w:rPr>
            </w:pPr>
            <w:r>
              <w:rPr>
                <w:rFonts w:ascii="Arial" w:eastAsia="Calibri" w:hAnsi="Arial" w:cs="Arial"/>
                <w:b w:val="0"/>
                <w:caps w:val="0"/>
                <w:color w:val="auto"/>
                <w:sz w:val="16"/>
                <w:szCs w:val="16"/>
              </w:rPr>
              <w:t>Prohibition on the use of engineered stone</w:t>
            </w:r>
            <w:r w:rsidRPr="00926B26">
              <w:rPr>
                <w:rFonts w:ascii="Arial" w:hAnsi="Arial" w:cs="Arial"/>
                <w:caps w:val="0"/>
                <w:color w:val="auto"/>
                <w:sz w:val="18"/>
                <w:szCs w:val="18"/>
              </w:rPr>
              <w:t xml:space="preserve">  </w:t>
            </w:r>
            <w:r>
              <w:rPr>
                <w:rFonts w:ascii="Arial" w:hAnsi="Arial" w:cs="Arial"/>
                <w:caps w:val="0"/>
                <w:color w:val="auto"/>
                <w:sz w:val="18"/>
                <w:szCs w:val="18"/>
              </w:rPr>
              <w:tab/>
            </w:r>
            <w:r>
              <w:rPr>
                <w:rFonts w:ascii="Arial" w:hAnsi="Arial" w:cs="Arial"/>
                <w:caps w:val="0"/>
                <w:color w:val="auto"/>
                <w:sz w:val="18"/>
                <w:szCs w:val="18"/>
              </w:rPr>
              <w:tab/>
              <w:t>Page</w:t>
            </w:r>
            <w:r w:rsidRPr="00926B26">
              <w:rPr>
                <w:rFonts w:ascii="Arial" w:hAnsi="Arial" w:cs="Arial"/>
                <w:color w:val="auto"/>
                <w:sz w:val="18"/>
                <w:szCs w:val="18"/>
              </w:rPr>
              <w:t xml:space="preserve">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PAGE </w:instrText>
            </w:r>
            <w:r w:rsidRPr="00926B26">
              <w:rPr>
                <w:rFonts w:ascii="Arial" w:hAnsi="Arial" w:cs="Arial"/>
                <w:b w:val="0"/>
                <w:bCs/>
                <w:color w:val="auto"/>
                <w:sz w:val="18"/>
                <w:szCs w:val="18"/>
              </w:rPr>
              <w:fldChar w:fldCharType="separate"/>
            </w:r>
            <w:r w:rsidR="009F7CB4">
              <w:rPr>
                <w:rFonts w:ascii="Arial" w:hAnsi="Arial" w:cs="Arial"/>
                <w:bCs/>
                <w:noProof/>
                <w:color w:val="auto"/>
                <w:sz w:val="18"/>
                <w:szCs w:val="18"/>
              </w:rPr>
              <w:t>1</w:t>
            </w:r>
            <w:r w:rsidRPr="00926B26">
              <w:rPr>
                <w:rFonts w:ascii="Arial" w:hAnsi="Arial" w:cs="Arial"/>
                <w:b w:val="0"/>
                <w:bCs/>
                <w:color w:val="auto"/>
                <w:sz w:val="18"/>
                <w:szCs w:val="18"/>
              </w:rPr>
              <w:fldChar w:fldCharType="end"/>
            </w:r>
            <w:r w:rsidRPr="00926B26">
              <w:rPr>
                <w:rFonts w:ascii="Arial" w:hAnsi="Arial" w:cs="Arial"/>
                <w:caps w:val="0"/>
                <w:color w:val="auto"/>
                <w:sz w:val="18"/>
                <w:szCs w:val="18"/>
              </w:rPr>
              <w:t xml:space="preserve"> of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NUMPAGES  </w:instrText>
            </w:r>
            <w:r w:rsidRPr="00926B26">
              <w:rPr>
                <w:rFonts w:ascii="Arial" w:hAnsi="Arial" w:cs="Arial"/>
                <w:b w:val="0"/>
                <w:bCs/>
                <w:color w:val="auto"/>
                <w:sz w:val="18"/>
                <w:szCs w:val="18"/>
              </w:rPr>
              <w:fldChar w:fldCharType="separate"/>
            </w:r>
            <w:r w:rsidR="009F7CB4">
              <w:rPr>
                <w:rFonts w:ascii="Arial" w:hAnsi="Arial" w:cs="Arial"/>
                <w:bCs/>
                <w:noProof/>
                <w:color w:val="auto"/>
                <w:sz w:val="18"/>
                <w:szCs w:val="18"/>
              </w:rPr>
              <w:t>106</w:t>
            </w:r>
            <w:r w:rsidRPr="00926B26">
              <w:rPr>
                <w:rFonts w:ascii="Arial" w:hAnsi="Arial" w:cs="Arial"/>
                <w:b w:val="0"/>
                <w:bCs/>
                <w:color w:val="auto"/>
                <w:sz w:val="18"/>
                <w:szCs w:val="18"/>
              </w:rPr>
              <w:fldChar w:fldCharType="end"/>
            </w:r>
          </w:p>
        </w:sdtContent>
      </w:sdt>
    </w:sdtContent>
  </w:sdt>
  <w:p w14:paraId="31DD8C9C" w14:textId="77777777" w:rsidR="00FF7A27" w:rsidRPr="00825B23" w:rsidRDefault="00FF7A27" w:rsidP="00FF7A27">
    <w:pPr>
      <w:pStyle w:val="Footer"/>
      <w:spacing w:after="500"/>
      <w:contextualSpacing/>
      <w:jc w:val="center"/>
      <w:rPr>
        <w:b w:val="0"/>
        <w:bCs/>
        <w:sz w:val="16"/>
        <w:szCs w:val="16"/>
      </w:rPr>
    </w:pPr>
  </w:p>
  <w:p w14:paraId="67A70C51" w14:textId="2A786E4C" w:rsidR="00C81E02" w:rsidRPr="00FF7A27" w:rsidRDefault="00C81E02" w:rsidP="00FF7A27">
    <w:pPr>
      <w:pStyle w:val="Footer"/>
      <w:jc w:val="left"/>
      <w:rPr>
        <w:rFonts w:ascii="Arial" w:hAnsi="Arial" w:cs="Arial"/>
        <w:b w:val="0"/>
        <w:bCs/>
        <w:color w:val="auto"/>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F05EE" w14:textId="77777777" w:rsidR="00C81E02" w:rsidRPr="00B87E45" w:rsidRDefault="00C81E02" w:rsidP="00917F95">
    <w:pPr>
      <w:pStyle w:val="ProtectiveMarking"/>
    </w:pPr>
    <w:r>
      <w:t>Choose Classifiction</w:t>
    </w:r>
  </w:p>
  <w:p w14:paraId="70135A05" w14:textId="77777777" w:rsidR="00C81E02" w:rsidRPr="00073D52" w:rsidRDefault="00C81E02" w:rsidP="00917F95">
    <w:pPr>
      <w:pStyle w:val="Footerline"/>
    </w:pPr>
  </w:p>
  <w:p w14:paraId="31715480" w14:textId="77777777" w:rsidR="00C81E02" w:rsidRPr="00195BA8" w:rsidRDefault="00C81E02" w:rsidP="00195BA8">
    <w:pPr>
      <w:pStyle w:val="Footer"/>
      <w:spacing w:after="500"/>
      <w:contextualSpacing/>
      <w:jc w:val="left"/>
      <w:rPr>
        <w:color w:val="25303B" w:themeColor="accent1"/>
        <w:sz w:val="16"/>
        <w:szCs w:val="16"/>
      </w:rPr>
    </w:pPr>
    <w:r w:rsidRPr="005A0DE7">
      <w:rPr>
        <w:color w:val="25303B" w:themeColor="accent1"/>
        <w:sz w:val="16"/>
        <w:szCs w:val="16"/>
      </w:rPr>
      <w:t xml:space="preserve">PM&amp;C | </w:t>
    </w:r>
    <w:sdt>
      <w:sdtPr>
        <w:rPr>
          <w:caps w:val="0"/>
          <w:color w:val="25303B" w:themeColor="accent1"/>
          <w:sz w:val="16"/>
          <w:szCs w:val="16"/>
          <w:shd w:val="clear" w:color="auto" w:fill="E6E6E6"/>
        </w:rPr>
        <w:alias w:val="Section Name"/>
        <w:tag w:val="SectionName"/>
        <w:id w:val="420155105"/>
        <w:placeholder>
          <w:docPart w:val="262D7B84832141818F1AA765A4123DB4"/>
        </w:placeholder>
        <w:showingPlcHdr/>
        <w:dataBinding w:xpath="/root[1]/SectionName[1]" w:storeItemID="{F533AE62-A212-4B26-92DA-A3B336E8AE06}"/>
        <w:text/>
      </w:sdtPr>
      <w:sdtEndPr/>
      <w:sdtContent>
        <w:r w:rsidRPr="005A0DE7">
          <w:rPr>
            <w:caps w:val="0"/>
            <w:color w:val="25303B" w:themeColor="accent1"/>
            <w:sz w:val="16"/>
            <w:szCs w:val="16"/>
          </w:rPr>
          <w:t>[Section Name]</w:t>
        </w:r>
      </w:sdtContent>
    </w:sdt>
    <w:r w:rsidRPr="005A0DE7">
      <w:rPr>
        <w:color w:val="25303B" w:themeColor="accent1"/>
        <w:sz w:val="16"/>
        <w:szCs w:val="16"/>
      </w:rPr>
      <w:t xml:space="preserve"> |</w:t>
    </w:r>
    <w:r w:rsidRPr="005A0DE7">
      <w:rPr>
        <w:b w:val="0"/>
        <w:bCs/>
        <w:color w:val="25303B" w:themeColor="accent1"/>
        <w:sz w:val="16"/>
        <w:szCs w:val="16"/>
      </w:rPr>
      <w:t xml:space="preserve"> </w:t>
    </w:r>
    <w:sdt>
      <w:sdtPr>
        <w:rPr>
          <w:b w:val="0"/>
          <w:bCs/>
          <w:caps w:val="0"/>
          <w:color w:val="25303B" w:themeColor="accent1"/>
          <w:sz w:val="16"/>
          <w:szCs w:val="16"/>
          <w:shd w:val="clear" w:color="auto" w:fill="E6E6E6"/>
        </w:rPr>
        <w:alias w:val="Document Heading"/>
        <w:tag w:val="DH"/>
        <w:id w:val="275837465"/>
        <w:placeholder>
          <w:docPart w:val="4D8443FCC5CE414F85B21F86DB4EF1A2"/>
        </w:placeholder>
        <w:showingPlcHdr/>
        <w:dataBinding w:xpath="/root[1]/DH[1]" w:storeItemID="{F533AE62-A212-4B26-92DA-A3B336E8AE06}"/>
        <w:text/>
      </w:sdtPr>
      <w:sdtEndPr/>
      <w:sdtContent>
        <w:r w:rsidRPr="005A0DE7">
          <w:rPr>
            <w:b w:val="0"/>
            <w:bCs/>
            <w:caps w:val="0"/>
            <w:color w:val="25303B" w:themeColor="accent1"/>
            <w:sz w:val="16"/>
            <w:szCs w:val="16"/>
          </w:rPr>
          <w:t>[Document Heading]</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387692"/>
      <w:docPartObj>
        <w:docPartGallery w:val="Page Numbers (Bottom of Page)"/>
        <w:docPartUnique/>
      </w:docPartObj>
    </w:sdtPr>
    <w:sdtEndPr>
      <w:rPr>
        <w:rFonts w:ascii="Arial" w:hAnsi="Arial" w:cs="Arial"/>
        <w:color w:val="auto"/>
        <w:sz w:val="18"/>
        <w:szCs w:val="18"/>
      </w:rPr>
    </w:sdtEndPr>
    <w:sdtContent>
      <w:sdt>
        <w:sdtPr>
          <w:rPr>
            <w:rFonts w:ascii="Arial" w:hAnsi="Arial" w:cs="Arial"/>
            <w:color w:val="auto"/>
            <w:sz w:val="18"/>
            <w:szCs w:val="18"/>
          </w:rPr>
          <w:id w:val="-1932887913"/>
          <w:docPartObj>
            <w:docPartGallery w:val="Page Numbers (Top of Page)"/>
            <w:docPartUnique/>
          </w:docPartObj>
        </w:sdtPr>
        <w:sdtEndPr/>
        <w:sdtContent>
          <w:p w14:paraId="36A04E1A" w14:textId="77777777" w:rsidR="004A774F" w:rsidRDefault="004A774F" w:rsidP="00FF7A27">
            <w:pPr>
              <w:pStyle w:val="Footer"/>
              <w:jc w:val="left"/>
              <w:rPr>
                <w:rFonts w:ascii="Arial" w:hAnsi="Arial" w:cs="Arial"/>
                <w:color w:val="auto"/>
                <w:sz w:val="18"/>
                <w:szCs w:val="18"/>
              </w:rPr>
            </w:pPr>
          </w:p>
          <w:p w14:paraId="620A9FB3" w14:textId="77777777" w:rsidR="004A774F" w:rsidRDefault="004A774F" w:rsidP="00FF7A27">
            <w:pPr>
              <w:pStyle w:val="Footer"/>
              <w:jc w:val="left"/>
              <w:rPr>
                <w:rFonts w:ascii="Arial" w:hAnsi="Arial" w:cs="Arial"/>
                <w:color w:val="auto"/>
                <w:sz w:val="18"/>
                <w:szCs w:val="18"/>
              </w:rPr>
            </w:pPr>
          </w:p>
          <w:p w14:paraId="485712FB" w14:textId="7F7C63B9" w:rsidR="004A774F" w:rsidRPr="00926B26" w:rsidRDefault="004A774F" w:rsidP="00711719">
            <w:pPr>
              <w:pStyle w:val="Footer"/>
              <w:ind w:left="-709"/>
              <w:jc w:val="left"/>
              <w:rPr>
                <w:rFonts w:ascii="Arial" w:eastAsia="Calibri" w:hAnsi="Arial" w:cs="Arial"/>
                <w:color w:val="auto"/>
                <w:sz w:val="16"/>
                <w:szCs w:val="16"/>
              </w:rPr>
            </w:pPr>
            <w:r>
              <w:rPr>
                <w:rFonts w:ascii="Arial" w:eastAsia="Calibri" w:hAnsi="Arial" w:cs="Arial"/>
                <w:color w:val="auto"/>
                <w:sz w:val="16"/>
                <w:szCs w:val="16"/>
              </w:rPr>
              <w:t>DECISION regulation impact statement</w:t>
            </w:r>
          </w:p>
          <w:p w14:paraId="4F7FF9E7" w14:textId="2BE32225" w:rsidR="004A774F" w:rsidRPr="00926B26" w:rsidRDefault="004A774F" w:rsidP="00711719">
            <w:pPr>
              <w:pStyle w:val="Footer"/>
              <w:tabs>
                <w:tab w:val="clear" w:pos="4513"/>
                <w:tab w:val="clear" w:pos="9026"/>
                <w:tab w:val="left" w:pos="7938"/>
              </w:tabs>
              <w:ind w:left="-709"/>
              <w:jc w:val="left"/>
              <w:rPr>
                <w:rFonts w:ascii="Arial" w:hAnsi="Arial" w:cs="Arial"/>
                <w:color w:val="auto"/>
                <w:sz w:val="18"/>
                <w:szCs w:val="18"/>
              </w:rPr>
            </w:pPr>
            <w:r>
              <w:rPr>
                <w:rFonts w:ascii="Arial" w:eastAsia="Calibri" w:hAnsi="Arial" w:cs="Arial"/>
                <w:b w:val="0"/>
                <w:caps w:val="0"/>
                <w:color w:val="auto"/>
                <w:sz w:val="16"/>
                <w:szCs w:val="16"/>
              </w:rPr>
              <w:t>Prohibition on the use of engineered stone</w:t>
            </w:r>
            <w:r w:rsidRPr="00926B26">
              <w:rPr>
                <w:rFonts w:ascii="Arial" w:hAnsi="Arial" w:cs="Arial"/>
                <w:caps w:val="0"/>
                <w:color w:val="auto"/>
                <w:sz w:val="18"/>
                <w:szCs w:val="18"/>
              </w:rPr>
              <w:t xml:space="preserve">  </w:t>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r>
            <w:r>
              <w:rPr>
                <w:rFonts w:ascii="Arial" w:hAnsi="Arial" w:cs="Arial"/>
                <w:caps w:val="0"/>
                <w:color w:val="auto"/>
                <w:sz w:val="18"/>
                <w:szCs w:val="18"/>
              </w:rPr>
              <w:tab/>
              <w:t>Page</w:t>
            </w:r>
            <w:r w:rsidRPr="00926B26">
              <w:rPr>
                <w:rFonts w:ascii="Arial" w:hAnsi="Arial" w:cs="Arial"/>
                <w:color w:val="auto"/>
                <w:sz w:val="18"/>
                <w:szCs w:val="18"/>
              </w:rPr>
              <w:t xml:space="preserve">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PAGE </w:instrText>
            </w:r>
            <w:r w:rsidRPr="00926B26">
              <w:rPr>
                <w:rFonts w:ascii="Arial" w:hAnsi="Arial" w:cs="Arial"/>
                <w:b w:val="0"/>
                <w:bCs/>
                <w:color w:val="auto"/>
                <w:sz w:val="18"/>
                <w:szCs w:val="18"/>
              </w:rPr>
              <w:fldChar w:fldCharType="separate"/>
            </w:r>
            <w:r w:rsidR="009F7CB4">
              <w:rPr>
                <w:rFonts w:ascii="Arial" w:hAnsi="Arial" w:cs="Arial"/>
                <w:bCs/>
                <w:noProof/>
                <w:color w:val="auto"/>
                <w:sz w:val="18"/>
                <w:szCs w:val="18"/>
              </w:rPr>
              <w:t>102</w:t>
            </w:r>
            <w:r w:rsidRPr="00926B26">
              <w:rPr>
                <w:rFonts w:ascii="Arial" w:hAnsi="Arial" w:cs="Arial"/>
                <w:b w:val="0"/>
                <w:bCs/>
                <w:color w:val="auto"/>
                <w:sz w:val="18"/>
                <w:szCs w:val="18"/>
              </w:rPr>
              <w:fldChar w:fldCharType="end"/>
            </w:r>
            <w:r w:rsidRPr="00926B26">
              <w:rPr>
                <w:rFonts w:ascii="Arial" w:hAnsi="Arial" w:cs="Arial"/>
                <w:caps w:val="0"/>
                <w:color w:val="auto"/>
                <w:sz w:val="18"/>
                <w:szCs w:val="18"/>
              </w:rPr>
              <w:t xml:space="preserve"> of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NUMPAGES  </w:instrText>
            </w:r>
            <w:r w:rsidRPr="00926B26">
              <w:rPr>
                <w:rFonts w:ascii="Arial" w:hAnsi="Arial" w:cs="Arial"/>
                <w:b w:val="0"/>
                <w:bCs/>
                <w:color w:val="auto"/>
                <w:sz w:val="18"/>
                <w:szCs w:val="18"/>
              </w:rPr>
              <w:fldChar w:fldCharType="separate"/>
            </w:r>
            <w:r w:rsidR="009F7CB4">
              <w:rPr>
                <w:rFonts w:ascii="Arial" w:hAnsi="Arial" w:cs="Arial"/>
                <w:bCs/>
                <w:noProof/>
                <w:color w:val="auto"/>
                <w:sz w:val="18"/>
                <w:szCs w:val="18"/>
              </w:rPr>
              <w:t>102</w:t>
            </w:r>
            <w:r w:rsidRPr="00926B26">
              <w:rPr>
                <w:rFonts w:ascii="Arial" w:hAnsi="Arial" w:cs="Arial"/>
                <w:b w:val="0"/>
                <w:bCs/>
                <w:color w:val="auto"/>
                <w:sz w:val="18"/>
                <w:szCs w:val="18"/>
              </w:rPr>
              <w:fldChar w:fldCharType="end"/>
            </w:r>
          </w:p>
        </w:sdtContent>
      </w:sdt>
    </w:sdtContent>
  </w:sdt>
  <w:p w14:paraId="7BA30122" w14:textId="77777777" w:rsidR="004A774F" w:rsidRPr="00825B23" w:rsidRDefault="004A774F" w:rsidP="00FF7A27">
    <w:pPr>
      <w:pStyle w:val="Footer"/>
      <w:spacing w:after="500"/>
      <w:contextualSpacing/>
      <w:jc w:val="center"/>
      <w:rPr>
        <w:b w:val="0"/>
        <w:bCs/>
        <w:sz w:val="16"/>
        <w:szCs w:val="16"/>
      </w:rPr>
    </w:pPr>
  </w:p>
  <w:p w14:paraId="376F7CF9" w14:textId="77777777" w:rsidR="004A774F" w:rsidRPr="00FF7A27" w:rsidRDefault="004A774F" w:rsidP="00FF7A27">
    <w:pPr>
      <w:pStyle w:val="Footer"/>
      <w:jc w:val="left"/>
      <w:rPr>
        <w:rFonts w:ascii="Arial" w:hAnsi="Arial" w:cs="Arial"/>
        <w:b w:val="0"/>
        <w:bCs/>
        <w:color w:val="auto"/>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346527"/>
      <w:docPartObj>
        <w:docPartGallery w:val="Page Numbers (Bottom of Page)"/>
        <w:docPartUnique/>
      </w:docPartObj>
    </w:sdtPr>
    <w:sdtEndPr>
      <w:rPr>
        <w:rFonts w:ascii="Arial" w:hAnsi="Arial" w:cs="Arial"/>
        <w:color w:val="auto"/>
        <w:sz w:val="18"/>
        <w:szCs w:val="18"/>
      </w:rPr>
    </w:sdtEndPr>
    <w:sdtContent>
      <w:sdt>
        <w:sdtPr>
          <w:rPr>
            <w:rFonts w:ascii="Arial" w:hAnsi="Arial" w:cs="Arial"/>
            <w:color w:val="auto"/>
            <w:sz w:val="18"/>
            <w:szCs w:val="18"/>
          </w:rPr>
          <w:id w:val="502942816"/>
          <w:docPartObj>
            <w:docPartGallery w:val="Page Numbers (Top of Page)"/>
            <w:docPartUnique/>
          </w:docPartObj>
        </w:sdtPr>
        <w:sdtEndPr/>
        <w:sdtContent>
          <w:p w14:paraId="2B7236E5" w14:textId="792F3B9B" w:rsidR="00232FBD" w:rsidRPr="00926B26" w:rsidRDefault="00232FBD" w:rsidP="00232FBD">
            <w:pPr>
              <w:pStyle w:val="Footer"/>
              <w:jc w:val="left"/>
              <w:rPr>
                <w:rFonts w:ascii="Arial" w:eastAsia="Calibri" w:hAnsi="Arial" w:cs="Arial"/>
                <w:color w:val="auto"/>
                <w:sz w:val="16"/>
                <w:szCs w:val="16"/>
              </w:rPr>
            </w:pPr>
            <w:r>
              <w:rPr>
                <w:rFonts w:ascii="Arial" w:eastAsia="Calibri" w:hAnsi="Arial" w:cs="Arial"/>
                <w:color w:val="auto"/>
                <w:sz w:val="16"/>
                <w:szCs w:val="16"/>
              </w:rPr>
              <w:t>DECISION regulation impact statement</w:t>
            </w:r>
          </w:p>
          <w:p w14:paraId="57B0B27A" w14:textId="15A94760" w:rsidR="00232FBD" w:rsidRPr="00926B26" w:rsidRDefault="00232FBD" w:rsidP="00232FBD">
            <w:pPr>
              <w:pStyle w:val="Footer"/>
              <w:tabs>
                <w:tab w:val="clear" w:pos="4513"/>
                <w:tab w:val="clear" w:pos="9026"/>
                <w:tab w:val="left" w:pos="7938"/>
              </w:tabs>
              <w:jc w:val="left"/>
              <w:rPr>
                <w:rFonts w:ascii="Arial" w:hAnsi="Arial" w:cs="Arial"/>
                <w:color w:val="auto"/>
                <w:sz w:val="18"/>
                <w:szCs w:val="18"/>
              </w:rPr>
            </w:pPr>
            <w:r>
              <w:rPr>
                <w:rFonts w:ascii="Arial" w:eastAsia="Calibri" w:hAnsi="Arial" w:cs="Arial"/>
                <w:b w:val="0"/>
                <w:caps w:val="0"/>
                <w:color w:val="auto"/>
                <w:sz w:val="16"/>
                <w:szCs w:val="16"/>
              </w:rPr>
              <w:t>Prohibition on the use of engineered stone</w:t>
            </w:r>
            <w:r w:rsidRPr="00926B26">
              <w:rPr>
                <w:rFonts w:ascii="Arial" w:hAnsi="Arial" w:cs="Arial"/>
                <w:caps w:val="0"/>
                <w:color w:val="auto"/>
                <w:sz w:val="18"/>
                <w:szCs w:val="18"/>
              </w:rPr>
              <w:t xml:space="preserve">  </w:t>
            </w:r>
            <w:r>
              <w:rPr>
                <w:rFonts w:ascii="Arial" w:hAnsi="Arial" w:cs="Arial"/>
                <w:caps w:val="0"/>
                <w:color w:val="auto"/>
                <w:sz w:val="18"/>
                <w:szCs w:val="18"/>
              </w:rPr>
              <w:tab/>
            </w:r>
            <w:r>
              <w:rPr>
                <w:rFonts w:ascii="Arial" w:hAnsi="Arial" w:cs="Arial"/>
                <w:caps w:val="0"/>
                <w:color w:val="auto"/>
                <w:sz w:val="18"/>
                <w:szCs w:val="18"/>
              </w:rPr>
              <w:tab/>
              <w:t>Page</w:t>
            </w:r>
            <w:r w:rsidRPr="00926B26">
              <w:rPr>
                <w:rFonts w:ascii="Arial" w:hAnsi="Arial" w:cs="Arial"/>
                <w:color w:val="auto"/>
                <w:sz w:val="18"/>
                <w:szCs w:val="18"/>
              </w:rPr>
              <w:t xml:space="preserve">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PAGE </w:instrText>
            </w:r>
            <w:r w:rsidRPr="00926B26">
              <w:rPr>
                <w:rFonts w:ascii="Arial" w:hAnsi="Arial" w:cs="Arial"/>
                <w:b w:val="0"/>
                <w:bCs/>
                <w:color w:val="auto"/>
                <w:sz w:val="18"/>
                <w:szCs w:val="18"/>
              </w:rPr>
              <w:fldChar w:fldCharType="separate"/>
            </w:r>
            <w:r w:rsidR="009F7CB4">
              <w:rPr>
                <w:rFonts w:ascii="Arial" w:hAnsi="Arial" w:cs="Arial"/>
                <w:bCs/>
                <w:noProof/>
                <w:color w:val="auto"/>
                <w:sz w:val="18"/>
                <w:szCs w:val="18"/>
              </w:rPr>
              <w:t>106</w:t>
            </w:r>
            <w:r w:rsidRPr="00926B26">
              <w:rPr>
                <w:rFonts w:ascii="Arial" w:hAnsi="Arial" w:cs="Arial"/>
                <w:b w:val="0"/>
                <w:bCs/>
                <w:color w:val="auto"/>
                <w:sz w:val="18"/>
                <w:szCs w:val="18"/>
              </w:rPr>
              <w:fldChar w:fldCharType="end"/>
            </w:r>
            <w:r w:rsidRPr="00926B26">
              <w:rPr>
                <w:rFonts w:ascii="Arial" w:hAnsi="Arial" w:cs="Arial"/>
                <w:caps w:val="0"/>
                <w:color w:val="auto"/>
                <w:sz w:val="18"/>
                <w:szCs w:val="18"/>
              </w:rPr>
              <w:t xml:space="preserve"> of </w:t>
            </w:r>
            <w:r w:rsidRPr="00926B26">
              <w:rPr>
                <w:rFonts w:ascii="Arial" w:hAnsi="Arial" w:cs="Arial"/>
                <w:b w:val="0"/>
                <w:bCs/>
                <w:color w:val="auto"/>
                <w:sz w:val="18"/>
                <w:szCs w:val="18"/>
              </w:rPr>
              <w:fldChar w:fldCharType="begin"/>
            </w:r>
            <w:r w:rsidRPr="00926B26">
              <w:rPr>
                <w:rFonts w:ascii="Arial" w:hAnsi="Arial" w:cs="Arial"/>
                <w:bCs/>
                <w:color w:val="auto"/>
                <w:sz w:val="18"/>
                <w:szCs w:val="18"/>
              </w:rPr>
              <w:instrText xml:space="preserve"> NUMPAGES  </w:instrText>
            </w:r>
            <w:r w:rsidRPr="00926B26">
              <w:rPr>
                <w:rFonts w:ascii="Arial" w:hAnsi="Arial" w:cs="Arial"/>
                <w:b w:val="0"/>
                <w:bCs/>
                <w:color w:val="auto"/>
                <w:sz w:val="18"/>
                <w:szCs w:val="18"/>
              </w:rPr>
              <w:fldChar w:fldCharType="separate"/>
            </w:r>
            <w:r w:rsidR="009F7CB4">
              <w:rPr>
                <w:rFonts w:ascii="Arial" w:hAnsi="Arial" w:cs="Arial"/>
                <w:bCs/>
                <w:noProof/>
                <w:color w:val="auto"/>
                <w:sz w:val="18"/>
                <w:szCs w:val="18"/>
              </w:rPr>
              <w:t>106</w:t>
            </w:r>
            <w:r w:rsidRPr="00926B26">
              <w:rPr>
                <w:rFonts w:ascii="Arial" w:hAnsi="Arial" w:cs="Arial"/>
                <w:b w:val="0"/>
                <w:bCs/>
                <w:color w:val="auto"/>
                <w:sz w:val="18"/>
                <w:szCs w:val="18"/>
              </w:rPr>
              <w:fldChar w:fldCharType="end"/>
            </w:r>
          </w:p>
        </w:sdtContent>
      </w:sdt>
    </w:sdtContent>
  </w:sdt>
  <w:p w14:paraId="30BBD082" w14:textId="77777777" w:rsidR="00232FBD" w:rsidRPr="00825B23" w:rsidRDefault="00232FBD" w:rsidP="00232FBD">
    <w:pPr>
      <w:pStyle w:val="Footer"/>
      <w:spacing w:after="500"/>
      <w:contextualSpacing/>
      <w:jc w:val="center"/>
      <w:rPr>
        <w:b w:val="0"/>
        <w:bCs/>
        <w:sz w:val="16"/>
        <w:szCs w:val="16"/>
      </w:rPr>
    </w:pPr>
  </w:p>
  <w:p w14:paraId="69F2B6AC" w14:textId="6ADB4692" w:rsidR="00F1382E" w:rsidRPr="00825B23" w:rsidRDefault="00F1382E" w:rsidP="00232FBD">
    <w:pPr>
      <w:pStyle w:val="Footer"/>
      <w:jc w:val="center"/>
      <w:rPr>
        <w:b w:val="0"/>
        <w:bC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463E5" w14:textId="36F4D83C" w:rsidR="00F1382E" w:rsidRPr="00B87E45" w:rsidRDefault="00F1382E" w:rsidP="00917F95">
    <w:pPr>
      <w:pStyle w:val="ProtectiveMarking"/>
    </w:pPr>
    <w:r>
      <w:t>Choose Classifiction</w:t>
    </w:r>
  </w:p>
  <w:p w14:paraId="41493E21" w14:textId="77777777" w:rsidR="00F1382E" w:rsidRPr="00073D52" w:rsidRDefault="00F1382E" w:rsidP="00917F95">
    <w:pPr>
      <w:pStyle w:val="Footerline"/>
    </w:pPr>
  </w:p>
  <w:p w14:paraId="31E14E3B" w14:textId="77777777" w:rsidR="00F1382E" w:rsidRPr="00195BA8" w:rsidRDefault="00F1382E" w:rsidP="00195BA8">
    <w:pPr>
      <w:pStyle w:val="Footer"/>
      <w:spacing w:after="500"/>
      <w:contextualSpacing/>
      <w:jc w:val="left"/>
      <w:rPr>
        <w:color w:val="25303B" w:themeColor="accent1"/>
        <w:sz w:val="16"/>
        <w:szCs w:val="16"/>
      </w:rPr>
    </w:pPr>
    <w:r w:rsidRPr="005A0DE7">
      <w:rPr>
        <w:color w:val="25303B" w:themeColor="accent1"/>
        <w:sz w:val="16"/>
        <w:szCs w:val="16"/>
      </w:rPr>
      <w:t xml:space="preserve">PM&amp;C | </w:t>
    </w:r>
    <w:sdt>
      <w:sdtPr>
        <w:rPr>
          <w:caps w:val="0"/>
          <w:color w:val="25303B" w:themeColor="accent1"/>
          <w:sz w:val="16"/>
          <w:szCs w:val="16"/>
          <w:shd w:val="clear" w:color="auto" w:fill="E6E6E6"/>
        </w:rPr>
        <w:alias w:val="Section Name"/>
        <w:tag w:val="SectionName"/>
        <w:id w:val="-414706023"/>
        <w:showingPlcHdr/>
        <w:dataBinding w:xpath="/root[1]/SectionName[1]" w:storeItemID="{F533AE62-A212-4B26-92DA-A3B336E8AE06}"/>
        <w:text/>
      </w:sdtPr>
      <w:sdtEndPr/>
      <w:sdtContent>
        <w:r w:rsidRPr="005A0DE7">
          <w:rPr>
            <w:caps w:val="0"/>
            <w:color w:val="25303B" w:themeColor="accent1"/>
            <w:sz w:val="16"/>
            <w:szCs w:val="16"/>
          </w:rPr>
          <w:t>[Section Name]</w:t>
        </w:r>
      </w:sdtContent>
    </w:sdt>
    <w:r w:rsidRPr="005A0DE7">
      <w:rPr>
        <w:color w:val="25303B" w:themeColor="accent1"/>
        <w:sz w:val="16"/>
        <w:szCs w:val="16"/>
      </w:rPr>
      <w:t xml:space="preserve"> |</w:t>
    </w:r>
    <w:r w:rsidRPr="005A0DE7">
      <w:rPr>
        <w:b w:val="0"/>
        <w:bCs/>
        <w:color w:val="25303B" w:themeColor="accent1"/>
        <w:sz w:val="16"/>
        <w:szCs w:val="16"/>
      </w:rPr>
      <w:t xml:space="preserve"> </w:t>
    </w:r>
    <w:sdt>
      <w:sdtPr>
        <w:rPr>
          <w:b w:val="0"/>
          <w:bCs/>
          <w:caps w:val="0"/>
          <w:color w:val="25303B" w:themeColor="accent1"/>
          <w:sz w:val="16"/>
          <w:szCs w:val="16"/>
          <w:shd w:val="clear" w:color="auto" w:fill="E6E6E6"/>
        </w:rPr>
        <w:alias w:val="Document Heading"/>
        <w:tag w:val="DH"/>
        <w:id w:val="1036542736"/>
        <w:placeholder>
          <w:docPart w:val="B99AB1A678684D5490740FC918A6587D"/>
        </w:placeholder>
        <w:showingPlcHdr/>
        <w:dataBinding w:xpath="/root[1]/DH[1]" w:storeItemID="{F533AE62-A212-4B26-92DA-A3B336E8AE06}"/>
        <w:text/>
      </w:sdtPr>
      <w:sdtEndPr/>
      <w:sdtContent>
        <w:r w:rsidRPr="005A0DE7">
          <w:rPr>
            <w:b w:val="0"/>
            <w:bCs/>
            <w:caps w:val="0"/>
            <w:color w:val="25303B" w:themeColor="accent1"/>
            <w:sz w:val="16"/>
            <w:szCs w:val="16"/>
          </w:rPr>
          <w:t>[Document Heading]</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28C0F" w14:textId="77777777" w:rsidR="00233122" w:rsidRPr="003A7E73" w:rsidRDefault="00233122" w:rsidP="00B95533">
      <w:pPr>
        <w:spacing w:after="0" w:line="240" w:lineRule="auto"/>
        <w:rPr>
          <w:color w:val="014463" w:themeColor="accent2"/>
        </w:rPr>
      </w:pPr>
      <w:r w:rsidRPr="003A7E73">
        <w:rPr>
          <w:color w:val="014463" w:themeColor="accent2"/>
        </w:rPr>
        <w:separator/>
      </w:r>
    </w:p>
  </w:footnote>
  <w:footnote w:type="continuationSeparator" w:id="0">
    <w:p w14:paraId="1E75585F" w14:textId="77777777" w:rsidR="00233122" w:rsidRPr="003A7E73" w:rsidRDefault="00233122" w:rsidP="00B95533">
      <w:pPr>
        <w:spacing w:after="0" w:line="240" w:lineRule="auto"/>
        <w:rPr>
          <w:color w:val="014463" w:themeColor="accent2"/>
        </w:rPr>
      </w:pPr>
      <w:r w:rsidRPr="003A7E73">
        <w:rPr>
          <w:color w:val="014463" w:themeColor="accent2"/>
        </w:rPr>
        <w:continuationSeparator/>
      </w:r>
    </w:p>
  </w:footnote>
  <w:footnote w:type="continuationNotice" w:id="1">
    <w:p w14:paraId="2C976CA5" w14:textId="77777777" w:rsidR="00233122" w:rsidRDefault="00233122">
      <w:pPr>
        <w:spacing w:after="0" w:line="240" w:lineRule="auto"/>
      </w:pPr>
    </w:p>
  </w:footnote>
  <w:footnote w:id="2">
    <w:p w14:paraId="47912526" w14:textId="08604BB3" w:rsidR="004623AA" w:rsidRDefault="004623AA">
      <w:pPr>
        <w:pStyle w:val="FootnoteText"/>
      </w:pPr>
      <w:r>
        <w:rPr>
          <w:rStyle w:val="FootnoteReference"/>
        </w:rPr>
        <w:footnoteRef/>
      </w:r>
      <w:r>
        <w:t xml:space="preserve"> Victoria is excluded from this data as </w:t>
      </w:r>
      <w:r w:rsidR="00AF1A0E">
        <w:t xml:space="preserve">this jurisdiction has not </w:t>
      </w:r>
      <w:r w:rsidR="008C2DCF">
        <w:t>implemen</w:t>
      </w:r>
      <w:r w:rsidR="00AF1A0E">
        <w:t>ted the model WHS laws.</w:t>
      </w:r>
    </w:p>
  </w:footnote>
  <w:footnote w:id="3">
    <w:p w14:paraId="1A0247EC" w14:textId="5163A719" w:rsidR="002E6ED2" w:rsidRDefault="002E6ED2" w:rsidP="002E6ED2">
      <w:pPr>
        <w:pStyle w:val="FootnoteText"/>
      </w:pPr>
      <w:r>
        <w:rPr>
          <w:rStyle w:val="FootnoteReference"/>
        </w:rPr>
        <w:t>p</w:t>
      </w:r>
      <w:r>
        <w:t xml:space="preserve"> denotes data are preliminary and subject to revision in future years as further claims are finalised. Figure 1 includes data from the National Data Set </w:t>
      </w:r>
      <w:r w:rsidR="00D56AE0">
        <w:t xml:space="preserve">(excluding Victoria) </w:t>
      </w:r>
      <w:r>
        <w:t xml:space="preserve">and </w:t>
      </w:r>
      <w:r w:rsidR="00C77FA0">
        <w:t>iCare</w:t>
      </w:r>
      <w:r>
        <w:t xml:space="preserve"> (NSW)</w:t>
      </w:r>
      <w:r w:rsidR="004623AA">
        <w:t>.</w:t>
      </w:r>
    </w:p>
  </w:footnote>
  <w:footnote w:id="4">
    <w:p w14:paraId="1AF5D4C5" w14:textId="1C0AB177" w:rsidR="003C258A" w:rsidRDefault="003C258A">
      <w:pPr>
        <w:pStyle w:val="FootnoteText"/>
      </w:pPr>
      <w:r>
        <w:rPr>
          <w:rStyle w:val="FootnoteReference"/>
        </w:rPr>
        <w:footnoteRef/>
      </w:r>
      <w:r>
        <w:t xml:space="preserve"> Figures 2 </w:t>
      </w:r>
      <w:r w:rsidR="005E64DC">
        <w:t>is</w:t>
      </w:r>
      <w:r>
        <w:t xml:space="preserve"> based on data from the National Data Set</w:t>
      </w:r>
      <w:r w:rsidR="00E75312">
        <w:t xml:space="preserve"> and do</w:t>
      </w:r>
      <w:r w:rsidR="005E64DC">
        <w:t>es</w:t>
      </w:r>
      <w:r w:rsidR="00E75312">
        <w:t xml:space="preserve"> not include data from Victoria or NSW.</w:t>
      </w:r>
    </w:p>
  </w:footnote>
  <w:footnote w:id="5">
    <w:p w14:paraId="0705C1AD" w14:textId="71AF169A" w:rsidR="005E64DC" w:rsidRDefault="005E64DC" w:rsidP="005E64DC">
      <w:pPr>
        <w:pStyle w:val="FootnoteText"/>
      </w:pPr>
      <w:r>
        <w:rPr>
          <w:rStyle w:val="FootnoteReference"/>
        </w:rPr>
        <w:footnoteRef/>
      </w:r>
      <w:r>
        <w:t xml:space="preserve"> Figures 3 is based on data from the National Data Set and does not include data from Victoria or NSW.</w:t>
      </w:r>
    </w:p>
    <w:p w14:paraId="2CDA02A5" w14:textId="02E3CD5D" w:rsidR="005E64DC" w:rsidRDefault="005E64DC">
      <w:pPr>
        <w:pStyle w:val="FootnoteText"/>
      </w:pPr>
    </w:p>
  </w:footnote>
  <w:footnote w:id="6">
    <w:p w14:paraId="3C72D11A" w14:textId="7BA7E701" w:rsidR="00C81E02" w:rsidRDefault="00C81E02" w:rsidP="00C81E02">
      <w:pPr>
        <w:pStyle w:val="FootnoteText"/>
      </w:pPr>
      <w:r>
        <w:rPr>
          <w:rStyle w:val="FootnoteReference"/>
        </w:rPr>
        <w:footnoteRef/>
      </w:r>
      <w:r w:rsidR="00F103FF">
        <w:t xml:space="preserve"> </w:t>
      </w:r>
      <w:r w:rsidRPr="00A5530C">
        <w:t xml:space="preserve">Caesarstone </w:t>
      </w:r>
      <w:r>
        <w:t>submission</w:t>
      </w:r>
      <w:r w:rsidR="000C2CF1">
        <w:t xml:space="preserve">. </w:t>
      </w:r>
    </w:p>
  </w:footnote>
  <w:footnote w:id="7">
    <w:p w14:paraId="1BCC9895" w14:textId="20A230D8" w:rsidR="00C81E02" w:rsidRPr="00C24B46" w:rsidRDefault="00C81E02" w:rsidP="00C81E02">
      <w:pPr>
        <w:pStyle w:val="FootnoteText"/>
      </w:pPr>
      <w:r>
        <w:rPr>
          <w:rStyle w:val="FootnoteReference"/>
        </w:rPr>
        <w:footnoteRef/>
      </w:r>
      <w:r>
        <w:t xml:space="preserve"> </w:t>
      </w:r>
      <w:r w:rsidR="00255D2A">
        <w:t xml:space="preserve">For the purpose of this analysis, </w:t>
      </w:r>
      <w:r w:rsidR="00C24B46">
        <w:t>i</w:t>
      </w:r>
      <w:r>
        <w:t>t has been assumed that no engineered stone PCBUs work with legacy engineered stone</w:t>
      </w:r>
      <w:r w:rsidR="00255D2A">
        <w:t xml:space="preserve">, and no other industry PCBUs </w:t>
      </w:r>
      <w:r w:rsidR="00C24B46">
        <w:t xml:space="preserve">fabricate or install new engineered stone. </w:t>
      </w:r>
    </w:p>
  </w:footnote>
  <w:footnote w:id="8">
    <w:p w14:paraId="11C8D3B1" w14:textId="77777777" w:rsidR="002611CA" w:rsidRDefault="002611CA" w:rsidP="002611CA">
      <w:pPr>
        <w:pStyle w:val="FootnoteText"/>
      </w:pPr>
      <w:r>
        <w:rPr>
          <w:rStyle w:val="FootnoteReference"/>
        </w:rPr>
        <w:footnoteRef/>
      </w:r>
      <w:r>
        <w:t xml:space="preserve"> Reflects rounding of summed numbers</w:t>
      </w:r>
    </w:p>
  </w:footnote>
  <w:footnote w:id="9">
    <w:p w14:paraId="606DD5AF" w14:textId="77777777" w:rsidR="002611CA" w:rsidRDefault="002611CA" w:rsidP="002611CA">
      <w:pPr>
        <w:pStyle w:val="FootnoteText"/>
      </w:pPr>
      <w:r>
        <w:rPr>
          <w:rStyle w:val="FootnoteReference"/>
        </w:rPr>
        <w:footnoteRef/>
      </w:r>
      <w:r>
        <w:t xml:space="preserve"> As above</w:t>
      </w:r>
    </w:p>
  </w:footnote>
  <w:footnote w:id="10">
    <w:p w14:paraId="3FD4B98D" w14:textId="77777777" w:rsidR="002611CA" w:rsidRDefault="002611CA" w:rsidP="002611CA">
      <w:pPr>
        <w:pStyle w:val="FootnoteText"/>
      </w:pPr>
      <w:r>
        <w:rPr>
          <w:rStyle w:val="FootnoteReference"/>
        </w:rPr>
        <w:footnoteRef/>
      </w:r>
      <w:r>
        <w:t xml:space="preserve"> </w:t>
      </w:r>
      <w:r w:rsidRPr="00A60F5F">
        <w:t xml:space="preserve">Based on submissions to the consultation, the average revenue </w:t>
      </w:r>
      <w:r>
        <w:t xml:space="preserve">of an engineered stone fabrication business is </w:t>
      </w:r>
      <w:r w:rsidRPr="00A60F5F">
        <w:t xml:space="preserve">$900,000 </w:t>
      </w:r>
      <w:r>
        <w:t>per annum for</w:t>
      </w:r>
      <w:r w:rsidRPr="00A60F5F">
        <w:t xml:space="preserve"> sole traders and small businesses</w:t>
      </w:r>
      <w:r>
        <w:t xml:space="preserve">; </w:t>
      </w:r>
      <w:r w:rsidRPr="00A60F5F">
        <w:t>and $8.3 million per annum</w:t>
      </w:r>
      <w:r>
        <w:t xml:space="preserve"> for medium sized businesses.</w:t>
      </w:r>
    </w:p>
  </w:footnote>
  <w:footnote w:id="11">
    <w:p w14:paraId="0C2763EB" w14:textId="67C6D977" w:rsidR="00B948E4" w:rsidRDefault="00B948E4">
      <w:pPr>
        <w:pStyle w:val="FootnoteText"/>
      </w:pPr>
      <w:r>
        <w:rPr>
          <w:rStyle w:val="FootnoteReference"/>
        </w:rPr>
        <w:footnoteRef/>
      </w:r>
      <w:r>
        <w:t xml:space="preserve"> Caesarstone consultation submission</w:t>
      </w:r>
    </w:p>
  </w:footnote>
  <w:footnote w:id="12">
    <w:p w14:paraId="5EDF3F6C" w14:textId="77777777" w:rsidR="002611CA" w:rsidRPr="00230700" w:rsidRDefault="002611CA" w:rsidP="002611CA">
      <w:pPr>
        <w:pStyle w:val="FootnoteText"/>
      </w:pPr>
      <w:r w:rsidRPr="00E2393D">
        <w:rPr>
          <w:rStyle w:val="FootnoteReference"/>
        </w:rPr>
        <w:footnoteRef/>
      </w:r>
      <w:r w:rsidRPr="00230700">
        <w:t xml:space="preserve"> Caesarstone submission</w:t>
      </w:r>
    </w:p>
  </w:footnote>
  <w:footnote w:id="13">
    <w:p w14:paraId="1D293AC4" w14:textId="77777777" w:rsidR="00787BEC" w:rsidRPr="00B7408F" w:rsidRDefault="00787BEC" w:rsidP="00961961">
      <w:pPr>
        <w:pStyle w:val="FootnoteText"/>
      </w:pPr>
      <w:r w:rsidRPr="00B61508">
        <w:rPr>
          <w:rStyle w:val="FootnoteReference"/>
          <w:rFonts w:cstheme="minorHAnsi"/>
          <w:sz w:val="18"/>
          <w:szCs w:val="18"/>
        </w:rPr>
        <w:footnoteRef/>
      </w:r>
      <w:r w:rsidRPr="00B61508">
        <w:t xml:space="preserve"> </w:t>
      </w:r>
      <w:r w:rsidRPr="00B7408F">
        <w:t xml:space="preserve">Safe Work Australia has published an interpretive guideline on the meaning of reasonably practicable </w:t>
      </w:r>
      <w:r w:rsidRPr="00B7408F">
        <w:fldChar w:fldCharType="begin"/>
      </w:r>
      <w:r w:rsidRPr="00B7408F">
        <w:instrText xml:space="preserve"> ADDIN ZOTERO_ITEM CSL_CITATION {"citationID":"8JaohWmS","properties":{"formattedCitation":"(Safe Work Australia 2011)","plainCitation":"(Safe Work Australia 2011)","noteIndex":9},"citationItems":[{"id":904,"uris":["http://zotero.org/users/6230888/items/6HRP67Y7"],"itemData":{"id":904,"type":"report","page":"7","title":"Interpretive guideline – Model Work Health and Safety Act - the meaning of reasonably practicable","URL":"https://www.safeworkaustralia.gov.au/doc/interpretive-guideline-model-work-health-and-safety-act-meaning-reasonably-practicable","author":[{"literal":"Safe Work Australia"}],"accessed":{"date-parts":[["2022",6,30]]},"issued":{"date-parts":[["2011"]]}}}],"schema":"https://github.com/citation-style-language/schema/raw/master/csl-citation.json"} </w:instrText>
      </w:r>
      <w:r w:rsidRPr="00B7408F">
        <w:fldChar w:fldCharType="separate"/>
      </w:r>
      <w:r w:rsidRPr="00B7408F">
        <w:rPr>
          <w:rFonts w:ascii="Calibri" w:hAnsi="Calibri" w:cs="Calibri"/>
        </w:rPr>
        <w:t>(Safe Work Australia 2011)</w:t>
      </w:r>
      <w:r w:rsidRPr="00B7408F">
        <w:fldChar w:fldCharType="end"/>
      </w:r>
      <w:r w:rsidRPr="00B7408F">
        <w:t>.</w:t>
      </w:r>
    </w:p>
  </w:footnote>
  <w:footnote w:id="14">
    <w:p w14:paraId="51C036BC" w14:textId="77777777" w:rsidR="00787BEC" w:rsidRPr="00B7408F" w:rsidRDefault="00787BEC" w:rsidP="00961961">
      <w:pPr>
        <w:pStyle w:val="FootnoteText"/>
      </w:pPr>
      <w:r w:rsidRPr="00B7408F">
        <w:rPr>
          <w:vertAlign w:val="superscript"/>
        </w:rPr>
        <w:footnoteRef/>
      </w:r>
      <w:r w:rsidRPr="00B7408F">
        <w:t xml:space="preserve"> model Work Health and Safety Act s17 (WHS Act); model Work Health and Safety Regulations r35 (WHS Regulations).</w:t>
      </w:r>
    </w:p>
  </w:footnote>
  <w:footnote w:id="15">
    <w:p w14:paraId="5600B9B7" w14:textId="0FFF16E4" w:rsidR="00787BEC" w:rsidRPr="00B7408F" w:rsidRDefault="00787BEC" w:rsidP="00961961">
      <w:pPr>
        <w:pStyle w:val="FootnoteText"/>
      </w:pPr>
      <w:r w:rsidRPr="00B7408F">
        <w:rPr>
          <w:vertAlign w:val="superscript"/>
        </w:rPr>
        <w:footnoteRef/>
      </w:r>
      <w:r w:rsidRPr="00B7408F">
        <w:t xml:space="preserve"> model WHS Act s19 and s2</w:t>
      </w:r>
      <w:r w:rsidR="00FE62A3">
        <w:t>0</w:t>
      </w:r>
      <w:r w:rsidRPr="00B7408F">
        <w:t>; model WHS Regulations r39.</w:t>
      </w:r>
    </w:p>
  </w:footnote>
  <w:footnote w:id="16">
    <w:p w14:paraId="74E17F23" w14:textId="77777777" w:rsidR="00787BEC" w:rsidRPr="00B7408F" w:rsidRDefault="00787BEC" w:rsidP="00961961">
      <w:pPr>
        <w:pStyle w:val="FootnoteText"/>
      </w:pPr>
      <w:r w:rsidRPr="00B7408F">
        <w:rPr>
          <w:vertAlign w:val="superscript"/>
        </w:rPr>
        <w:footnoteRef/>
      </w:r>
      <w:r w:rsidRPr="00B7408F">
        <w:t xml:space="preserve"> model WHS Act s47.</w:t>
      </w:r>
    </w:p>
  </w:footnote>
  <w:footnote w:id="17">
    <w:p w14:paraId="09D763DE" w14:textId="77777777" w:rsidR="00787BEC" w:rsidRPr="00B7408F" w:rsidRDefault="00787BEC" w:rsidP="00961961">
      <w:pPr>
        <w:pStyle w:val="FootnoteText"/>
      </w:pPr>
      <w:r w:rsidRPr="00B7408F">
        <w:rPr>
          <w:rStyle w:val="FootnoteReference"/>
          <w:sz w:val="18"/>
          <w:szCs w:val="18"/>
        </w:rPr>
        <w:footnoteRef/>
      </w:r>
      <w:r w:rsidRPr="00B7408F">
        <w:t xml:space="preserve"> model WHS Act s70.</w:t>
      </w:r>
    </w:p>
  </w:footnote>
  <w:footnote w:id="18">
    <w:p w14:paraId="271F02C2" w14:textId="77777777" w:rsidR="00787BEC" w:rsidRPr="00B7408F" w:rsidRDefault="00787BEC" w:rsidP="00961961">
      <w:pPr>
        <w:pStyle w:val="FootnoteText"/>
      </w:pPr>
      <w:r w:rsidRPr="00B7408F">
        <w:rPr>
          <w:vertAlign w:val="superscript"/>
        </w:rPr>
        <w:footnoteRef/>
      </w:r>
      <w:r w:rsidRPr="00B7408F">
        <w:t xml:space="preserve"> model WHS Act s47; model WHS Regulations r299 and r369.</w:t>
      </w:r>
    </w:p>
  </w:footnote>
  <w:footnote w:id="19">
    <w:p w14:paraId="5E90A067" w14:textId="0FD36750" w:rsidR="00FB3C19" w:rsidRDefault="00FB3C19">
      <w:pPr>
        <w:pStyle w:val="FootnoteText"/>
      </w:pPr>
      <w:r>
        <w:rPr>
          <w:rStyle w:val="FootnoteReference"/>
        </w:rPr>
        <w:footnoteRef/>
      </w:r>
      <w:r>
        <w:t xml:space="preserve"> </w:t>
      </w:r>
      <w:r w:rsidR="00806D84">
        <w:t>m</w:t>
      </w:r>
      <w:r w:rsidR="000876C3">
        <w:t>odel WHS Act s16</w:t>
      </w:r>
      <w:r w:rsidR="00FD3FC1">
        <w:t>(3).</w:t>
      </w:r>
    </w:p>
  </w:footnote>
  <w:footnote w:id="20">
    <w:p w14:paraId="6BB98E69" w14:textId="77777777" w:rsidR="00787BEC" w:rsidRPr="00B61508" w:rsidRDefault="00787BEC" w:rsidP="00961961">
      <w:pPr>
        <w:pStyle w:val="FootnoteText"/>
      </w:pPr>
      <w:r w:rsidRPr="00B7408F">
        <w:rPr>
          <w:vertAlign w:val="superscript"/>
        </w:rPr>
        <w:footnoteRef/>
      </w:r>
      <w:r w:rsidRPr="00B7408F">
        <w:t xml:space="preserve"> model WHS Act s46.</w:t>
      </w:r>
    </w:p>
  </w:footnote>
  <w:footnote w:id="21">
    <w:p w14:paraId="47D2F85A" w14:textId="77777777" w:rsidR="00312169" w:rsidRDefault="00312169" w:rsidP="00312169">
      <w:pPr>
        <w:pStyle w:val="FootnoteText"/>
      </w:pPr>
      <w:r>
        <w:rPr>
          <w:rStyle w:val="FootnoteReference"/>
        </w:rPr>
        <w:footnoteRef/>
      </w:r>
      <w:r>
        <w:t xml:space="preserve"> model WHS Act s14.</w:t>
      </w:r>
    </w:p>
  </w:footnote>
  <w:footnote w:id="22">
    <w:p w14:paraId="0B556130" w14:textId="77777777" w:rsidR="004C6F99" w:rsidRDefault="004C6F99" w:rsidP="004C6F99">
      <w:pPr>
        <w:pStyle w:val="FootnoteText"/>
      </w:pPr>
      <w:r>
        <w:rPr>
          <w:rStyle w:val="FootnoteReference"/>
        </w:rPr>
        <w:footnoteRef/>
      </w:r>
      <w:r>
        <w:t xml:space="preserve"> model WHS Regulations r351.</w:t>
      </w:r>
    </w:p>
  </w:footnote>
  <w:footnote w:id="23">
    <w:p w14:paraId="657E2129" w14:textId="77777777" w:rsidR="004C6F99" w:rsidRDefault="004C6F99" w:rsidP="004C6F99">
      <w:pPr>
        <w:pStyle w:val="FootnoteText"/>
      </w:pPr>
      <w:r>
        <w:rPr>
          <w:rStyle w:val="FootnoteReference"/>
        </w:rPr>
        <w:footnoteRef/>
      </w:r>
      <w:r>
        <w:t xml:space="preserve"> model WHS Act s14.</w:t>
      </w:r>
    </w:p>
  </w:footnote>
  <w:footnote w:id="24">
    <w:p w14:paraId="48994C5A" w14:textId="77777777" w:rsidR="00787BEC" w:rsidRPr="00B61508" w:rsidRDefault="00787BEC" w:rsidP="00961961">
      <w:pPr>
        <w:pStyle w:val="FootnoteText"/>
      </w:pPr>
      <w:r w:rsidRPr="00B61508">
        <w:rPr>
          <w:vertAlign w:val="superscript"/>
        </w:rPr>
        <w:footnoteRef/>
      </w:r>
      <w:r w:rsidRPr="00B61508">
        <w:t xml:space="preserve"> model WHS Regulations r49.</w:t>
      </w:r>
    </w:p>
  </w:footnote>
  <w:footnote w:id="25">
    <w:p w14:paraId="3C12FC6D" w14:textId="77777777" w:rsidR="00787BEC" w:rsidRPr="00B61508" w:rsidRDefault="00787BEC" w:rsidP="00961961">
      <w:pPr>
        <w:pStyle w:val="FootnoteText"/>
      </w:pPr>
      <w:r w:rsidRPr="00B61508">
        <w:rPr>
          <w:vertAlign w:val="superscript"/>
        </w:rPr>
        <w:footnoteRef/>
      </w:r>
      <w:r w:rsidRPr="00B61508">
        <w:t xml:space="preserve"> model WHS Regulations r50 and r368.</w:t>
      </w:r>
    </w:p>
  </w:footnote>
  <w:footnote w:id="26">
    <w:p w14:paraId="3F6AB25F" w14:textId="77777777" w:rsidR="00787BEC" w:rsidRPr="00B61508" w:rsidRDefault="00787BEC" w:rsidP="00961961">
      <w:pPr>
        <w:pStyle w:val="FootnoteText"/>
      </w:pPr>
      <w:r w:rsidRPr="00B61508">
        <w:rPr>
          <w:vertAlign w:val="superscript"/>
        </w:rPr>
        <w:footnoteRef/>
      </w:r>
      <w:r w:rsidRPr="00B61508">
        <w:t xml:space="preserve"> model WHS Regulations r378.</w:t>
      </w:r>
    </w:p>
  </w:footnote>
  <w:footnote w:id="27">
    <w:p w14:paraId="7B49B901" w14:textId="77777777" w:rsidR="00787BEC" w:rsidRPr="00B61508" w:rsidRDefault="00787BEC" w:rsidP="00961961">
      <w:pPr>
        <w:pStyle w:val="FootnoteText"/>
      </w:pPr>
      <w:r w:rsidRPr="00B61508">
        <w:rPr>
          <w:vertAlign w:val="superscript"/>
        </w:rPr>
        <w:footnoteRef/>
      </w:r>
      <w:r w:rsidRPr="00B61508">
        <w:t xml:space="preserve"> model WHS Regulations r370.</w:t>
      </w:r>
    </w:p>
  </w:footnote>
  <w:footnote w:id="28">
    <w:p w14:paraId="564B5B0A" w14:textId="77777777" w:rsidR="00787BEC" w:rsidRPr="00B61508" w:rsidRDefault="00787BEC" w:rsidP="00961961">
      <w:pPr>
        <w:pStyle w:val="FootnoteText"/>
      </w:pPr>
      <w:r w:rsidRPr="00B61508">
        <w:rPr>
          <w:vertAlign w:val="superscript"/>
        </w:rPr>
        <w:footnoteRef/>
      </w:r>
      <w:r w:rsidRPr="00B61508">
        <w:t xml:space="preserve"> model WHS Regulations r</w:t>
      </w:r>
      <w:r>
        <w:t>r</w:t>
      </w:r>
      <w:r w:rsidRPr="00B61508">
        <w:t>37</w:t>
      </w:r>
      <w:r>
        <w:t>1, 375, 378</w:t>
      </w:r>
      <w:r w:rsidRPr="00B61508">
        <w:t>.</w:t>
      </w:r>
    </w:p>
  </w:footnote>
  <w:footnote w:id="29">
    <w:p w14:paraId="23F07C41" w14:textId="77777777" w:rsidR="00787BEC" w:rsidRPr="00B61508" w:rsidRDefault="00787BEC" w:rsidP="007C16C4">
      <w:pPr>
        <w:pStyle w:val="FootnoteText"/>
      </w:pPr>
      <w:r w:rsidRPr="00B61508">
        <w:rPr>
          <w:rStyle w:val="FootnoteReference"/>
          <w:rFonts w:cstheme="minorHAnsi"/>
          <w:sz w:val="18"/>
          <w:szCs w:val="18"/>
        </w:rPr>
        <w:footnoteRef/>
      </w:r>
      <w:r w:rsidRPr="00B61508">
        <w:t xml:space="preserve"> model WHS Regulations r370.</w:t>
      </w:r>
    </w:p>
  </w:footnote>
  <w:footnote w:id="30">
    <w:p w14:paraId="5BDB997C" w14:textId="77777777" w:rsidR="00787BEC" w:rsidRPr="00B61508" w:rsidRDefault="00787BEC" w:rsidP="007C16C4">
      <w:pPr>
        <w:pStyle w:val="FootnoteText"/>
      </w:pPr>
      <w:r w:rsidRPr="00B61508">
        <w:rPr>
          <w:vertAlign w:val="superscript"/>
        </w:rPr>
        <w:footnoteRef/>
      </w:r>
      <w:r w:rsidRPr="00B61508">
        <w:t xml:space="preserve"> model WHS Regulations r299</w:t>
      </w:r>
    </w:p>
  </w:footnote>
  <w:footnote w:id="31">
    <w:p w14:paraId="129C1C04" w14:textId="77777777" w:rsidR="00787BEC" w:rsidRPr="00B61508" w:rsidRDefault="00787BEC" w:rsidP="007C16C4">
      <w:pPr>
        <w:pStyle w:val="FootnoteText"/>
      </w:pPr>
      <w:r w:rsidRPr="00B61508">
        <w:rPr>
          <w:vertAlign w:val="superscript"/>
        </w:rPr>
        <w:footnoteRef/>
      </w:r>
      <w:r w:rsidRPr="00B61508">
        <w:rPr>
          <w:vertAlign w:val="superscript"/>
        </w:rPr>
        <w:t xml:space="preserve"> </w:t>
      </w:r>
      <w:r w:rsidRPr="00B61508">
        <w:t>model WHS Regulations r300</w:t>
      </w:r>
    </w:p>
  </w:footnote>
  <w:footnote w:id="32">
    <w:p w14:paraId="5728B87D" w14:textId="77777777" w:rsidR="00A50616" w:rsidRDefault="00A50616" w:rsidP="00A50616">
      <w:pPr>
        <w:pStyle w:val="FootnoteText"/>
      </w:pPr>
      <w:r>
        <w:rPr>
          <w:rStyle w:val="FootnoteReference"/>
        </w:rPr>
        <w:footnoteRef/>
      </w:r>
      <w:r>
        <w:t xml:space="preserve"> model WHS Act ss22-26.</w:t>
      </w:r>
    </w:p>
  </w:footnote>
  <w:footnote w:id="33">
    <w:p w14:paraId="0648672B" w14:textId="2C0B0E32" w:rsidR="00A50616" w:rsidRDefault="00A50616">
      <w:pPr>
        <w:pStyle w:val="FootnoteText"/>
      </w:pPr>
      <w:r>
        <w:rPr>
          <w:rStyle w:val="FootnoteReference"/>
        </w:rPr>
        <w:footnoteRef/>
      </w:r>
      <w:r>
        <w:t xml:space="preserve"> </w:t>
      </w:r>
      <w:r w:rsidR="00BD5C06">
        <w:t>The term ‘adequate information’ is not defined</w:t>
      </w:r>
      <w:r w:rsidR="003309F3">
        <w:t xml:space="preserve"> in the model WHS Act</w:t>
      </w:r>
      <w:r w:rsidR="00BD5C06">
        <w:t xml:space="preserve">. </w:t>
      </w:r>
      <w:r w:rsidR="00237EC3">
        <w:t>A number of suppliers provide a safety data sheet</w:t>
      </w:r>
      <w:r w:rsidR="008A2049">
        <w:t xml:space="preserve"> </w:t>
      </w:r>
      <w:r w:rsidR="004D2C96">
        <w:t xml:space="preserve">(SDS) </w:t>
      </w:r>
      <w:r w:rsidR="008A2049">
        <w:t>with their engineered stone products</w:t>
      </w:r>
      <w:r w:rsidR="00FD1BCF">
        <w:t>. A</w:t>
      </w:r>
      <w:r w:rsidR="004D2C96">
        <w:t>n</w:t>
      </w:r>
      <w:r w:rsidR="003309F3">
        <w:t xml:space="preserve"> importer or manufacturer</w:t>
      </w:r>
      <w:r w:rsidR="00270117">
        <w:t xml:space="preserve"> must</w:t>
      </w:r>
      <w:r w:rsidR="00A15CA5">
        <w:t xml:space="preserve"> </w:t>
      </w:r>
      <w:r w:rsidR="00A91358">
        <w:t xml:space="preserve">prepare </w:t>
      </w:r>
      <w:r w:rsidR="00270117">
        <w:t xml:space="preserve">an SDS for </w:t>
      </w:r>
      <w:r w:rsidR="00A91358">
        <w:t>a</w:t>
      </w:r>
      <w:r w:rsidR="00A15CA5">
        <w:t xml:space="preserve"> </w:t>
      </w:r>
      <w:r w:rsidR="00AC439B">
        <w:t>‘hazardous chemical’</w:t>
      </w:r>
      <w:r w:rsidR="0012657E">
        <w:t xml:space="preserve"> </w:t>
      </w:r>
      <w:r w:rsidR="009F2211">
        <w:t>in accordance with reg 330. However</w:t>
      </w:r>
      <w:r w:rsidR="00A51957">
        <w:t xml:space="preserve">, </w:t>
      </w:r>
      <w:r w:rsidR="00270117">
        <w:t xml:space="preserve">in </w:t>
      </w:r>
      <w:r w:rsidR="00A51957">
        <w:t xml:space="preserve">a number of </w:t>
      </w:r>
      <w:r w:rsidR="00084D16">
        <w:t xml:space="preserve">cases, </w:t>
      </w:r>
      <w:r w:rsidR="00A20344">
        <w:t>the SDS</w:t>
      </w:r>
      <w:r w:rsidR="00270117">
        <w:t xml:space="preserve"> provided</w:t>
      </w:r>
      <w:r w:rsidR="00A20344">
        <w:t xml:space="preserve"> </w:t>
      </w:r>
      <w:r w:rsidR="00084D16">
        <w:t xml:space="preserve">states </w:t>
      </w:r>
      <w:r w:rsidR="00A20344">
        <w:t xml:space="preserve">that the engineered stone product is classified as </w:t>
      </w:r>
      <w:r w:rsidR="00206ECF">
        <w:t xml:space="preserve">not </w:t>
      </w:r>
      <w:r w:rsidR="00A20344">
        <w:t>hazardous</w:t>
      </w:r>
      <w:r w:rsidR="005273DB">
        <w:t xml:space="preserve"> </w:t>
      </w:r>
      <w:r w:rsidR="00206ECF">
        <w:t>but</w:t>
      </w:r>
      <w:r w:rsidR="005273DB">
        <w:t xml:space="preserve"> notes </w:t>
      </w:r>
      <w:r w:rsidR="00810840">
        <w:t xml:space="preserve">that the product when cut or machined may produce </w:t>
      </w:r>
      <w:r w:rsidR="00B1732F">
        <w:t>crystalline silica</w:t>
      </w:r>
      <w:r w:rsidR="00A20344">
        <w:t>.</w:t>
      </w:r>
      <w:r w:rsidR="00814C65">
        <w:t xml:space="preserve"> </w:t>
      </w:r>
      <w:r w:rsidR="00AD07DF">
        <w:t>In other cases, the</w:t>
      </w:r>
      <w:r w:rsidR="00814C65">
        <w:t xml:space="preserve"> SDS </w:t>
      </w:r>
      <w:r w:rsidR="00AD07DF">
        <w:t xml:space="preserve">identifies the </w:t>
      </w:r>
      <w:r w:rsidR="000D2495">
        <w:t>risks from R</w:t>
      </w:r>
      <w:r w:rsidR="00EF0BB2">
        <w:t>CS</w:t>
      </w:r>
      <w:r w:rsidR="002A09BA">
        <w:t xml:space="preserve"> generated when the product is cut, grinded or machined</w:t>
      </w:r>
      <w:r w:rsidR="00A20344">
        <w:t>.</w:t>
      </w:r>
    </w:p>
  </w:footnote>
  <w:footnote w:id="34">
    <w:p w14:paraId="09EB837F" w14:textId="77777777" w:rsidR="00787BEC" w:rsidRPr="007C16C4" w:rsidRDefault="00787BEC" w:rsidP="007C16C4">
      <w:pPr>
        <w:pStyle w:val="FootnoteText"/>
      </w:pPr>
      <w:r w:rsidRPr="007C16C4">
        <w:rPr>
          <w:rStyle w:val="FootnoteReference"/>
        </w:rPr>
        <w:footnoteRef/>
      </w:r>
      <w:r w:rsidRPr="007C16C4">
        <w:t xml:space="preserve"> model WHS Act s28</w:t>
      </w:r>
    </w:p>
  </w:footnote>
  <w:footnote w:id="35">
    <w:p w14:paraId="2B2061E6" w14:textId="77777777" w:rsidR="00787BEC" w:rsidRPr="00B61508" w:rsidRDefault="00787BEC" w:rsidP="007C16C4">
      <w:pPr>
        <w:pStyle w:val="FootnoteText"/>
      </w:pPr>
      <w:r w:rsidRPr="007C16C4">
        <w:rPr>
          <w:rStyle w:val="FootnoteReference"/>
        </w:rPr>
        <w:footnoteRef/>
      </w:r>
      <w:r w:rsidRPr="007C16C4">
        <w:rPr>
          <w:vertAlign w:val="superscript"/>
        </w:rPr>
        <w:t xml:space="preserve"> </w:t>
      </w:r>
      <w:r w:rsidRPr="007C16C4">
        <w:t>model WHS Act s28</w:t>
      </w:r>
    </w:p>
  </w:footnote>
  <w:footnote w:id="36">
    <w:p w14:paraId="14588854" w14:textId="77777777" w:rsidR="00787BEC" w:rsidRPr="007C16C4" w:rsidRDefault="00787BEC" w:rsidP="007C16C4">
      <w:pPr>
        <w:pStyle w:val="FootnoteText"/>
      </w:pPr>
      <w:r w:rsidRPr="007C16C4">
        <w:rPr>
          <w:rStyle w:val="FootnoteReference"/>
        </w:rPr>
        <w:footnoteRef/>
      </w:r>
      <w:r w:rsidRPr="007C16C4">
        <w:rPr>
          <w:vertAlign w:val="superscript"/>
        </w:rPr>
        <w:t xml:space="preserve"> </w:t>
      </w:r>
      <w:r w:rsidRPr="007C16C4">
        <w:t>model WHS Act s27</w:t>
      </w:r>
    </w:p>
  </w:footnote>
  <w:footnote w:id="37">
    <w:p w14:paraId="2372B4D7" w14:textId="77777777" w:rsidR="00787BEC" w:rsidRPr="00B61508" w:rsidRDefault="00787BEC" w:rsidP="007C16C4">
      <w:pPr>
        <w:pStyle w:val="FootnoteText"/>
      </w:pPr>
      <w:r w:rsidRPr="007C16C4">
        <w:rPr>
          <w:rStyle w:val="FootnoteReference"/>
        </w:rPr>
        <w:footnoteRef/>
      </w:r>
      <w:r w:rsidRPr="007C16C4">
        <w:t xml:space="preserve"> model WHS Act s29</w:t>
      </w:r>
    </w:p>
  </w:footnote>
  <w:footnote w:id="38">
    <w:p w14:paraId="66F49136" w14:textId="77777777" w:rsidR="00425098" w:rsidRPr="00230700" w:rsidRDefault="00425098" w:rsidP="00425098">
      <w:pPr>
        <w:pStyle w:val="FootnoteText"/>
      </w:pPr>
      <w:r w:rsidRPr="00BA1520">
        <w:rPr>
          <w:rStyle w:val="FootnoteReference"/>
        </w:rPr>
        <w:footnoteRef/>
      </w:r>
      <w:r w:rsidRPr="00230700">
        <w:t xml:space="preserve"> Caesarstone and Smartstone submissions</w:t>
      </w:r>
    </w:p>
  </w:footnote>
  <w:footnote w:id="39">
    <w:p w14:paraId="4F73A965" w14:textId="77777777" w:rsidR="00425098" w:rsidRPr="00230700" w:rsidRDefault="00425098" w:rsidP="00425098">
      <w:pPr>
        <w:pStyle w:val="FootnoteText"/>
      </w:pPr>
      <w:r w:rsidRPr="00BA1520">
        <w:rPr>
          <w:rStyle w:val="FootnoteReference"/>
        </w:rPr>
        <w:footnoteRef/>
      </w:r>
      <w:r w:rsidRPr="00230700">
        <w:t xml:space="preserve"> Caesarstone submission</w:t>
      </w:r>
    </w:p>
  </w:footnote>
  <w:footnote w:id="40">
    <w:p w14:paraId="23366D4C" w14:textId="77777777" w:rsidR="00425098" w:rsidRPr="00230700" w:rsidRDefault="00425098" w:rsidP="00425098">
      <w:pPr>
        <w:pStyle w:val="FootnoteText"/>
      </w:pPr>
      <w:r w:rsidRPr="00BA1520">
        <w:rPr>
          <w:rStyle w:val="FootnoteReference"/>
        </w:rPr>
        <w:footnoteRef/>
      </w:r>
      <w:r w:rsidRPr="00230700">
        <w:t xml:space="preserve"> HIA submission</w:t>
      </w:r>
    </w:p>
  </w:footnote>
  <w:footnote w:id="41">
    <w:p w14:paraId="7A0BBBC5" w14:textId="3D05C67F" w:rsidR="00425098" w:rsidRPr="00230700" w:rsidRDefault="00425098" w:rsidP="00425098">
      <w:pPr>
        <w:pStyle w:val="FootnoteText"/>
      </w:pPr>
      <w:r w:rsidRPr="00BA1520">
        <w:rPr>
          <w:rStyle w:val="FootnoteReference"/>
        </w:rPr>
        <w:footnoteRef/>
      </w:r>
      <w:r w:rsidRPr="00230700">
        <w:t xml:space="preserve"> Caesarstone </w:t>
      </w:r>
      <w:r w:rsidR="00D259B8">
        <w:t xml:space="preserve">and HIA </w:t>
      </w:r>
      <w:r w:rsidRPr="00230700">
        <w:t>submission</w:t>
      </w:r>
      <w:r w:rsidR="00D259B8">
        <w:t>s</w:t>
      </w:r>
    </w:p>
  </w:footnote>
  <w:footnote w:id="42">
    <w:p w14:paraId="2F2F797E" w14:textId="77777777" w:rsidR="00425098" w:rsidRPr="00230700" w:rsidRDefault="00425098" w:rsidP="00425098">
      <w:pPr>
        <w:pStyle w:val="FootnoteText"/>
      </w:pPr>
      <w:r w:rsidRPr="00E33DCF">
        <w:rPr>
          <w:rStyle w:val="FootnoteReference"/>
        </w:rPr>
        <w:footnoteRef/>
      </w:r>
      <w:r w:rsidRPr="00230700">
        <w:t xml:space="preserve"> Caesarstone and Smartstone submissions</w:t>
      </w:r>
    </w:p>
  </w:footnote>
  <w:footnote w:id="43">
    <w:p w14:paraId="4B54933D" w14:textId="77777777" w:rsidR="00425098" w:rsidRPr="00153FAB" w:rsidRDefault="00425098" w:rsidP="00425098">
      <w:pPr>
        <w:pStyle w:val="FootnoteText"/>
      </w:pPr>
      <w:r w:rsidRPr="00A03F40">
        <w:rPr>
          <w:rStyle w:val="FootnoteReference"/>
        </w:rPr>
        <w:footnoteRef/>
      </w:r>
      <w:r w:rsidRPr="00A03F40">
        <w:t xml:space="preserve"> Caesarstone and Smartstone submissions</w:t>
      </w:r>
    </w:p>
  </w:footnote>
  <w:footnote w:id="44">
    <w:p w14:paraId="06A17B68" w14:textId="77777777" w:rsidR="00425098" w:rsidRPr="00322F29" w:rsidRDefault="00425098" w:rsidP="00425098">
      <w:pPr>
        <w:pStyle w:val="FootnoteText"/>
      </w:pPr>
      <w:r w:rsidRPr="00322F29">
        <w:rPr>
          <w:rStyle w:val="FootnoteReference"/>
        </w:rPr>
        <w:footnoteRef/>
      </w:r>
      <w:r w:rsidRPr="00322F29">
        <w:t xml:space="preserve"> Smartstone submission</w:t>
      </w:r>
    </w:p>
  </w:footnote>
  <w:footnote w:id="45">
    <w:p w14:paraId="7C07FC00" w14:textId="31AC276E" w:rsidR="00425098" w:rsidRPr="00322F29" w:rsidRDefault="00425098" w:rsidP="00425098">
      <w:pPr>
        <w:pStyle w:val="FootnoteText"/>
      </w:pPr>
      <w:r w:rsidRPr="00322F29">
        <w:rPr>
          <w:rStyle w:val="FootnoteReference"/>
        </w:rPr>
        <w:footnoteRef/>
      </w:r>
      <w:r w:rsidRPr="00322F29">
        <w:t xml:space="preserve"> These groupings are a simplifying assumption. Some proportion of </w:t>
      </w:r>
      <w:r>
        <w:t>engineered stone</w:t>
      </w:r>
      <w:r w:rsidRPr="00322F29">
        <w:t xml:space="preserve"> PCBUs will undertake </w:t>
      </w:r>
      <w:r w:rsidRPr="00E04ABD">
        <w:t>engineered stone</w:t>
      </w:r>
      <w:r w:rsidRPr="00322F29">
        <w:t xml:space="preserve"> repairs and some other industry PCBUs will also undertake installation of new </w:t>
      </w:r>
      <w:r w:rsidRPr="00EF4236">
        <w:t>engineered stone</w:t>
      </w:r>
      <w:r w:rsidRPr="00322F29">
        <w:t xml:space="preserve">. </w:t>
      </w:r>
    </w:p>
  </w:footnote>
  <w:footnote w:id="46">
    <w:p w14:paraId="595B872E" w14:textId="77777777" w:rsidR="00425098" w:rsidRPr="00322F29" w:rsidRDefault="00425098" w:rsidP="00425098">
      <w:pPr>
        <w:pStyle w:val="FootnoteText"/>
      </w:pPr>
      <w:r w:rsidRPr="00322F29">
        <w:rPr>
          <w:rStyle w:val="FootnoteReference"/>
        </w:rPr>
        <w:footnoteRef/>
      </w:r>
      <w:r w:rsidRPr="00322F29">
        <w:t xml:space="preserve"> Caesarstone submission</w:t>
      </w:r>
    </w:p>
  </w:footnote>
  <w:footnote w:id="47">
    <w:p w14:paraId="275DE13B" w14:textId="77777777" w:rsidR="00425098" w:rsidRPr="0069620F" w:rsidRDefault="00425098" w:rsidP="00425098">
      <w:pPr>
        <w:pStyle w:val="FootnoteText"/>
      </w:pPr>
      <w:r w:rsidRPr="0069620F">
        <w:rPr>
          <w:rStyle w:val="FootnoteReference"/>
        </w:rPr>
        <w:footnoteRef/>
      </w:r>
      <w:r w:rsidRPr="0069620F">
        <w:t xml:space="preserve"> ibid</w:t>
      </w:r>
    </w:p>
  </w:footnote>
  <w:footnote w:id="48">
    <w:p w14:paraId="57964F07" w14:textId="77777777" w:rsidR="00425098" w:rsidRDefault="00425098" w:rsidP="00425098">
      <w:pPr>
        <w:pStyle w:val="FootnoteText"/>
      </w:pPr>
      <w:r w:rsidRPr="0069620F">
        <w:rPr>
          <w:rStyle w:val="FootnoteReference"/>
        </w:rPr>
        <w:footnoteRef/>
      </w:r>
      <w:r w:rsidRPr="0069620F">
        <w:t xml:space="preserve"> ibid</w:t>
      </w:r>
    </w:p>
  </w:footnote>
  <w:footnote w:id="49">
    <w:p w14:paraId="3C629B08" w14:textId="3459B78A" w:rsidR="00425098" w:rsidRPr="000F5BB6" w:rsidRDefault="00425098" w:rsidP="00425098">
      <w:pPr>
        <w:pStyle w:val="FootnoteText"/>
      </w:pPr>
      <w:r w:rsidRPr="000F5BB6">
        <w:rPr>
          <w:rStyle w:val="FootnoteReference"/>
        </w:rPr>
        <w:footnoteRef/>
      </w:r>
      <w:r w:rsidRPr="000F5BB6">
        <w:t xml:space="preserve"> Caesarstone </w:t>
      </w:r>
      <w:r w:rsidR="007225C9">
        <w:t xml:space="preserve">submission </w:t>
      </w:r>
      <w:r w:rsidRPr="000F5BB6">
        <w:t xml:space="preserve">mentions 1,000 </w:t>
      </w:r>
      <w:r>
        <w:t>engineered stone PCBUs</w:t>
      </w:r>
      <w:r w:rsidRPr="000F5BB6">
        <w:t>.</w:t>
      </w:r>
    </w:p>
  </w:footnote>
  <w:footnote w:id="50">
    <w:p w14:paraId="2DE2536E" w14:textId="77777777" w:rsidR="00425098" w:rsidRDefault="00425098" w:rsidP="00425098">
      <w:pPr>
        <w:pStyle w:val="FootnoteText"/>
      </w:pPr>
      <w:r w:rsidRPr="00226B32">
        <w:rPr>
          <w:rStyle w:val="FootnoteReference"/>
        </w:rPr>
        <w:footnoteRef/>
      </w:r>
      <w:r w:rsidRPr="00226B32">
        <w:t xml:space="preserve"> Submissions from individual respondents to the </w:t>
      </w:r>
      <w:r w:rsidRPr="00FD7D71">
        <w:t xml:space="preserve">consultation </w:t>
      </w:r>
      <w:r>
        <w:t>to inform</w:t>
      </w:r>
      <w:r w:rsidRPr="00FD7D71">
        <w:t xml:space="preserve"> the Prohibition D</w:t>
      </w:r>
      <w:r>
        <w:t xml:space="preserve">ecision </w:t>
      </w:r>
      <w:r w:rsidRPr="00FD7D71">
        <w:t>RIS</w:t>
      </w:r>
      <w:r w:rsidRPr="00226B32">
        <w:t>; SafeWork NSW and Worksafe Victoria submissions</w:t>
      </w:r>
    </w:p>
  </w:footnote>
  <w:footnote w:id="51">
    <w:p w14:paraId="5EA76E6A" w14:textId="77777777" w:rsidR="00425098" w:rsidRPr="00061A33" w:rsidRDefault="00425098" w:rsidP="00425098">
      <w:pPr>
        <w:pStyle w:val="FootnoteText"/>
        <w:rPr>
          <w:vertAlign w:val="superscript"/>
        </w:rPr>
      </w:pPr>
      <w:r w:rsidRPr="00061A33">
        <w:rPr>
          <w:rStyle w:val="FootnoteReference"/>
        </w:rPr>
        <w:footnoteRef/>
      </w:r>
      <w:r>
        <w:t xml:space="preserve"> </w:t>
      </w:r>
      <w:r w:rsidRPr="00230700">
        <w:t>Caesarstone submission</w:t>
      </w:r>
    </w:p>
  </w:footnote>
  <w:footnote w:id="52">
    <w:p w14:paraId="5843AEF9" w14:textId="7AA93694" w:rsidR="00425098" w:rsidRDefault="00425098" w:rsidP="00425098">
      <w:pPr>
        <w:pStyle w:val="FootnoteText"/>
      </w:pPr>
      <w:r>
        <w:rPr>
          <w:rStyle w:val="FootnoteReference"/>
        </w:rPr>
        <w:footnoteRef/>
      </w:r>
      <w:r>
        <w:t xml:space="preserve"> </w:t>
      </w:r>
      <w:r w:rsidRPr="00D55756">
        <w:t>Smartstone submission</w:t>
      </w:r>
    </w:p>
  </w:footnote>
  <w:footnote w:id="53">
    <w:p w14:paraId="379C77D3" w14:textId="77777777" w:rsidR="00425098" w:rsidRDefault="00425098" w:rsidP="00425098">
      <w:pPr>
        <w:pStyle w:val="FootnoteText"/>
      </w:pPr>
      <w:r>
        <w:rPr>
          <w:rStyle w:val="FootnoteReference"/>
        </w:rPr>
        <w:footnoteRef/>
      </w:r>
      <w:r>
        <w:t xml:space="preserve"> </w:t>
      </w:r>
      <w:r w:rsidRPr="00D55756">
        <w:t>Caesarstone submission</w:t>
      </w:r>
    </w:p>
  </w:footnote>
  <w:footnote w:id="54">
    <w:p w14:paraId="09C62638" w14:textId="77777777" w:rsidR="00425098" w:rsidRDefault="00425098" w:rsidP="00425098">
      <w:pPr>
        <w:pStyle w:val="FootnoteText"/>
      </w:pPr>
      <w:r>
        <w:rPr>
          <w:rStyle w:val="FootnoteReference"/>
        </w:rPr>
        <w:footnoteRef/>
      </w:r>
      <w:r>
        <w:t xml:space="preserve"> </w:t>
      </w:r>
      <w:r w:rsidRPr="00D55756">
        <w:t>ACCI submission</w:t>
      </w:r>
    </w:p>
  </w:footnote>
  <w:footnote w:id="55">
    <w:p w14:paraId="6285AA9C" w14:textId="77777777" w:rsidR="00425098" w:rsidRPr="00490D64" w:rsidRDefault="00425098" w:rsidP="00425098">
      <w:pPr>
        <w:pStyle w:val="FootnoteText"/>
      </w:pPr>
      <w:r w:rsidRPr="00490D64">
        <w:rPr>
          <w:rStyle w:val="FootnoteReference"/>
        </w:rPr>
        <w:footnoteRef/>
      </w:r>
      <w:r w:rsidRPr="00490D64">
        <w:rPr>
          <w:rStyle w:val="FootnoteReference"/>
        </w:rPr>
        <w:t xml:space="preserve"> </w:t>
      </w:r>
      <w:r w:rsidRPr="00490D64">
        <w:t>Caesarstone submission: within the benchtop market, engineered stone represents about 55% of the Australia market by volume and 63% by value, followed by laminate at 29% and 18% respectively, and granite at ~4-5%.</w:t>
      </w:r>
    </w:p>
  </w:footnote>
  <w:footnote w:id="56">
    <w:p w14:paraId="3CEEFBFD" w14:textId="117C8EC9" w:rsidR="00425098" w:rsidRPr="006738CC" w:rsidRDefault="00425098" w:rsidP="00425098">
      <w:pPr>
        <w:shd w:val="clear" w:color="auto" w:fill="FFFFFF" w:themeFill="background1"/>
        <w:spacing w:after="0" w:line="240" w:lineRule="auto"/>
        <w:rPr>
          <w:rStyle w:val="FootnoteTextChar"/>
        </w:rPr>
      </w:pPr>
      <w:r w:rsidRPr="00490D64">
        <w:rPr>
          <w:rStyle w:val="FootnoteReference"/>
          <w:rFonts w:cstheme="minorHAnsi"/>
          <w:sz w:val="18"/>
          <w:szCs w:val="18"/>
        </w:rPr>
        <w:footnoteRef/>
      </w:r>
      <w:r w:rsidRPr="00490D64">
        <w:rPr>
          <w:rFonts w:cstheme="minorHAnsi"/>
          <w:sz w:val="18"/>
          <w:szCs w:val="18"/>
        </w:rPr>
        <w:t xml:space="preserve"> </w:t>
      </w:r>
      <w:r w:rsidRPr="006738CC">
        <w:rPr>
          <w:rStyle w:val="FootnoteTextChar"/>
        </w:rPr>
        <w:t xml:space="preserve">As noted by Ai Group in its submission, if a business is predominantly operating as an engineered stone PCBU, it is unlikely to turn to wood as an alternative and would be more likely to continue to operate with natural stone. It is most likely that other businesses would be pick up the additional demand for alternative products. Similarly, Caesarstone considered that the prohibition of engineered stone would lead to significant business closures as consumers moved to alternatives such as laminate. However, </w:t>
      </w:r>
      <w:r w:rsidR="00614BBD">
        <w:rPr>
          <w:rStyle w:val="FootnoteTextChar"/>
        </w:rPr>
        <w:t>consultation submissions indicated</w:t>
      </w:r>
      <w:r w:rsidR="00125C15">
        <w:rPr>
          <w:rStyle w:val="FootnoteTextChar"/>
        </w:rPr>
        <w:t xml:space="preserve"> </w:t>
      </w:r>
      <w:r w:rsidRPr="006738CC">
        <w:rPr>
          <w:rStyle w:val="FootnoteTextChar"/>
        </w:rPr>
        <w:t xml:space="preserve">some engineered stone PCBUs also manufacture and install </w:t>
      </w:r>
      <w:r w:rsidR="00614BBD">
        <w:rPr>
          <w:rStyle w:val="FootnoteTextChar"/>
        </w:rPr>
        <w:t>types of</w:t>
      </w:r>
      <w:r w:rsidRPr="006738CC">
        <w:rPr>
          <w:rStyle w:val="FootnoteTextChar"/>
        </w:rPr>
        <w:t xml:space="preserve"> benchtop</w:t>
      </w:r>
      <w:r w:rsidR="00614BBD">
        <w:rPr>
          <w:rStyle w:val="FootnoteTextChar"/>
        </w:rPr>
        <w:t xml:space="preserve"> such as laminate</w:t>
      </w:r>
      <w:r w:rsidRPr="006738CC">
        <w:rPr>
          <w:rStyle w:val="FootnoteTextChar"/>
        </w:rPr>
        <w:t xml:space="preserve">. </w:t>
      </w:r>
    </w:p>
  </w:footnote>
  <w:footnote w:id="57">
    <w:p w14:paraId="0EB5A17F" w14:textId="77777777" w:rsidR="00425098" w:rsidRPr="00EC47CB" w:rsidRDefault="00425098" w:rsidP="00425098">
      <w:pPr>
        <w:pStyle w:val="FootnoteText"/>
      </w:pPr>
      <w:r w:rsidRPr="00EC47CB">
        <w:rPr>
          <w:rStyle w:val="FootnoteReference"/>
        </w:rPr>
        <w:footnoteRef/>
      </w:r>
      <w:r w:rsidRPr="00EC47CB">
        <w:t xml:space="preserve"> HIA submission</w:t>
      </w:r>
    </w:p>
  </w:footnote>
  <w:footnote w:id="58">
    <w:p w14:paraId="690150BD" w14:textId="77777777" w:rsidR="00425098" w:rsidRDefault="00425098" w:rsidP="00425098">
      <w:pPr>
        <w:pStyle w:val="FootnoteText"/>
      </w:pPr>
      <w:r>
        <w:rPr>
          <w:rStyle w:val="FootnoteReference"/>
        </w:rPr>
        <w:footnoteRef/>
      </w:r>
      <w:r>
        <w:t xml:space="preserve"> Submissions from engineered stone suppliers indicate that sufficient lower silica stock will be available by mid-2024</w:t>
      </w:r>
      <w:r w:rsidRPr="004C7FD2">
        <w:t>.</w:t>
      </w:r>
    </w:p>
  </w:footnote>
  <w:footnote w:id="59">
    <w:p w14:paraId="72834710" w14:textId="77777777" w:rsidR="00425098" w:rsidRPr="005A55EC" w:rsidRDefault="00425098" w:rsidP="00425098">
      <w:pPr>
        <w:pStyle w:val="FootnoteText"/>
      </w:pPr>
      <w:r>
        <w:rPr>
          <w:rStyle w:val="FootnoteReference"/>
        </w:rPr>
        <w:footnoteRef/>
      </w:r>
      <w:r>
        <w:t xml:space="preserve"> In its submission, </w:t>
      </w:r>
      <w:r w:rsidRPr="005A55EC">
        <w:t xml:space="preserve">Smartstone </w:t>
      </w:r>
      <w:r>
        <w:t>noted that it has</w:t>
      </w:r>
      <w:r w:rsidRPr="005A55EC">
        <w:t xml:space="preserve"> already observed an increase in the level of </w:t>
      </w:r>
      <w:r>
        <w:t>e</w:t>
      </w:r>
      <w:r w:rsidRPr="005A55EC">
        <w:t xml:space="preserve">nquiries from </w:t>
      </w:r>
      <w:r>
        <w:t>engineered stone PCBUs</w:t>
      </w:r>
      <w:r w:rsidRPr="005A55EC">
        <w:t xml:space="preserve"> and home builders </w:t>
      </w:r>
      <w:r>
        <w:t>regarding their</w:t>
      </w:r>
      <w:r w:rsidRPr="005A55EC">
        <w:t xml:space="preserve"> low</w:t>
      </w:r>
      <w:r>
        <w:t xml:space="preserve">er </w:t>
      </w:r>
      <w:r w:rsidRPr="005A55EC">
        <w:t>silica range.</w:t>
      </w:r>
    </w:p>
  </w:footnote>
  <w:footnote w:id="60">
    <w:p w14:paraId="02D1E009" w14:textId="51A7797B" w:rsidR="00425098" w:rsidRDefault="00425098" w:rsidP="00425098">
      <w:pPr>
        <w:pStyle w:val="FootnoteText"/>
      </w:pPr>
      <w:r>
        <w:rPr>
          <w:rStyle w:val="FootnoteReference"/>
        </w:rPr>
        <w:footnoteRef/>
      </w:r>
      <w:r>
        <w:t xml:space="preserve"> </w:t>
      </w:r>
      <w:r w:rsidRPr="006B68DC">
        <w:t xml:space="preserve">These populations have been estimated </w:t>
      </w:r>
      <w:r>
        <w:t xml:space="preserve">based on </w:t>
      </w:r>
      <w:r w:rsidRPr="00CB5887">
        <w:t xml:space="preserve">Section </w:t>
      </w:r>
      <w:r w:rsidR="00CB5887" w:rsidRPr="00CB5887">
        <w:t>B</w:t>
      </w:r>
      <w:r w:rsidRPr="00CB5887">
        <w:t>.7</w:t>
      </w:r>
      <w:r>
        <w:t xml:space="preserve"> Assigning industry population to decision. Percentages </w:t>
      </w:r>
      <w:r w:rsidR="00CB5887">
        <w:t xml:space="preserve">of businesses likely </w:t>
      </w:r>
      <w:r>
        <w:t xml:space="preserve">to </w:t>
      </w:r>
      <w:r w:rsidR="00CB5887">
        <w:t>follow each</w:t>
      </w:r>
      <w:r>
        <w:t xml:space="preserve"> decision paths available to engineered stone PCBUs and other industry PCBUs, under each prohibition option, were applied to the populations </w:t>
      </w:r>
      <w:r w:rsidR="00CB5887">
        <w:t>described</w:t>
      </w:r>
      <w:r>
        <w:t xml:space="preserve"> in Section</w:t>
      </w:r>
      <w:r w:rsidR="00CB5887">
        <w:t>s</w:t>
      </w:r>
      <w:r>
        <w:t xml:space="preserve"> </w:t>
      </w:r>
      <w:r w:rsidR="00CB5887">
        <w:t>B</w:t>
      </w:r>
      <w:r>
        <w:t xml:space="preserve">.3 and </w:t>
      </w:r>
      <w:r w:rsidR="00CB5887">
        <w:t>B</w:t>
      </w:r>
      <w:r>
        <w:t>.4.</w:t>
      </w:r>
    </w:p>
  </w:footnote>
  <w:footnote w:id="61">
    <w:p w14:paraId="488C7690" w14:textId="77777777" w:rsidR="00425098" w:rsidRPr="00A922F8" w:rsidRDefault="00425098" w:rsidP="00425098">
      <w:pPr>
        <w:pStyle w:val="FootnoteText"/>
      </w:pPr>
      <w:r w:rsidRPr="00A922F8">
        <w:rPr>
          <w:rStyle w:val="FootnoteReference"/>
        </w:rPr>
        <w:footnoteRef/>
      </w:r>
      <w:r w:rsidRPr="00A922F8">
        <w:t xml:space="preserve"> </w:t>
      </w:r>
      <w:r>
        <w:t xml:space="preserve">Silica </w:t>
      </w:r>
      <w:r w:rsidRPr="00286F0A">
        <w:t>D</w:t>
      </w:r>
      <w:r>
        <w:t xml:space="preserve">ecision </w:t>
      </w:r>
      <w:r w:rsidRPr="00286F0A">
        <w:t>RI</w:t>
      </w:r>
      <w:r>
        <w:t>S</w:t>
      </w:r>
      <w:r w:rsidRPr="00286F0A">
        <w:t xml:space="preserve"> assumption</w:t>
      </w:r>
    </w:p>
  </w:footnote>
  <w:footnote w:id="62">
    <w:p w14:paraId="4FAD3C1E" w14:textId="77777777" w:rsidR="00425098" w:rsidRDefault="00425098" w:rsidP="00425098">
      <w:pPr>
        <w:pStyle w:val="FootnoteText"/>
      </w:pPr>
      <w:r w:rsidRPr="00A922F8">
        <w:rPr>
          <w:rStyle w:val="FootnoteReference"/>
        </w:rPr>
        <w:footnoteRef/>
      </w:r>
      <w:r w:rsidRPr="00A922F8">
        <w:t xml:space="preserve"> </w:t>
      </w:r>
      <w:r w:rsidRPr="009476FC">
        <w:t>Model assumption – expected 50% savings in preparation costs compared to first licence application</w:t>
      </w:r>
    </w:p>
  </w:footnote>
  <w:footnote w:id="63">
    <w:p w14:paraId="43E83885" w14:textId="138F2E0C" w:rsidR="00425098" w:rsidRDefault="00425098" w:rsidP="00425098">
      <w:pPr>
        <w:pStyle w:val="FootnoteText"/>
      </w:pPr>
      <w:r>
        <w:rPr>
          <w:rStyle w:val="FootnoteReference"/>
        </w:rPr>
        <w:footnoteRef/>
      </w:r>
      <w:r w:rsidRPr="006B68DC">
        <w:t xml:space="preserve">These populations have been estimated </w:t>
      </w:r>
      <w:r>
        <w:t xml:space="preserve">based on </w:t>
      </w:r>
      <w:r w:rsidRPr="00CB5887">
        <w:t xml:space="preserve">Section </w:t>
      </w:r>
      <w:r w:rsidR="00CB5887" w:rsidRPr="00CB5887">
        <w:t>B</w:t>
      </w:r>
      <w:r w:rsidRPr="00CB5887">
        <w:t>.7</w:t>
      </w:r>
      <w:r w:rsidR="00CB5887" w:rsidRPr="00CB5887">
        <w:t>.</w:t>
      </w:r>
      <w:r>
        <w:t xml:space="preserve"> Percentages </w:t>
      </w:r>
      <w:r w:rsidR="00CB5887" w:rsidRPr="00CB5887">
        <w:t>of businesses likely to follow each decision path</w:t>
      </w:r>
      <w:r>
        <w:t xml:space="preserve"> available to PCBUs, under each prohibition option, were applied to the populations </w:t>
      </w:r>
      <w:r w:rsidR="00CB5887" w:rsidRPr="00CB5887">
        <w:t>described in Sections B</w:t>
      </w:r>
      <w:r w:rsidRPr="00CB5887">
        <w:t xml:space="preserve">.3 and </w:t>
      </w:r>
      <w:r w:rsidR="00CB5887" w:rsidRPr="00CB5887">
        <w:t>B</w:t>
      </w:r>
      <w:r w:rsidRPr="00CB5887">
        <w:t>.4.</w:t>
      </w:r>
    </w:p>
  </w:footnote>
  <w:footnote w:id="64">
    <w:p w14:paraId="5CD92167" w14:textId="7DF023D3" w:rsidR="00425098" w:rsidRPr="00A922F8" w:rsidRDefault="00425098" w:rsidP="00425098">
      <w:pPr>
        <w:pStyle w:val="FootnoteText"/>
      </w:pPr>
      <w:r w:rsidRPr="00A922F8">
        <w:rPr>
          <w:rStyle w:val="FootnoteReference"/>
        </w:rPr>
        <w:footnoteRef/>
      </w:r>
      <w:r w:rsidRPr="00A922F8">
        <w:t xml:space="preserve"> </w:t>
      </w:r>
      <w:r w:rsidRPr="0098148F">
        <w:t xml:space="preserve">Model assumption based on </w:t>
      </w:r>
      <w:r>
        <w:t>consultation</w:t>
      </w:r>
      <w:r w:rsidRPr="0098148F">
        <w:t xml:space="preserve"> feedback</w:t>
      </w:r>
    </w:p>
  </w:footnote>
  <w:footnote w:id="65">
    <w:p w14:paraId="10E350D3" w14:textId="77777777" w:rsidR="00425098" w:rsidRPr="00A922F8" w:rsidRDefault="00425098" w:rsidP="00425098">
      <w:pPr>
        <w:pStyle w:val="FootnoteText"/>
      </w:pPr>
      <w:r w:rsidRPr="00A922F8">
        <w:rPr>
          <w:rStyle w:val="FootnoteReference"/>
        </w:rPr>
        <w:footnoteRef/>
      </w:r>
      <w:r w:rsidRPr="00A922F8">
        <w:t xml:space="preserve"> </w:t>
      </w:r>
      <w:r w:rsidRPr="0098148F">
        <w:t xml:space="preserve">Model assumption based on </w:t>
      </w:r>
      <w:r>
        <w:t xml:space="preserve">consultation </w:t>
      </w:r>
      <w:r w:rsidRPr="0098148F">
        <w:t xml:space="preserve">feedback </w:t>
      </w:r>
    </w:p>
  </w:footnote>
  <w:footnote w:id="66">
    <w:p w14:paraId="7BA07169" w14:textId="77777777" w:rsidR="00425098" w:rsidRPr="00494469" w:rsidRDefault="00425098" w:rsidP="00425098">
      <w:pPr>
        <w:pStyle w:val="FootnoteText"/>
      </w:pPr>
      <w:r w:rsidRPr="00A922F8">
        <w:rPr>
          <w:rStyle w:val="FootnoteReference"/>
        </w:rPr>
        <w:footnoteRef/>
      </w:r>
      <w:r w:rsidRPr="00A922F8">
        <w:t xml:space="preserve"> </w:t>
      </w:r>
      <w:r w:rsidRPr="0098148F">
        <w:t xml:space="preserve">Model Assumption based on </w:t>
      </w:r>
      <w:r>
        <w:t xml:space="preserve">consultation </w:t>
      </w:r>
      <w:r w:rsidRPr="0098148F">
        <w:t xml:space="preserve">feedback </w:t>
      </w:r>
    </w:p>
  </w:footnote>
  <w:footnote w:id="67">
    <w:p w14:paraId="552BC347" w14:textId="77777777" w:rsidR="00425098" w:rsidRDefault="00425098" w:rsidP="00425098">
      <w:pPr>
        <w:pStyle w:val="FootnoteText"/>
      </w:pPr>
      <w:r w:rsidRPr="00494469">
        <w:rPr>
          <w:rStyle w:val="FootnoteReference"/>
        </w:rPr>
        <w:footnoteRef/>
      </w:r>
      <w:r w:rsidRPr="00494469">
        <w:t xml:space="preserve"> </w:t>
      </w:r>
      <w:r w:rsidRPr="0098148F">
        <w:t>Model Assumption</w:t>
      </w:r>
    </w:p>
  </w:footnote>
  <w:footnote w:id="68">
    <w:p w14:paraId="0AEF57A2" w14:textId="77777777" w:rsidR="00425098" w:rsidRPr="00001BE3" w:rsidRDefault="00425098" w:rsidP="00425098">
      <w:pPr>
        <w:pStyle w:val="FootnoteText"/>
      </w:pPr>
      <w:r w:rsidRPr="00001BE3">
        <w:rPr>
          <w:rStyle w:val="FootnoteReference"/>
        </w:rPr>
        <w:footnoteRef/>
      </w:r>
      <w:r w:rsidRPr="00001BE3">
        <w:t xml:space="preserve"> Model assumption, increased from </w:t>
      </w:r>
      <w:r>
        <w:t xml:space="preserve">Silica </w:t>
      </w:r>
      <w:r w:rsidRPr="00001BE3">
        <w:t>D</w:t>
      </w:r>
      <w:r>
        <w:t xml:space="preserve">ecision </w:t>
      </w:r>
      <w:r w:rsidRPr="00001BE3">
        <w:t>RIS model assumption</w:t>
      </w:r>
    </w:p>
  </w:footnote>
  <w:footnote w:id="69">
    <w:p w14:paraId="1B01975A" w14:textId="77777777" w:rsidR="00425098" w:rsidRPr="00001BE3" w:rsidRDefault="00425098" w:rsidP="00425098">
      <w:pPr>
        <w:pStyle w:val="FootnoteText"/>
      </w:pPr>
      <w:r w:rsidRPr="00001BE3">
        <w:rPr>
          <w:rStyle w:val="FootnoteReference"/>
        </w:rPr>
        <w:footnoteRef/>
      </w:r>
      <w:r w:rsidRPr="00001BE3">
        <w:t xml:space="preserve"> Model assumption, increased from </w:t>
      </w:r>
      <w:r>
        <w:t xml:space="preserve">Silica </w:t>
      </w:r>
      <w:r w:rsidRPr="00001BE3">
        <w:t>D</w:t>
      </w:r>
      <w:r>
        <w:t xml:space="preserve">ecision </w:t>
      </w:r>
      <w:r w:rsidRPr="00001BE3">
        <w:t>RIS model assumption of a quarter of a year</w:t>
      </w:r>
    </w:p>
  </w:footnote>
  <w:footnote w:id="70">
    <w:p w14:paraId="271825B3" w14:textId="77777777" w:rsidR="00425098" w:rsidRPr="00001BE3" w:rsidRDefault="00425098" w:rsidP="00425098">
      <w:pPr>
        <w:pStyle w:val="FootnoteText"/>
      </w:pPr>
      <w:r w:rsidRPr="00001BE3">
        <w:rPr>
          <w:rStyle w:val="FootnoteReference"/>
        </w:rPr>
        <w:footnoteRef/>
      </w:r>
      <w:r w:rsidRPr="00001BE3">
        <w:t xml:space="preserve"> </w:t>
      </w:r>
      <w:r>
        <w:t xml:space="preserve">Silica </w:t>
      </w:r>
      <w:r w:rsidRPr="00001BE3">
        <w:t>D</w:t>
      </w:r>
      <w:r>
        <w:t xml:space="preserve">ecision </w:t>
      </w:r>
      <w:r w:rsidRPr="00001BE3">
        <w:t>RIS model assumption</w:t>
      </w:r>
    </w:p>
  </w:footnote>
  <w:footnote w:id="71">
    <w:p w14:paraId="646AFADF" w14:textId="77777777" w:rsidR="00425098" w:rsidRPr="00001BE3" w:rsidRDefault="00425098" w:rsidP="00425098">
      <w:pPr>
        <w:pStyle w:val="FootnoteText"/>
      </w:pPr>
      <w:r w:rsidRPr="00001BE3">
        <w:rPr>
          <w:rStyle w:val="FootnoteReference"/>
        </w:rPr>
        <w:footnoteRef/>
      </w:r>
      <w:r w:rsidRPr="00001BE3">
        <w:t xml:space="preserve"> About 10% of total cost </w:t>
      </w:r>
      <w:r>
        <w:t>of capex</w:t>
      </w:r>
      <w:r w:rsidRPr="00001BE3">
        <w:t xml:space="preserve"> </w:t>
      </w:r>
      <w:r>
        <w:t>–</w:t>
      </w:r>
      <w:r w:rsidRPr="00001BE3">
        <w:t xml:space="preserve"> Model assumption</w:t>
      </w:r>
    </w:p>
  </w:footnote>
  <w:footnote w:id="72">
    <w:p w14:paraId="77273BB6" w14:textId="77777777" w:rsidR="00425098" w:rsidRPr="00001BE3" w:rsidRDefault="00425098" w:rsidP="00425098">
      <w:pPr>
        <w:pStyle w:val="FootnoteText"/>
      </w:pPr>
      <w:r w:rsidRPr="00001BE3">
        <w:rPr>
          <w:rStyle w:val="FootnoteReference"/>
        </w:rPr>
        <w:footnoteRef/>
      </w:r>
      <w:r w:rsidRPr="00001BE3">
        <w:t xml:space="preserve"> </w:t>
      </w:r>
      <w:r>
        <w:t xml:space="preserve">Silica </w:t>
      </w:r>
      <w:r w:rsidRPr="00001BE3">
        <w:t>D</w:t>
      </w:r>
      <w:r>
        <w:t xml:space="preserve">ecision </w:t>
      </w:r>
      <w:r w:rsidRPr="00001BE3">
        <w:t>RIS model assumption</w:t>
      </w:r>
    </w:p>
  </w:footnote>
  <w:footnote w:id="73">
    <w:p w14:paraId="372ABB3D" w14:textId="77777777" w:rsidR="00425098" w:rsidRDefault="00425098" w:rsidP="00425098">
      <w:pPr>
        <w:pStyle w:val="FootnoteText"/>
      </w:pPr>
      <w:r w:rsidRPr="00001BE3">
        <w:rPr>
          <w:rStyle w:val="FootnoteReference"/>
        </w:rPr>
        <w:footnoteRef/>
      </w:r>
      <w:r w:rsidRPr="00001BE3">
        <w:t xml:space="preserve"> Model assumption</w:t>
      </w:r>
    </w:p>
  </w:footnote>
  <w:footnote w:id="74">
    <w:p w14:paraId="7D5DF264" w14:textId="77777777" w:rsidR="00425098" w:rsidRPr="00001BE3" w:rsidRDefault="00425098" w:rsidP="00425098">
      <w:pPr>
        <w:pStyle w:val="FootnoteText"/>
      </w:pPr>
      <w:r w:rsidRPr="00001BE3">
        <w:rPr>
          <w:rStyle w:val="FootnoteReference"/>
        </w:rPr>
        <w:footnoteRef/>
      </w:r>
      <w:r w:rsidRPr="00001BE3">
        <w:t xml:space="preserve"> </w:t>
      </w:r>
      <w:r>
        <w:t xml:space="preserve">Silica </w:t>
      </w:r>
      <w:r w:rsidRPr="00001BE3">
        <w:t>D</w:t>
      </w:r>
      <w:r>
        <w:t xml:space="preserve">ecision </w:t>
      </w:r>
      <w:r w:rsidRPr="00001BE3">
        <w:t>RIS model assumption</w:t>
      </w:r>
    </w:p>
  </w:footnote>
  <w:footnote w:id="75">
    <w:p w14:paraId="1828E15D" w14:textId="77777777" w:rsidR="00425098" w:rsidRPr="00001BE3" w:rsidRDefault="00425098" w:rsidP="00425098">
      <w:pPr>
        <w:pStyle w:val="FootnoteText"/>
      </w:pPr>
      <w:r w:rsidRPr="00001BE3">
        <w:rPr>
          <w:rStyle w:val="FootnoteReference"/>
        </w:rPr>
        <w:footnoteRef/>
      </w:r>
      <w:r w:rsidRPr="00001BE3">
        <w:t xml:space="preserve"> Model assumption, increased from </w:t>
      </w:r>
      <w:r>
        <w:t xml:space="preserve">Silica </w:t>
      </w:r>
      <w:r w:rsidRPr="00001BE3">
        <w:t>D</w:t>
      </w:r>
      <w:r>
        <w:t xml:space="preserve">ecision </w:t>
      </w:r>
      <w:r w:rsidRPr="00001BE3">
        <w:t>RIS model assumption of 4 hours to take into account travel times and reporting paperwork</w:t>
      </w:r>
    </w:p>
  </w:footnote>
  <w:footnote w:id="76">
    <w:p w14:paraId="735A6A26" w14:textId="77777777" w:rsidR="00425098" w:rsidRPr="00001BE3" w:rsidRDefault="00425098" w:rsidP="00425098">
      <w:pPr>
        <w:pStyle w:val="FootnoteText"/>
      </w:pPr>
      <w:r w:rsidRPr="00001BE3">
        <w:rPr>
          <w:rStyle w:val="FootnoteReference"/>
        </w:rPr>
        <w:footnoteRef/>
      </w:r>
      <w:r w:rsidRPr="00001BE3">
        <w:t xml:space="preserve"> Model assumption</w:t>
      </w:r>
    </w:p>
  </w:footnote>
  <w:footnote w:id="77">
    <w:p w14:paraId="6EA72AF0" w14:textId="77777777" w:rsidR="00425098" w:rsidRDefault="00425098" w:rsidP="00425098">
      <w:pPr>
        <w:pStyle w:val="FootnoteText"/>
      </w:pPr>
      <w:r w:rsidRPr="00001BE3">
        <w:rPr>
          <w:rStyle w:val="FootnoteReference"/>
        </w:rPr>
        <w:footnoteRef/>
      </w:r>
      <w:r w:rsidRPr="00001BE3">
        <w:t xml:space="preserve"> </w:t>
      </w:r>
      <w:r>
        <w:t xml:space="preserve">Silica </w:t>
      </w:r>
      <w:r w:rsidRPr="00001BE3">
        <w:t>D</w:t>
      </w:r>
      <w:r>
        <w:t xml:space="preserve">ecision </w:t>
      </w:r>
      <w:r w:rsidRPr="00001BE3">
        <w:t>RIS model assumption for Option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188D3" w14:textId="77777777" w:rsidR="009F7CB4" w:rsidRDefault="009F7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C5DB7" w14:textId="6F65DB27" w:rsidR="00F1382E" w:rsidRPr="00B87E45" w:rsidRDefault="00F1382E" w:rsidP="001007B9">
    <w:pPr>
      <w:pStyle w:val="ProtectiveMarking"/>
    </w:pPr>
  </w:p>
  <w:sdt>
    <w:sdtPr>
      <w:alias w:val="Classification"/>
      <w:tag w:val="Classification"/>
      <w:id w:val="2090721454"/>
      <w:dataBinding w:xpath="/root[1]/Classification[1]" w:storeItemID="{F533AE62-A212-4B26-92DA-A3B336E8AE06}"/>
      <w:text/>
    </w:sdtPr>
    <w:sdtEndPr/>
    <w:sdtContent>
      <w:p w14:paraId="3FA7637B" w14:textId="3ED8CF1C" w:rsidR="00F1382E" w:rsidRPr="00B87E45" w:rsidRDefault="00F1382E" w:rsidP="001007B9">
        <w:pPr>
          <w:pStyle w:val="ProtectiveMarking"/>
        </w:pPr>
        <w:r>
          <w:t>Choose Classifiction</w:t>
        </w:r>
      </w:p>
    </w:sdtContent>
  </w:sdt>
  <w:p w14:paraId="60141277" w14:textId="77777777" w:rsidR="00F1382E" w:rsidRPr="00073D52" w:rsidRDefault="00F1382E" w:rsidP="001007B9">
    <w:pPr>
      <w:pStyle w:val="Footerline"/>
    </w:pPr>
  </w:p>
  <w:p w14:paraId="7D154907" w14:textId="77777777" w:rsidR="00F1382E" w:rsidRDefault="00F138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91C0A" w14:textId="4C0BC3B8" w:rsidR="00F1382E" w:rsidRPr="00B87E45" w:rsidRDefault="00DE2DA8" w:rsidP="00663EAD">
    <w:pPr>
      <w:pStyle w:val="ProtectiveMarking"/>
    </w:pPr>
    <w:r>
      <w:rPr>
        <w:lang w:eastAsia="en-AU"/>
      </w:rPr>
      <w:drawing>
        <wp:anchor distT="0" distB="0" distL="114300" distR="114300" simplePos="0" relativeHeight="251658241" behindDoc="1" locked="0" layoutInCell="1" allowOverlap="1" wp14:anchorId="7A604BFF" wp14:editId="14A2F475">
          <wp:simplePos x="0" y="0"/>
          <wp:positionH relativeFrom="page">
            <wp:align>left</wp:align>
          </wp:positionH>
          <wp:positionV relativeFrom="paragraph">
            <wp:posOffset>-465826</wp:posOffset>
          </wp:positionV>
          <wp:extent cx="7559512" cy="10693053"/>
          <wp:effectExtent l="0" t="0" r="3810" b="0"/>
          <wp:wrapNone/>
          <wp:docPr id="67" name="Picture 6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512" cy="10693053"/>
                  </a:xfrm>
                  <a:prstGeom prst="rect">
                    <a:avLst/>
                  </a:prstGeom>
                </pic:spPr>
              </pic:pic>
            </a:graphicData>
          </a:graphic>
          <wp14:sizeRelH relativeFrom="page">
            <wp14:pctWidth>0</wp14:pctWidth>
          </wp14:sizeRelH>
          <wp14:sizeRelV relativeFrom="page">
            <wp14:pctHeight>0</wp14:pctHeight>
          </wp14:sizeRelV>
        </wp:anchor>
      </w:drawing>
    </w:r>
  </w:p>
  <w:p w14:paraId="46358805" w14:textId="77777777" w:rsidR="00F1382E" w:rsidRPr="00073D52" w:rsidRDefault="00F1382E" w:rsidP="00663EAD">
    <w:pPr>
      <w:pStyle w:val="Footerline"/>
    </w:pPr>
  </w:p>
  <w:p w14:paraId="0EB0003C" w14:textId="77777777" w:rsidR="00F1382E" w:rsidRDefault="00F138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9E891" w14:textId="77777777" w:rsidR="00C81E02" w:rsidRDefault="00C81E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2DFC1" w14:textId="001C0953" w:rsidR="00C81E02" w:rsidRPr="00753174" w:rsidRDefault="00C81E02" w:rsidP="00753174">
    <w:pPr>
      <w:pStyle w:val="Header"/>
    </w:pPr>
  </w:p>
  <w:p w14:paraId="51FE969A" w14:textId="77777777" w:rsidR="00C81E02" w:rsidRPr="00753174" w:rsidRDefault="00C81E02" w:rsidP="007531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37CCA" w14:textId="77777777" w:rsidR="00C81E02" w:rsidRPr="00B87E45" w:rsidRDefault="00C81E02" w:rsidP="00663EAD">
    <w:pPr>
      <w:pStyle w:val="ProtectiveMarking"/>
    </w:pPr>
  </w:p>
  <w:p w14:paraId="676737BC" w14:textId="77777777" w:rsidR="00C81E02" w:rsidRPr="00B87E45" w:rsidRDefault="00C81E02" w:rsidP="00663EAD">
    <w:pPr>
      <w:pStyle w:val="ProtectiveMarking"/>
    </w:pPr>
    <w:r>
      <w:t>Choose Classifiction</w:t>
    </w:r>
  </w:p>
  <w:p w14:paraId="7DD205C7" w14:textId="77777777" w:rsidR="00C81E02" w:rsidRPr="00073D52" w:rsidRDefault="00C81E02" w:rsidP="00663EAD">
    <w:pPr>
      <w:pStyle w:val="Footerline"/>
    </w:pPr>
  </w:p>
  <w:p w14:paraId="7D34A55D" w14:textId="77777777" w:rsidR="00C81E02" w:rsidRDefault="00C81E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47927" w14:textId="54E571F5" w:rsidR="00F1382E" w:rsidRDefault="00F138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044D8" w14:textId="0151AF4E" w:rsidR="00F1382E" w:rsidRPr="00753174" w:rsidRDefault="00F1382E" w:rsidP="00753174">
    <w:pPr>
      <w:pStyle w:val="Header"/>
    </w:pPr>
  </w:p>
  <w:p w14:paraId="201DE651" w14:textId="77777777" w:rsidR="00F1382E" w:rsidRPr="00753174" w:rsidRDefault="00F1382E" w:rsidP="007531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3F9A" w14:textId="3E0159F9" w:rsidR="00F1382E" w:rsidRPr="00B87E45" w:rsidRDefault="00F1382E" w:rsidP="00663EAD">
    <w:pPr>
      <w:pStyle w:val="ProtectiveMarking"/>
    </w:pPr>
  </w:p>
  <w:p w14:paraId="1236B9FD" w14:textId="5BAC3A92" w:rsidR="00F1382E" w:rsidRPr="00B87E45" w:rsidRDefault="00F1382E" w:rsidP="00663EAD">
    <w:pPr>
      <w:pStyle w:val="ProtectiveMarking"/>
    </w:pPr>
    <w:r>
      <w:t>Choose Classifiction</w:t>
    </w:r>
  </w:p>
  <w:p w14:paraId="11EAE70B" w14:textId="77777777" w:rsidR="00F1382E" w:rsidRPr="00073D52" w:rsidRDefault="00F1382E" w:rsidP="00663EAD">
    <w:pPr>
      <w:pStyle w:val="Footerline"/>
    </w:pPr>
  </w:p>
  <w:p w14:paraId="7BAE3A47" w14:textId="77777777" w:rsidR="00F1382E" w:rsidRDefault="00F13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2D6481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52C1CBC"/>
    <w:lvl w:ilvl="0">
      <w:start w:val="1"/>
      <w:numFmt w:val="decimal"/>
      <w:pStyle w:val="ListNumber"/>
      <w:lvlText w:val="%1."/>
      <w:lvlJc w:val="left"/>
      <w:pPr>
        <w:tabs>
          <w:tab w:val="num" w:pos="360"/>
        </w:tabs>
        <w:ind w:left="360" w:hanging="360"/>
      </w:pPr>
    </w:lvl>
  </w:abstractNum>
  <w:abstractNum w:abstractNumId="2" w15:restartNumberingAfterBreak="0">
    <w:nsid w:val="00DF23CC"/>
    <w:multiLevelType w:val="hybridMultilevel"/>
    <w:tmpl w:val="ACC69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C26502"/>
    <w:multiLevelType w:val="hybridMultilevel"/>
    <w:tmpl w:val="B4E0994E"/>
    <w:lvl w:ilvl="0" w:tplc="0C09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807786"/>
    <w:multiLevelType w:val="hybridMultilevel"/>
    <w:tmpl w:val="38380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pStyle w:val="Heading7"/>
      <w:lvlText w:val=""/>
      <w:lvlJc w:val="left"/>
      <w:pPr>
        <w:ind w:left="5040" w:hanging="360"/>
      </w:pPr>
      <w:rPr>
        <w:rFonts w:ascii="Symbol" w:hAnsi="Symbol" w:hint="default"/>
      </w:rPr>
    </w:lvl>
    <w:lvl w:ilvl="7" w:tplc="0C090003" w:tentative="1">
      <w:start w:val="1"/>
      <w:numFmt w:val="bullet"/>
      <w:pStyle w:val="Heading8"/>
      <w:lvlText w:val="o"/>
      <w:lvlJc w:val="left"/>
      <w:pPr>
        <w:ind w:left="5760" w:hanging="360"/>
      </w:pPr>
      <w:rPr>
        <w:rFonts w:ascii="Courier New" w:hAnsi="Courier New" w:cs="Courier New" w:hint="default"/>
      </w:rPr>
    </w:lvl>
    <w:lvl w:ilvl="8" w:tplc="0C090005" w:tentative="1">
      <w:start w:val="1"/>
      <w:numFmt w:val="bullet"/>
      <w:pStyle w:val="Heading9"/>
      <w:lvlText w:val=""/>
      <w:lvlJc w:val="left"/>
      <w:pPr>
        <w:ind w:left="6480" w:hanging="360"/>
      </w:pPr>
      <w:rPr>
        <w:rFonts w:ascii="Wingdings" w:hAnsi="Wingdings" w:hint="default"/>
      </w:rPr>
    </w:lvl>
  </w:abstractNum>
  <w:abstractNum w:abstractNumId="5" w15:restartNumberingAfterBreak="0">
    <w:nsid w:val="0AC2735F"/>
    <w:multiLevelType w:val="multilevel"/>
    <w:tmpl w:val="01740830"/>
    <w:styleLink w:val="ListHeadings"/>
    <w:lvl w:ilvl="0">
      <w:start w:val="1"/>
      <w:numFmt w:val="decimal"/>
      <w:pStyle w:val="EYBulletnoparaspace"/>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69371C"/>
    <w:multiLevelType w:val="multilevel"/>
    <w:tmpl w:val="B2D40500"/>
    <w:lvl w:ilvl="0">
      <w:start w:val="1"/>
      <w:numFmt w:val="decimal"/>
      <w:lvlText w:val="%1"/>
      <w:lvlJc w:val="left"/>
      <w:pPr>
        <w:ind w:left="403" w:hanging="288"/>
      </w:pPr>
      <w:rPr>
        <w:rFonts w:hint="default"/>
        <w:color w:val="25303B" w:themeColor="accent1"/>
      </w:rPr>
    </w:lvl>
    <w:lvl w:ilvl="1">
      <w:start w:val="1"/>
      <w:numFmt w:val="lowerRoman"/>
      <w:pStyle w:val="BulletedListlvl2"/>
      <w:lvlText w:val="%2"/>
      <w:lvlJc w:val="left"/>
      <w:pPr>
        <w:ind w:left="691" w:hanging="288"/>
      </w:pPr>
      <w:rPr>
        <w:rFonts w:hint="default"/>
        <w:color w:val="25303B" w:themeColor="accent1"/>
      </w:rPr>
    </w:lvl>
    <w:lvl w:ilvl="2">
      <w:start w:val="1"/>
      <w:numFmt w:val="upperRoman"/>
      <w:pStyle w:val="BulletedListlvl3"/>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7" w15:restartNumberingAfterBreak="0">
    <w:nsid w:val="0CEA2351"/>
    <w:multiLevelType w:val="hybridMultilevel"/>
    <w:tmpl w:val="97EA7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7021FE"/>
    <w:multiLevelType w:val="hybridMultilevel"/>
    <w:tmpl w:val="29A8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F87F8F"/>
    <w:multiLevelType w:val="hybridMultilevel"/>
    <w:tmpl w:val="641CF32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F2A684A"/>
    <w:multiLevelType w:val="hybridMultilevel"/>
    <w:tmpl w:val="36C0C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D44BCD"/>
    <w:multiLevelType w:val="hybridMultilevel"/>
    <w:tmpl w:val="97CC0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436A1"/>
    <w:multiLevelType w:val="hybridMultilevel"/>
    <w:tmpl w:val="FCAAD0BE"/>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1C43653B"/>
    <w:multiLevelType w:val="multilevel"/>
    <w:tmpl w:val="EF18123E"/>
    <w:styleLink w:val="EYPlainBulletList"/>
    <w:lvl w:ilvl="0">
      <w:start w:val="1"/>
      <w:numFmt w:val="bullet"/>
      <w:lvlText w:val="►"/>
      <w:lvlJc w:val="left"/>
      <w:pPr>
        <w:ind w:left="425" w:hanging="425"/>
      </w:pPr>
      <w:rPr>
        <w:rFonts w:ascii="Arial" w:hAnsi="Arial" w:hint="default"/>
        <w:sz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5" w15:restartNumberingAfterBreak="0">
    <w:nsid w:val="21B83558"/>
    <w:multiLevelType w:val="hybridMultilevel"/>
    <w:tmpl w:val="50C64282"/>
    <w:lvl w:ilvl="0" w:tplc="DD1C0056">
      <w:start w:val="1"/>
      <w:numFmt w:val="decimal"/>
      <w:lvlText w:val="A.%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39286DF9"/>
    <w:multiLevelType w:val="hybridMultilevel"/>
    <w:tmpl w:val="407C2ED0"/>
    <w:lvl w:ilvl="0" w:tplc="36B8A56C">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B44B39"/>
    <w:multiLevelType w:val="hybridMultilevel"/>
    <w:tmpl w:val="2B12B878"/>
    <w:lvl w:ilvl="0" w:tplc="D75A1282">
      <w:start w:val="1"/>
      <w:numFmt w:val="bullet"/>
      <w:lvlText w:val=""/>
      <w:lvlJc w:val="left"/>
      <w:pPr>
        <w:ind w:left="720" w:hanging="360"/>
      </w:pPr>
      <w:rPr>
        <w:rFonts w:ascii="Symbol" w:hAnsi="Symbol" w:hint="default"/>
      </w:rPr>
    </w:lvl>
    <w:lvl w:ilvl="1" w:tplc="DC6EE40C">
      <w:start w:val="1"/>
      <w:numFmt w:val="bullet"/>
      <w:pStyle w:val="Bulletpointslvl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ACF48FB"/>
    <w:multiLevelType w:val="multilevel"/>
    <w:tmpl w:val="01740830"/>
    <w:numStyleLink w:val="ListHeadings"/>
  </w:abstractNum>
  <w:abstractNum w:abstractNumId="19" w15:restartNumberingAfterBreak="0">
    <w:nsid w:val="3C87538B"/>
    <w:multiLevelType w:val="hybridMultilevel"/>
    <w:tmpl w:val="DED65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AC1DE0"/>
    <w:multiLevelType w:val="hybridMultilevel"/>
    <w:tmpl w:val="772C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3370F7"/>
    <w:multiLevelType w:val="hybridMultilevel"/>
    <w:tmpl w:val="E83CC660"/>
    <w:lvl w:ilvl="0" w:tplc="0C090001">
      <w:start w:val="1"/>
      <w:numFmt w:val="bullet"/>
      <w:pStyle w:val="EmphasisPane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42C66F58"/>
    <w:multiLevelType w:val="hybridMultilevel"/>
    <w:tmpl w:val="8B0258A0"/>
    <w:lvl w:ilvl="0" w:tplc="560C687A">
      <w:start w:val="1"/>
      <w:numFmt w:val="decimal"/>
      <w:pStyle w:val="Heading4"/>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BE575C"/>
    <w:multiLevelType w:val="hybridMultilevel"/>
    <w:tmpl w:val="C9AC4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002F54"/>
    <w:multiLevelType w:val="multilevel"/>
    <w:tmpl w:val="4A4C92C6"/>
    <w:lvl w:ilvl="0">
      <w:start w:val="1"/>
      <w:numFmt w:val="decimal"/>
      <w:pStyle w:val="NumberingSW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CA70AC"/>
    <w:multiLevelType w:val="hybridMultilevel"/>
    <w:tmpl w:val="6C265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2C3D06"/>
    <w:multiLevelType w:val="multilevel"/>
    <w:tmpl w:val="61CAD728"/>
    <w:lvl w:ilvl="0">
      <w:start w:val="1"/>
      <w:numFmt w:val="decimal"/>
      <w:lvlText w:val="%1"/>
      <w:lvlJc w:val="left"/>
      <w:pPr>
        <w:ind w:left="857" w:hanging="432"/>
      </w:pPr>
    </w:lvl>
    <w:lvl w:ilvl="1">
      <w:start w:val="1"/>
      <w:numFmt w:val="decimal"/>
      <w:lvlText w:val="%1.%2"/>
      <w:lvlJc w:val="left"/>
      <w:pPr>
        <w:ind w:left="1143" w:hanging="576"/>
      </w:pPr>
    </w:lvl>
    <w:lvl w:ilvl="2">
      <w:start w:val="1"/>
      <w:numFmt w:val="decimal"/>
      <w:lvlText w:val="%1.%2.%3"/>
      <w:lvlJc w:val="left"/>
      <w:pPr>
        <w:ind w:left="114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8AC0C24"/>
    <w:multiLevelType w:val="hybridMultilevel"/>
    <w:tmpl w:val="E3BC416E"/>
    <w:lvl w:ilvl="0" w:tplc="6C0EE9B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CD02F4"/>
    <w:multiLevelType w:val="hybridMultilevel"/>
    <w:tmpl w:val="23CCA49E"/>
    <w:lvl w:ilvl="0" w:tplc="6D9453FC">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A51144C"/>
    <w:multiLevelType w:val="hybridMultilevel"/>
    <w:tmpl w:val="DDB87F76"/>
    <w:lvl w:ilvl="0" w:tplc="FFFFFFFF">
      <w:start w:val="1"/>
      <w:numFmt w:val="bullet"/>
      <w:lvlText w:val=""/>
      <w:lvlJc w:val="left"/>
      <w:pPr>
        <w:ind w:left="720" w:hanging="360"/>
      </w:pPr>
      <w:rPr>
        <w:rFonts w:ascii="Symbol" w:hAnsi="Symbol" w:hint="default"/>
      </w:rPr>
    </w:lvl>
    <w:lvl w:ilvl="1" w:tplc="504CE1FE">
      <w:start w:val="1"/>
      <w:numFmt w:val="bullet"/>
      <w:pStyle w:val="IAListbullet2"/>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Calibri" w:eastAsia="Times New Roman"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B104FCE"/>
    <w:multiLevelType w:val="hybridMultilevel"/>
    <w:tmpl w:val="C17063BA"/>
    <w:lvl w:ilvl="0" w:tplc="AAE0DDA2">
      <w:start w:val="1"/>
      <w:numFmt w:val="decimal"/>
      <w:pStyle w:val="MBPoint"/>
      <w:lvlText w:val="%1."/>
      <w:lvlJc w:val="left"/>
      <w:pPr>
        <w:ind w:left="-207" w:hanging="360"/>
      </w:pPr>
      <w:rPr>
        <w:rFonts w:hint="default"/>
      </w:rPr>
    </w:lvl>
    <w:lvl w:ilvl="1" w:tplc="384041BE">
      <w:start w:val="1"/>
      <w:numFmt w:val="bullet"/>
      <w:lvlText w:val=""/>
      <w:lvlJc w:val="left"/>
      <w:pPr>
        <w:ind w:left="513" w:hanging="360"/>
      </w:pPr>
      <w:rPr>
        <w:rFonts w:ascii="Symbol" w:hAnsi="Symbol" w:hint="default"/>
      </w:rPr>
    </w:lvl>
    <w:lvl w:ilvl="2" w:tplc="9BBAB59E">
      <w:start w:val="1"/>
      <w:numFmt w:val="bullet"/>
      <w:pStyle w:val="MBPointSub"/>
      <w:lvlText w:val="o"/>
      <w:lvlJc w:val="left"/>
      <w:pPr>
        <w:ind w:left="1233" w:hanging="180"/>
      </w:pPr>
      <w:rPr>
        <w:rFonts w:ascii="Courier New" w:hAnsi="Courier New" w:cs="Courier New" w:hint="default"/>
      </w:rPr>
    </w:lvl>
    <w:lvl w:ilvl="3" w:tplc="DE1450BE" w:tentative="1">
      <w:start w:val="1"/>
      <w:numFmt w:val="decimal"/>
      <w:lvlText w:val="%4."/>
      <w:lvlJc w:val="left"/>
      <w:pPr>
        <w:ind w:left="1953" w:hanging="360"/>
      </w:pPr>
    </w:lvl>
    <w:lvl w:ilvl="4" w:tplc="1FEE768C" w:tentative="1">
      <w:start w:val="1"/>
      <w:numFmt w:val="lowerLetter"/>
      <w:lvlText w:val="%5."/>
      <w:lvlJc w:val="left"/>
      <w:pPr>
        <w:ind w:left="2673" w:hanging="360"/>
      </w:pPr>
    </w:lvl>
    <w:lvl w:ilvl="5" w:tplc="7D48A18E" w:tentative="1">
      <w:start w:val="1"/>
      <w:numFmt w:val="lowerRoman"/>
      <w:lvlText w:val="%6."/>
      <w:lvlJc w:val="right"/>
      <w:pPr>
        <w:ind w:left="3393" w:hanging="180"/>
      </w:pPr>
    </w:lvl>
    <w:lvl w:ilvl="6" w:tplc="3954AC4C" w:tentative="1">
      <w:start w:val="1"/>
      <w:numFmt w:val="decimal"/>
      <w:lvlText w:val="%7."/>
      <w:lvlJc w:val="left"/>
      <w:pPr>
        <w:ind w:left="4113" w:hanging="360"/>
      </w:pPr>
    </w:lvl>
    <w:lvl w:ilvl="7" w:tplc="9228A45A" w:tentative="1">
      <w:start w:val="1"/>
      <w:numFmt w:val="lowerLetter"/>
      <w:lvlText w:val="%8."/>
      <w:lvlJc w:val="left"/>
      <w:pPr>
        <w:ind w:left="4833" w:hanging="360"/>
      </w:pPr>
    </w:lvl>
    <w:lvl w:ilvl="8" w:tplc="7C2073B0" w:tentative="1">
      <w:start w:val="1"/>
      <w:numFmt w:val="lowerRoman"/>
      <w:lvlText w:val="%9."/>
      <w:lvlJc w:val="right"/>
      <w:pPr>
        <w:ind w:left="5553" w:hanging="180"/>
      </w:pPr>
    </w:lvl>
  </w:abstractNum>
  <w:abstractNum w:abstractNumId="31"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2"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lvlText w:val="‒"/>
      <w:lvlJc w:val="left"/>
      <w:pPr>
        <w:ind w:left="1134" w:hanging="397"/>
      </w:pPr>
      <w:rPr>
        <w:rFonts w:ascii="Times New Roman" w:hAnsi="Times New Roman" w:cs="Times New Roman" w:hint="default"/>
        <w:color w:val="404040" w:themeColor="text1" w:themeTint="BF"/>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3" w15:restartNumberingAfterBreak="0">
    <w:nsid w:val="62121523"/>
    <w:multiLevelType w:val="hybridMultilevel"/>
    <w:tmpl w:val="902AFE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2AB1683"/>
    <w:multiLevelType w:val="hybridMultilevel"/>
    <w:tmpl w:val="80522CCC"/>
    <w:lvl w:ilvl="0" w:tplc="0C090001">
      <w:start w:val="1"/>
      <w:numFmt w:val="bullet"/>
      <w:pStyle w:val="NumberedListlvl1"/>
      <w:lvlText w:val=""/>
      <w:lvlJc w:val="left"/>
      <w:pPr>
        <w:ind w:left="720" w:hanging="360"/>
      </w:pPr>
      <w:rPr>
        <w:rFonts w:ascii="Symbol" w:hAnsi="Symbol" w:hint="default"/>
      </w:rPr>
    </w:lvl>
    <w:lvl w:ilvl="1" w:tplc="0C090003" w:tentative="1">
      <w:start w:val="1"/>
      <w:numFmt w:val="bullet"/>
      <w:pStyle w:val="NumberedListlvl2"/>
      <w:lvlText w:val="o"/>
      <w:lvlJc w:val="left"/>
      <w:pPr>
        <w:ind w:left="1440" w:hanging="360"/>
      </w:pPr>
      <w:rPr>
        <w:rFonts w:ascii="Courier New" w:hAnsi="Courier New" w:cs="Courier New" w:hint="default"/>
      </w:rPr>
    </w:lvl>
    <w:lvl w:ilvl="2" w:tplc="0C090005" w:tentative="1">
      <w:start w:val="1"/>
      <w:numFmt w:val="bullet"/>
      <w:pStyle w:val="NumberedListlv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A12100"/>
    <w:multiLevelType w:val="hybridMultilevel"/>
    <w:tmpl w:val="5E8A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F9799C"/>
    <w:multiLevelType w:val="hybridMultilevel"/>
    <w:tmpl w:val="5BE829C0"/>
    <w:lvl w:ilvl="0" w:tplc="F164242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D6160A"/>
    <w:multiLevelType w:val="hybridMultilevel"/>
    <w:tmpl w:val="02A2610A"/>
    <w:lvl w:ilvl="0" w:tplc="1CE004FA">
      <w:start w:val="1"/>
      <w:numFmt w:val="bullet"/>
      <w:lvlText w:val=""/>
      <w:lvlJc w:val="left"/>
      <w:pPr>
        <w:ind w:left="1074" w:hanging="360"/>
      </w:pPr>
      <w:rPr>
        <w:rFonts w:ascii="Symbol" w:hAnsi="Symbol" w:hint="default"/>
        <w:color w:val="auto"/>
      </w:rPr>
    </w:lvl>
    <w:lvl w:ilvl="1" w:tplc="0C090003">
      <w:start w:val="1"/>
      <w:numFmt w:val="bullet"/>
      <w:lvlText w:val="o"/>
      <w:lvlJc w:val="left"/>
      <w:pPr>
        <w:ind w:left="1358"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8" w15:restartNumberingAfterBreak="0">
    <w:nsid w:val="69ED7E8A"/>
    <w:multiLevelType w:val="hybridMultilevel"/>
    <w:tmpl w:val="A934B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FB36BF9"/>
    <w:multiLevelType w:val="hybridMultilevel"/>
    <w:tmpl w:val="15C8213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15:restartNumberingAfterBreak="0">
    <w:nsid w:val="710C2BAB"/>
    <w:multiLevelType w:val="multilevel"/>
    <w:tmpl w:val="BC2678B6"/>
    <w:lvl w:ilvl="0">
      <w:start w:val="5"/>
      <w:numFmt w:val="decimal"/>
      <w:pStyle w:val="NewHeading2"/>
      <w:lvlText w:val="%1."/>
      <w:lvlJc w:val="left"/>
      <w:pPr>
        <w:ind w:left="360" w:hanging="360"/>
      </w:pPr>
      <w:rPr>
        <w:rFonts w:hint="default"/>
      </w:rPr>
    </w:lvl>
    <w:lvl w:ilvl="1">
      <w:start w:val="1"/>
      <w:numFmt w:val="decimal"/>
      <w:pStyle w:val="NewHeading2"/>
      <w:lvlText w:val="%1.%2."/>
      <w:lvlJc w:val="left"/>
      <w:pPr>
        <w:ind w:left="792" w:hanging="432"/>
      </w:pPr>
      <w:rPr>
        <w:rFonts w:hint="default"/>
      </w:rPr>
    </w:lvl>
    <w:lvl w:ilvl="2">
      <w:start w:val="1"/>
      <w:numFmt w:val="decimal"/>
      <w:pStyle w:val="NewHeading3"/>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2EF1E09"/>
    <w:multiLevelType w:val="multilevel"/>
    <w:tmpl w:val="99B09908"/>
    <w:lvl w:ilvl="0">
      <w:start w:val="1"/>
      <w:numFmt w:val="decimal"/>
      <w:pStyle w:val="List"/>
      <w:lvlText w:val="%1."/>
      <w:lvlJc w:val="left"/>
      <w:pPr>
        <w:ind w:left="567" w:hanging="283"/>
      </w:pPr>
      <w:rPr>
        <w:rFonts w:hint="default"/>
      </w:rPr>
    </w:lvl>
    <w:lvl w:ilvl="1">
      <w:start w:val="1"/>
      <w:numFmt w:val="lowerLetter"/>
      <w:lvlText w:val="%2."/>
      <w:lvlJc w:val="left"/>
      <w:pPr>
        <w:ind w:left="1021" w:hanging="283"/>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42" w15:restartNumberingAfterBreak="0">
    <w:nsid w:val="736A6B07"/>
    <w:multiLevelType w:val="multilevel"/>
    <w:tmpl w:val="1192806C"/>
    <w:lvl w:ilvl="0">
      <w:start w:val="1"/>
      <w:numFmt w:val="bullet"/>
      <w:pStyle w:val="TableNumbering"/>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43" w15:restartNumberingAfterBreak="0">
    <w:nsid w:val="745A024F"/>
    <w:multiLevelType w:val="hybridMultilevel"/>
    <w:tmpl w:val="ABD6C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A6454D"/>
    <w:multiLevelType w:val="hybridMultilevel"/>
    <w:tmpl w:val="CD7E121A"/>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8F5508"/>
    <w:multiLevelType w:val="hybridMultilevel"/>
    <w:tmpl w:val="AE801A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730C64"/>
    <w:multiLevelType w:val="hybridMultilevel"/>
    <w:tmpl w:val="F50C65FA"/>
    <w:lvl w:ilvl="0" w:tplc="8E1C57D2">
      <w:start w:val="1"/>
      <w:numFmt w:val="bullet"/>
      <w:pStyle w:val="Bulletpointslvl1"/>
      <w:lvlText w:val=""/>
      <w:lvlJc w:val="left"/>
      <w:pPr>
        <w:ind w:left="1440" w:hanging="360"/>
      </w:pPr>
      <w:rPr>
        <w:rFonts w:ascii="Symbol" w:hAnsi="Symbol" w:hint="default"/>
      </w:rPr>
    </w:lvl>
    <w:lvl w:ilvl="1" w:tplc="78C2052E">
      <w:start w:val="1"/>
      <w:numFmt w:val="bullet"/>
      <w:lvlText w:val="o"/>
      <w:lvlJc w:val="left"/>
      <w:pPr>
        <w:ind w:left="2160" w:hanging="360"/>
      </w:pPr>
      <w:rPr>
        <w:rFonts w:ascii="Courier New" w:hAnsi="Courier New" w:cs="Courier New" w:hint="default"/>
      </w:rPr>
    </w:lvl>
    <w:lvl w:ilvl="2" w:tplc="2848DBD4">
      <w:start w:val="1"/>
      <w:numFmt w:val="bullet"/>
      <w:lvlText w:val=""/>
      <w:lvlJc w:val="left"/>
      <w:pPr>
        <w:ind w:left="2880" w:hanging="360"/>
      </w:pPr>
      <w:rPr>
        <w:rFonts w:ascii="Wingdings" w:hAnsi="Wingdings" w:hint="default"/>
      </w:rPr>
    </w:lvl>
    <w:lvl w:ilvl="3" w:tplc="129AFD20">
      <w:start w:val="1"/>
      <w:numFmt w:val="bullet"/>
      <w:lvlText w:val=""/>
      <w:lvlJc w:val="left"/>
      <w:pPr>
        <w:ind w:left="3600" w:hanging="360"/>
      </w:pPr>
      <w:rPr>
        <w:rFonts w:ascii="Symbol" w:hAnsi="Symbol" w:hint="default"/>
      </w:rPr>
    </w:lvl>
    <w:lvl w:ilvl="4" w:tplc="44F4B818">
      <w:start w:val="1"/>
      <w:numFmt w:val="bullet"/>
      <w:lvlText w:val="o"/>
      <w:lvlJc w:val="left"/>
      <w:pPr>
        <w:ind w:left="4320" w:hanging="360"/>
      </w:pPr>
      <w:rPr>
        <w:rFonts w:ascii="Courier New" w:hAnsi="Courier New" w:cs="Courier New" w:hint="default"/>
      </w:rPr>
    </w:lvl>
    <w:lvl w:ilvl="5" w:tplc="E7228066">
      <w:start w:val="1"/>
      <w:numFmt w:val="bullet"/>
      <w:lvlText w:val=""/>
      <w:lvlJc w:val="left"/>
      <w:pPr>
        <w:ind w:left="5040" w:hanging="360"/>
      </w:pPr>
      <w:rPr>
        <w:rFonts w:ascii="Wingdings" w:hAnsi="Wingdings" w:hint="default"/>
      </w:rPr>
    </w:lvl>
    <w:lvl w:ilvl="6" w:tplc="5EEE28B6">
      <w:start w:val="1"/>
      <w:numFmt w:val="bullet"/>
      <w:lvlText w:val=""/>
      <w:lvlJc w:val="left"/>
      <w:pPr>
        <w:ind w:left="5760" w:hanging="360"/>
      </w:pPr>
      <w:rPr>
        <w:rFonts w:ascii="Symbol" w:hAnsi="Symbol" w:hint="default"/>
      </w:rPr>
    </w:lvl>
    <w:lvl w:ilvl="7" w:tplc="59FCAD3A">
      <w:start w:val="1"/>
      <w:numFmt w:val="bullet"/>
      <w:lvlText w:val="o"/>
      <w:lvlJc w:val="left"/>
      <w:pPr>
        <w:ind w:left="6480" w:hanging="360"/>
      </w:pPr>
      <w:rPr>
        <w:rFonts w:ascii="Courier New" w:hAnsi="Courier New" w:cs="Courier New" w:hint="default"/>
      </w:rPr>
    </w:lvl>
    <w:lvl w:ilvl="8" w:tplc="33E8B9C4">
      <w:start w:val="1"/>
      <w:numFmt w:val="bullet"/>
      <w:lvlText w:val=""/>
      <w:lvlJc w:val="left"/>
      <w:pPr>
        <w:ind w:left="7200" w:hanging="360"/>
      </w:pPr>
      <w:rPr>
        <w:rFonts w:ascii="Wingdings" w:hAnsi="Wingdings" w:hint="default"/>
      </w:rPr>
    </w:lvl>
  </w:abstractNum>
  <w:abstractNum w:abstractNumId="47" w15:restartNumberingAfterBreak="0">
    <w:nsid w:val="7B151986"/>
    <w:multiLevelType w:val="multilevel"/>
    <w:tmpl w:val="2A9604D6"/>
    <w:lvl w:ilvl="0">
      <w:start w:val="1"/>
      <w:numFmt w:val="bullet"/>
      <w:pStyle w:val="BulletsSWA"/>
      <w:lvlText w:val=""/>
      <w:lvlJc w:val="left"/>
      <w:pPr>
        <w:ind w:left="360" w:hanging="360"/>
      </w:pPr>
      <w:rPr>
        <w:rFonts w:ascii="Wingdings 2" w:hAnsi="Wingdings 2" w:hint="default"/>
        <w:color w:val="44546A"/>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7B681141"/>
    <w:multiLevelType w:val="hybridMultilevel"/>
    <w:tmpl w:val="4F5E4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D44514"/>
    <w:multiLevelType w:val="multilevel"/>
    <w:tmpl w:val="89AE7EA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1"/>
  </w:num>
  <w:num w:numId="2">
    <w:abstractNumId w:val="32"/>
  </w:num>
  <w:num w:numId="3">
    <w:abstractNumId w:val="6"/>
  </w:num>
  <w:num w:numId="4">
    <w:abstractNumId w:val="42"/>
  </w:num>
  <w:num w:numId="5">
    <w:abstractNumId w:val="41"/>
  </w:num>
  <w:num w:numId="6">
    <w:abstractNumId w:val="21"/>
  </w:num>
  <w:num w:numId="7">
    <w:abstractNumId w:val="34"/>
  </w:num>
  <w:num w:numId="8">
    <w:abstractNumId w:val="14"/>
  </w:num>
  <w:num w:numId="9">
    <w:abstractNumId w:val="5"/>
  </w:num>
  <w:num w:numId="10">
    <w:abstractNumId w:val="18"/>
  </w:num>
  <w:num w:numId="11">
    <w:abstractNumId w:val="26"/>
  </w:num>
  <w:num w:numId="12">
    <w:abstractNumId w:val="4"/>
  </w:num>
  <w:num w:numId="13">
    <w:abstractNumId w:val="44"/>
  </w:num>
  <w:num w:numId="14">
    <w:abstractNumId w:val="1"/>
  </w:num>
  <w:num w:numId="15">
    <w:abstractNumId w:val="0"/>
  </w:num>
  <w:num w:numId="16">
    <w:abstractNumId w:val="49"/>
  </w:num>
  <w:num w:numId="17">
    <w:abstractNumId w:val="27"/>
  </w:num>
  <w:num w:numId="18">
    <w:abstractNumId w:val="24"/>
  </w:num>
  <w:num w:numId="19">
    <w:abstractNumId w:val="30"/>
  </w:num>
  <w:num w:numId="20">
    <w:abstractNumId w:val="25"/>
  </w:num>
  <w:num w:numId="21">
    <w:abstractNumId w:val="2"/>
  </w:num>
  <w:num w:numId="22">
    <w:abstractNumId w:val="20"/>
  </w:num>
  <w:num w:numId="23">
    <w:abstractNumId w:val="43"/>
  </w:num>
  <w:num w:numId="24">
    <w:abstractNumId w:val="10"/>
  </w:num>
  <w:num w:numId="25">
    <w:abstractNumId w:val="19"/>
  </w:num>
  <w:num w:numId="26">
    <w:abstractNumId w:val="8"/>
  </w:num>
  <w:num w:numId="27">
    <w:abstractNumId w:val="7"/>
  </w:num>
  <w:num w:numId="28">
    <w:abstractNumId w:val="23"/>
  </w:num>
  <w:num w:numId="29">
    <w:abstractNumId w:val="46"/>
  </w:num>
  <w:num w:numId="30">
    <w:abstractNumId w:val="17"/>
  </w:num>
  <w:num w:numId="31">
    <w:abstractNumId w:val="47"/>
  </w:num>
  <w:num w:numId="32">
    <w:abstractNumId w:val="45"/>
  </w:num>
  <w:num w:numId="33">
    <w:abstractNumId w:val="12"/>
  </w:num>
  <w:num w:numId="34">
    <w:abstractNumId w:val="37"/>
  </w:num>
  <w:num w:numId="35">
    <w:abstractNumId w:val="9"/>
  </w:num>
  <w:num w:numId="36">
    <w:abstractNumId w:val="28"/>
  </w:num>
  <w:num w:numId="37">
    <w:abstractNumId w:val="38"/>
  </w:num>
  <w:num w:numId="38">
    <w:abstractNumId w:val="33"/>
  </w:num>
  <w:num w:numId="39">
    <w:abstractNumId w:val="13"/>
  </w:num>
  <w:num w:numId="40">
    <w:abstractNumId w:val="35"/>
  </w:num>
  <w:num w:numId="41">
    <w:abstractNumId w:val="48"/>
  </w:num>
  <w:num w:numId="42">
    <w:abstractNumId w:val="40"/>
  </w:num>
  <w:num w:numId="43">
    <w:abstractNumId w:val="11"/>
  </w:num>
  <w:num w:numId="44">
    <w:abstractNumId w:val="29"/>
  </w:num>
  <w:num w:numId="45">
    <w:abstractNumId w:val="36"/>
  </w:num>
  <w:num w:numId="46">
    <w:abstractNumId w:val="22"/>
  </w:num>
  <w:num w:numId="47">
    <w:abstractNumId w:val="49"/>
    <w:lvlOverride w:ilvl="0">
      <w:lvl w:ilvl="0">
        <w:start w:val="1"/>
        <w:numFmt w:val="lowerLetter"/>
        <w:pStyle w:val="Listnum"/>
        <w:lvlText w:val="(%1)"/>
        <w:lvlJc w:val="left"/>
        <w:pPr>
          <w:tabs>
            <w:tab w:val="num" w:pos="360"/>
          </w:tabs>
          <w:ind w:left="360" w:hanging="360"/>
        </w:pPr>
        <w:rPr>
          <w:rFonts w:hint="default"/>
        </w:rPr>
      </w:lvl>
    </w:lvlOverride>
    <w:lvlOverride w:ilvl="1">
      <w:lvl w:ilvl="1">
        <w:start w:val="1"/>
        <w:numFmt w:val="lowerRoman"/>
        <w:pStyle w:val="Listnum2"/>
        <w:lvlText w:val="(%2)"/>
        <w:lvlJc w:val="left"/>
        <w:pPr>
          <w:tabs>
            <w:tab w:val="num" w:pos="864"/>
          </w:tabs>
          <w:ind w:left="720" w:hanging="360"/>
        </w:pPr>
        <w:rPr>
          <w:rFonts w:hint="default"/>
        </w:rPr>
      </w:lvl>
    </w:lvlOverride>
    <w:lvlOverride w:ilvl="2">
      <w:lvl w:ilvl="2">
        <w:start w:val="1"/>
        <w:numFmt w:val="decimal"/>
        <w:pStyle w:val="Heading1numbered"/>
        <w:lvlText w:val="%3."/>
        <w:lvlJc w:val="left"/>
        <w:pPr>
          <w:tabs>
            <w:tab w:val="num" w:pos="792"/>
          </w:tabs>
          <w:ind w:left="792" w:hanging="792"/>
        </w:pPr>
        <w:rPr>
          <w:rFonts w:hint="default"/>
        </w:rPr>
      </w:lvl>
    </w:lvlOverride>
    <w:lvlOverride w:ilvl="3">
      <w:lvl w:ilvl="3">
        <w:start w:val="1"/>
        <w:numFmt w:val="decimal"/>
        <w:pStyle w:val="Heading2numbered"/>
        <w:lvlText w:val="%3.%4"/>
        <w:lvlJc w:val="left"/>
        <w:pPr>
          <w:tabs>
            <w:tab w:val="num" w:pos="792"/>
          </w:tabs>
          <w:ind w:left="792" w:hanging="792"/>
        </w:pPr>
        <w:rPr>
          <w:rFonts w:hint="default"/>
        </w:rPr>
      </w:lvl>
    </w:lvlOverride>
    <w:lvlOverride w:ilvl="4">
      <w:lvl w:ilvl="4">
        <w:start w:val="1"/>
        <w:numFmt w:val="decimal"/>
        <w:pStyle w:val="Heading3numbered"/>
        <w:lvlText w:val="%3.%4.%5"/>
        <w:lvlJc w:val="left"/>
        <w:pPr>
          <w:tabs>
            <w:tab w:val="num" w:pos="792"/>
          </w:tabs>
          <w:ind w:left="792" w:hanging="792"/>
        </w:pPr>
        <w:rPr>
          <w:rFonts w:hint="default"/>
        </w:rPr>
      </w:lvl>
    </w:lvlOverride>
    <w:lvlOverride w:ilvl="5">
      <w:lvl w:ilvl="5">
        <w:start w:val="1"/>
        <w:numFmt w:val="decimal"/>
        <w:pStyle w:val="Heading4numbered"/>
        <w:lvlText w:val="%3.%4.%5.%6"/>
        <w:lvlJc w:val="left"/>
        <w:pPr>
          <w:tabs>
            <w:tab w:val="num" w:pos="792"/>
          </w:tabs>
          <w:ind w:left="792" w:hanging="792"/>
        </w:pPr>
        <w:rPr>
          <w:rFonts w:hint="default"/>
        </w:rPr>
      </w:lvl>
    </w:lvlOverride>
    <w:lvlOverride w:ilvl="6">
      <w:lvl w:ilvl="6">
        <w:start w:val="1"/>
        <w:numFmt w:val="lowerLetter"/>
        <w:pStyle w:val="Listnumindent"/>
        <w:lvlText w:val="(%7)"/>
        <w:lvlJc w:val="left"/>
        <w:pPr>
          <w:tabs>
            <w:tab w:val="num" w:pos="1296"/>
          </w:tabs>
          <w:ind w:left="1296" w:hanging="504"/>
        </w:pPr>
        <w:rPr>
          <w:rFonts w:hint="default"/>
        </w:rPr>
      </w:lvl>
    </w:lvlOverride>
    <w:lvlOverride w:ilvl="7">
      <w:lvl w:ilvl="7">
        <w:start w:val="1"/>
        <w:numFmt w:val="lowerRoman"/>
        <w:pStyle w:val="Listnumindent2"/>
        <w:lvlText w:val="(%8)"/>
        <w:lvlJc w:val="left"/>
        <w:pPr>
          <w:tabs>
            <w:tab w:val="num" w:pos="1800"/>
          </w:tabs>
          <w:ind w:left="1800" w:hanging="504"/>
        </w:pPr>
        <w:rPr>
          <w:rFonts w:hint="default"/>
        </w:rPr>
      </w:lvl>
    </w:lvlOverride>
    <w:lvlOverride w:ilvl="8">
      <w:lvl w:ilvl="8">
        <w:start w:val="1"/>
        <w:numFmt w:val="decimal"/>
        <w:pStyle w:val="Numparaindent"/>
        <w:lvlText w:val="%9."/>
        <w:lvlJc w:val="left"/>
        <w:pPr>
          <w:tabs>
            <w:tab w:val="num" w:pos="1296"/>
          </w:tabs>
          <w:ind w:left="1296" w:hanging="504"/>
        </w:pPr>
        <w:rPr>
          <w:rFonts w:hint="default"/>
        </w:rPr>
      </w:lvl>
    </w:lvlOverride>
  </w:num>
  <w:num w:numId="48">
    <w:abstractNumId w:val="16"/>
  </w:num>
  <w:num w:numId="49">
    <w:abstractNumId w:val="15"/>
  </w:num>
  <w:num w:numId="50">
    <w:abstractNumId w:val="3"/>
  </w:num>
  <w:num w:numId="51">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185"/>
    <w:rsid w:val="0000006E"/>
    <w:rsid w:val="00000F52"/>
    <w:rsid w:val="00000FA5"/>
    <w:rsid w:val="00001272"/>
    <w:rsid w:val="00001293"/>
    <w:rsid w:val="00001457"/>
    <w:rsid w:val="000015F5"/>
    <w:rsid w:val="0000195E"/>
    <w:rsid w:val="00001A31"/>
    <w:rsid w:val="00001A35"/>
    <w:rsid w:val="00001A49"/>
    <w:rsid w:val="00001A9E"/>
    <w:rsid w:val="00001D13"/>
    <w:rsid w:val="00001EB0"/>
    <w:rsid w:val="00001F6C"/>
    <w:rsid w:val="000021FD"/>
    <w:rsid w:val="000027AC"/>
    <w:rsid w:val="000027B5"/>
    <w:rsid w:val="00002823"/>
    <w:rsid w:val="00002828"/>
    <w:rsid w:val="000028ED"/>
    <w:rsid w:val="00002AA7"/>
    <w:rsid w:val="00002B9D"/>
    <w:rsid w:val="00002C1D"/>
    <w:rsid w:val="00002CF5"/>
    <w:rsid w:val="00002DFE"/>
    <w:rsid w:val="00002F73"/>
    <w:rsid w:val="000035A7"/>
    <w:rsid w:val="00003727"/>
    <w:rsid w:val="00003814"/>
    <w:rsid w:val="00003B6F"/>
    <w:rsid w:val="00003C80"/>
    <w:rsid w:val="00003CE5"/>
    <w:rsid w:val="00003F07"/>
    <w:rsid w:val="00003FBC"/>
    <w:rsid w:val="00004101"/>
    <w:rsid w:val="00004318"/>
    <w:rsid w:val="0000445F"/>
    <w:rsid w:val="0000455E"/>
    <w:rsid w:val="00004616"/>
    <w:rsid w:val="000046AB"/>
    <w:rsid w:val="0000479E"/>
    <w:rsid w:val="000048D6"/>
    <w:rsid w:val="00004C60"/>
    <w:rsid w:val="00004E3E"/>
    <w:rsid w:val="00004F89"/>
    <w:rsid w:val="0000501B"/>
    <w:rsid w:val="00005087"/>
    <w:rsid w:val="00005608"/>
    <w:rsid w:val="00005835"/>
    <w:rsid w:val="000059CC"/>
    <w:rsid w:val="00005B69"/>
    <w:rsid w:val="00006211"/>
    <w:rsid w:val="0000622E"/>
    <w:rsid w:val="0000633F"/>
    <w:rsid w:val="000065AA"/>
    <w:rsid w:val="00006668"/>
    <w:rsid w:val="00006819"/>
    <w:rsid w:val="000068A3"/>
    <w:rsid w:val="000068E3"/>
    <w:rsid w:val="00006A64"/>
    <w:rsid w:val="00006C73"/>
    <w:rsid w:val="00006C90"/>
    <w:rsid w:val="00006D58"/>
    <w:rsid w:val="00006F45"/>
    <w:rsid w:val="000071DC"/>
    <w:rsid w:val="0000732E"/>
    <w:rsid w:val="000073AA"/>
    <w:rsid w:val="000073E9"/>
    <w:rsid w:val="000075F0"/>
    <w:rsid w:val="000076B1"/>
    <w:rsid w:val="00007784"/>
    <w:rsid w:val="00007882"/>
    <w:rsid w:val="000078A3"/>
    <w:rsid w:val="00007B87"/>
    <w:rsid w:val="00007DA0"/>
    <w:rsid w:val="00007F2C"/>
    <w:rsid w:val="00010128"/>
    <w:rsid w:val="000102E4"/>
    <w:rsid w:val="00010384"/>
    <w:rsid w:val="0001049C"/>
    <w:rsid w:val="000104F0"/>
    <w:rsid w:val="00010A32"/>
    <w:rsid w:val="00010BF8"/>
    <w:rsid w:val="00010E9E"/>
    <w:rsid w:val="000111E3"/>
    <w:rsid w:val="00011677"/>
    <w:rsid w:val="000116DC"/>
    <w:rsid w:val="000117B2"/>
    <w:rsid w:val="00011AA3"/>
    <w:rsid w:val="00011E32"/>
    <w:rsid w:val="00011E54"/>
    <w:rsid w:val="000120C2"/>
    <w:rsid w:val="000124CE"/>
    <w:rsid w:val="0001256E"/>
    <w:rsid w:val="0001299E"/>
    <w:rsid w:val="000129E7"/>
    <w:rsid w:val="00012C8D"/>
    <w:rsid w:val="00012EBC"/>
    <w:rsid w:val="00013040"/>
    <w:rsid w:val="00013137"/>
    <w:rsid w:val="000131B6"/>
    <w:rsid w:val="00013227"/>
    <w:rsid w:val="00013382"/>
    <w:rsid w:val="0001365E"/>
    <w:rsid w:val="0001382F"/>
    <w:rsid w:val="00013B77"/>
    <w:rsid w:val="00013B78"/>
    <w:rsid w:val="00013D13"/>
    <w:rsid w:val="00013D7D"/>
    <w:rsid w:val="00013EF3"/>
    <w:rsid w:val="00013F04"/>
    <w:rsid w:val="000140A7"/>
    <w:rsid w:val="0001413F"/>
    <w:rsid w:val="0001422D"/>
    <w:rsid w:val="000142B1"/>
    <w:rsid w:val="000142C2"/>
    <w:rsid w:val="00014323"/>
    <w:rsid w:val="000144AF"/>
    <w:rsid w:val="000144CE"/>
    <w:rsid w:val="000144D1"/>
    <w:rsid w:val="00014949"/>
    <w:rsid w:val="000149B0"/>
    <w:rsid w:val="000149CA"/>
    <w:rsid w:val="00014A31"/>
    <w:rsid w:val="00014BBE"/>
    <w:rsid w:val="00014C40"/>
    <w:rsid w:val="00014CFA"/>
    <w:rsid w:val="00014D09"/>
    <w:rsid w:val="00014E7C"/>
    <w:rsid w:val="00015166"/>
    <w:rsid w:val="000155FA"/>
    <w:rsid w:val="000156E8"/>
    <w:rsid w:val="000157B5"/>
    <w:rsid w:val="00015860"/>
    <w:rsid w:val="0001591B"/>
    <w:rsid w:val="00015927"/>
    <w:rsid w:val="000159E1"/>
    <w:rsid w:val="00015C82"/>
    <w:rsid w:val="00015C8E"/>
    <w:rsid w:val="00015FF3"/>
    <w:rsid w:val="00016243"/>
    <w:rsid w:val="0001626C"/>
    <w:rsid w:val="00016440"/>
    <w:rsid w:val="00016596"/>
    <w:rsid w:val="000165C1"/>
    <w:rsid w:val="0001688B"/>
    <w:rsid w:val="000168DD"/>
    <w:rsid w:val="00016FFE"/>
    <w:rsid w:val="0001703B"/>
    <w:rsid w:val="0001712C"/>
    <w:rsid w:val="000171D2"/>
    <w:rsid w:val="000173A1"/>
    <w:rsid w:val="00017489"/>
    <w:rsid w:val="000175A2"/>
    <w:rsid w:val="00017A82"/>
    <w:rsid w:val="00017C5A"/>
    <w:rsid w:val="00017CBA"/>
    <w:rsid w:val="00017D11"/>
    <w:rsid w:val="00017E62"/>
    <w:rsid w:val="00020033"/>
    <w:rsid w:val="00020119"/>
    <w:rsid w:val="000201A8"/>
    <w:rsid w:val="000203A0"/>
    <w:rsid w:val="0002068D"/>
    <w:rsid w:val="0002069A"/>
    <w:rsid w:val="000206A2"/>
    <w:rsid w:val="000208C6"/>
    <w:rsid w:val="0002095D"/>
    <w:rsid w:val="000209F5"/>
    <w:rsid w:val="00020A65"/>
    <w:rsid w:val="0002105D"/>
    <w:rsid w:val="000210D5"/>
    <w:rsid w:val="00021339"/>
    <w:rsid w:val="000214FC"/>
    <w:rsid w:val="00021653"/>
    <w:rsid w:val="0002198D"/>
    <w:rsid w:val="00021B8E"/>
    <w:rsid w:val="00021DBF"/>
    <w:rsid w:val="00021E63"/>
    <w:rsid w:val="00022274"/>
    <w:rsid w:val="000222E5"/>
    <w:rsid w:val="00022312"/>
    <w:rsid w:val="000223A5"/>
    <w:rsid w:val="00022437"/>
    <w:rsid w:val="00022991"/>
    <w:rsid w:val="00022C2D"/>
    <w:rsid w:val="00022E4E"/>
    <w:rsid w:val="00022ECE"/>
    <w:rsid w:val="00023044"/>
    <w:rsid w:val="000230C6"/>
    <w:rsid w:val="00023214"/>
    <w:rsid w:val="00023293"/>
    <w:rsid w:val="00023324"/>
    <w:rsid w:val="00023431"/>
    <w:rsid w:val="000234B8"/>
    <w:rsid w:val="000237D5"/>
    <w:rsid w:val="00023AC4"/>
    <w:rsid w:val="00023F54"/>
    <w:rsid w:val="000240F0"/>
    <w:rsid w:val="000243D2"/>
    <w:rsid w:val="00024404"/>
    <w:rsid w:val="00024509"/>
    <w:rsid w:val="00024524"/>
    <w:rsid w:val="00024634"/>
    <w:rsid w:val="00024689"/>
    <w:rsid w:val="00024D0E"/>
    <w:rsid w:val="00024F4A"/>
    <w:rsid w:val="000253E8"/>
    <w:rsid w:val="00025557"/>
    <w:rsid w:val="00025808"/>
    <w:rsid w:val="00025A8C"/>
    <w:rsid w:val="00025CE8"/>
    <w:rsid w:val="00025CF2"/>
    <w:rsid w:val="00025EF6"/>
    <w:rsid w:val="00025F7C"/>
    <w:rsid w:val="000261FE"/>
    <w:rsid w:val="00026208"/>
    <w:rsid w:val="000263A8"/>
    <w:rsid w:val="0002640E"/>
    <w:rsid w:val="0002667F"/>
    <w:rsid w:val="000267BB"/>
    <w:rsid w:val="0002698F"/>
    <w:rsid w:val="00026D65"/>
    <w:rsid w:val="00026EA4"/>
    <w:rsid w:val="00026F02"/>
    <w:rsid w:val="00026FDE"/>
    <w:rsid w:val="000271FF"/>
    <w:rsid w:val="00027288"/>
    <w:rsid w:val="000273CF"/>
    <w:rsid w:val="00027528"/>
    <w:rsid w:val="000276C1"/>
    <w:rsid w:val="000279A7"/>
    <w:rsid w:val="000279F5"/>
    <w:rsid w:val="00027BE5"/>
    <w:rsid w:val="00027BF5"/>
    <w:rsid w:val="00027E57"/>
    <w:rsid w:val="00030038"/>
    <w:rsid w:val="000300C0"/>
    <w:rsid w:val="000300ED"/>
    <w:rsid w:val="000301F8"/>
    <w:rsid w:val="00030291"/>
    <w:rsid w:val="000303D4"/>
    <w:rsid w:val="00030457"/>
    <w:rsid w:val="000304B2"/>
    <w:rsid w:val="000309BD"/>
    <w:rsid w:val="00030C37"/>
    <w:rsid w:val="00030CD0"/>
    <w:rsid w:val="00030D85"/>
    <w:rsid w:val="00030E58"/>
    <w:rsid w:val="00030FDC"/>
    <w:rsid w:val="0003103C"/>
    <w:rsid w:val="000310FA"/>
    <w:rsid w:val="0003114A"/>
    <w:rsid w:val="0003118C"/>
    <w:rsid w:val="000314F4"/>
    <w:rsid w:val="0003157B"/>
    <w:rsid w:val="000318C9"/>
    <w:rsid w:val="00031A68"/>
    <w:rsid w:val="00031AAA"/>
    <w:rsid w:val="00031B5C"/>
    <w:rsid w:val="00031BE1"/>
    <w:rsid w:val="00031C5E"/>
    <w:rsid w:val="00031E85"/>
    <w:rsid w:val="00031F19"/>
    <w:rsid w:val="00031FD2"/>
    <w:rsid w:val="00032086"/>
    <w:rsid w:val="00032105"/>
    <w:rsid w:val="00032228"/>
    <w:rsid w:val="00032455"/>
    <w:rsid w:val="00032572"/>
    <w:rsid w:val="00032699"/>
    <w:rsid w:val="00032A56"/>
    <w:rsid w:val="00032A8D"/>
    <w:rsid w:val="000333F1"/>
    <w:rsid w:val="00033603"/>
    <w:rsid w:val="00033CB8"/>
    <w:rsid w:val="00033CF8"/>
    <w:rsid w:val="00033E54"/>
    <w:rsid w:val="00034160"/>
    <w:rsid w:val="000341A4"/>
    <w:rsid w:val="00034294"/>
    <w:rsid w:val="0003461A"/>
    <w:rsid w:val="00034660"/>
    <w:rsid w:val="00034C3F"/>
    <w:rsid w:val="00034C4D"/>
    <w:rsid w:val="00034D5D"/>
    <w:rsid w:val="00034FEA"/>
    <w:rsid w:val="00034FEC"/>
    <w:rsid w:val="00035206"/>
    <w:rsid w:val="00035217"/>
    <w:rsid w:val="00035394"/>
    <w:rsid w:val="000355B4"/>
    <w:rsid w:val="0003580C"/>
    <w:rsid w:val="00035C5F"/>
    <w:rsid w:val="00035D28"/>
    <w:rsid w:val="00036252"/>
    <w:rsid w:val="000362D0"/>
    <w:rsid w:val="00036408"/>
    <w:rsid w:val="000367F9"/>
    <w:rsid w:val="00036A34"/>
    <w:rsid w:val="00036B4A"/>
    <w:rsid w:val="00036F36"/>
    <w:rsid w:val="0003721C"/>
    <w:rsid w:val="000375B6"/>
    <w:rsid w:val="000376CB"/>
    <w:rsid w:val="00037779"/>
    <w:rsid w:val="00037971"/>
    <w:rsid w:val="000379BA"/>
    <w:rsid w:val="00037BB9"/>
    <w:rsid w:val="00037BBB"/>
    <w:rsid w:val="00037BD0"/>
    <w:rsid w:val="00037CCF"/>
    <w:rsid w:val="00037DF2"/>
    <w:rsid w:val="00040302"/>
    <w:rsid w:val="000405EB"/>
    <w:rsid w:val="000406C9"/>
    <w:rsid w:val="00040979"/>
    <w:rsid w:val="00040983"/>
    <w:rsid w:val="000409F5"/>
    <w:rsid w:val="00040A84"/>
    <w:rsid w:val="00040B69"/>
    <w:rsid w:val="00040C06"/>
    <w:rsid w:val="00041136"/>
    <w:rsid w:val="000412E0"/>
    <w:rsid w:val="00041732"/>
    <w:rsid w:val="00041862"/>
    <w:rsid w:val="00041A68"/>
    <w:rsid w:val="00041ABC"/>
    <w:rsid w:val="00041AE3"/>
    <w:rsid w:val="00041C1C"/>
    <w:rsid w:val="00041C86"/>
    <w:rsid w:val="00041C9B"/>
    <w:rsid w:val="00041D73"/>
    <w:rsid w:val="00041F69"/>
    <w:rsid w:val="00042180"/>
    <w:rsid w:val="00042189"/>
    <w:rsid w:val="00042190"/>
    <w:rsid w:val="0004219C"/>
    <w:rsid w:val="00042337"/>
    <w:rsid w:val="00042550"/>
    <w:rsid w:val="00042606"/>
    <w:rsid w:val="000426AB"/>
    <w:rsid w:val="00042B90"/>
    <w:rsid w:val="00042C4F"/>
    <w:rsid w:val="00042D3D"/>
    <w:rsid w:val="00042D4C"/>
    <w:rsid w:val="00042DA7"/>
    <w:rsid w:val="00042DDD"/>
    <w:rsid w:val="00042E89"/>
    <w:rsid w:val="00042EC9"/>
    <w:rsid w:val="00042F40"/>
    <w:rsid w:val="00043140"/>
    <w:rsid w:val="0004335F"/>
    <w:rsid w:val="000433B7"/>
    <w:rsid w:val="000435FE"/>
    <w:rsid w:val="0004386D"/>
    <w:rsid w:val="00043AF2"/>
    <w:rsid w:val="00043B0D"/>
    <w:rsid w:val="00043CEC"/>
    <w:rsid w:val="00043D9E"/>
    <w:rsid w:val="00043EC6"/>
    <w:rsid w:val="00043EF7"/>
    <w:rsid w:val="00043FA3"/>
    <w:rsid w:val="0004407E"/>
    <w:rsid w:val="000440B9"/>
    <w:rsid w:val="000442AB"/>
    <w:rsid w:val="0004430C"/>
    <w:rsid w:val="000446A5"/>
    <w:rsid w:val="0004489C"/>
    <w:rsid w:val="00044A21"/>
    <w:rsid w:val="00044BF9"/>
    <w:rsid w:val="00044D20"/>
    <w:rsid w:val="00044D29"/>
    <w:rsid w:val="00045099"/>
    <w:rsid w:val="00045157"/>
    <w:rsid w:val="00045390"/>
    <w:rsid w:val="000453CD"/>
    <w:rsid w:val="0004543A"/>
    <w:rsid w:val="00045492"/>
    <w:rsid w:val="000455B5"/>
    <w:rsid w:val="000457D8"/>
    <w:rsid w:val="0004589B"/>
    <w:rsid w:val="0004595C"/>
    <w:rsid w:val="00045BB5"/>
    <w:rsid w:val="00045E33"/>
    <w:rsid w:val="00045F2E"/>
    <w:rsid w:val="00046097"/>
    <w:rsid w:val="0004619D"/>
    <w:rsid w:val="000463D0"/>
    <w:rsid w:val="00046462"/>
    <w:rsid w:val="000464BC"/>
    <w:rsid w:val="00046646"/>
    <w:rsid w:val="00046757"/>
    <w:rsid w:val="00046A9C"/>
    <w:rsid w:val="00046D00"/>
    <w:rsid w:val="0004711A"/>
    <w:rsid w:val="000475CD"/>
    <w:rsid w:val="000479D4"/>
    <w:rsid w:val="00050058"/>
    <w:rsid w:val="00050091"/>
    <w:rsid w:val="00050223"/>
    <w:rsid w:val="0005025B"/>
    <w:rsid w:val="00050270"/>
    <w:rsid w:val="000502D8"/>
    <w:rsid w:val="000503A6"/>
    <w:rsid w:val="0005047F"/>
    <w:rsid w:val="000507A5"/>
    <w:rsid w:val="00050B9D"/>
    <w:rsid w:val="00050F09"/>
    <w:rsid w:val="00051125"/>
    <w:rsid w:val="000511AF"/>
    <w:rsid w:val="00051350"/>
    <w:rsid w:val="00051525"/>
    <w:rsid w:val="00051717"/>
    <w:rsid w:val="0005175E"/>
    <w:rsid w:val="00051791"/>
    <w:rsid w:val="000517F8"/>
    <w:rsid w:val="00051851"/>
    <w:rsid w:val="00051969"/>
    <w:rsid w:val="00051F75"/>
    <w:rsid w:val="00051FD1"/>
    <w:rsid w:val="00052268"/>
    <w:rsid w:val="00052752"/>
    <w:rsid w:val="00052782"/>
    <w:rsid w:val="000527E4"/>
    <w:rsid w:val="000528F6"/>
    <w:rsid w:val="00052B40"/>
    <w:rsid w:val="00052B6C"/>
    <w:rsid w:val="00052BA7"/>
    <w:rsid w:val="00052C74"/>
    <w:rsid w:val="00052D01"/>
    <w:rsid w:val="00052E25"/>
    <w:rsid w:val="00052F5E"/>
    <w:rsid w:val="00053204"/>
    <w:rsid w:val="00053222"/>
    <w:rsid w:val="0005370A"/>
    <w:rsid w:val="000537DF"/>
    <w:rsid w:val="00053CC9"/>
    <w:rsid w:val="00053CD9"/>
    <w:rsid w:val="00053D11"/>
    <w:rsid w:val="00053D64"/>
    <w:rsid w:val="00053E45"/>
    <w:rsid w:val="00053F2B"/>
    <w:rsid w:val="00054126"/>
    <w:rsid w:val="00054214"/>
    <w:rsid w:val="0005436C"/>
    <w:rsid w:val="0005442C"/>
    <w:rsid w:val="000546BA"/>
    <w:rsid w:val="00054710"/>
    <w:rsid w:val="00054B3E"/>
    <w:rsid w:val="00054B52"/>
    <w:rsid w:val="00054BD9"/>
    <w:rsid w:val="00054C65"/>
    <w:rsid w:val="00054D7D"/>
    <w:rsid w:val="00054E1D"/>
    <w:rsid w:val="00054F57"/>
    <w:rsid w:val="00054F9B"/>
    <w:rsid w:val="0005544D"/>
    <w:rsid w:val="000554E9"/>
    <w:rsid w:val="0005565A"/>
    <w:rsid w:val="000556A5"/>
    <w:rsid w:val="00055733"/>
    <w:rsid w:val="00055795"/>
    <w:rsid w:val="000557B0"/>
    <w:rsid w:val="000558DD"/>
    <w:rsid w:val="00055A19"/>
    <w:rsid w:val="00055E6A"/>
    <w:rsid w:val="00055E6D"/>
    <w:rsid w:val="000561B8"/>
    <w:rsid w:val="000561CA"/>
    <w:rsid w:val="00056299"/>
    <w:rsid w:val="00056306"/>
    <w:rsid w:val="000563EA"/>
    <w:rsid w:val="00056589"/>
    <w:rsid w:val="00056693"/>
    <w:rsid w:val="00056E96"/>
    <w:rsid w:val="0005724E"/>
    <w:rsid w:val="000576B6"/>
    <w:rsid w:val="00057832"/>
    <w:rsid w:val="0005787D"/>
    <w:rsid w:val="000578F8"/>
    <w:rsid w:val="0005798C"/>
    <w:rsid w:val="000579CF"/>
    <w:rsid w:val="00057C12"/>
    <w:rsid w:val="00057DCC"/>
    <w:rsid w:val="00057E05"/>
    <w:rsid w:val="0006002F"/>
    <w:rsid w:val="00060609"/>
    <w:rsid w:val="0006093D"/>
    <w:rsid w:val="00060948"/>
    <w:rsid w:val="00060A88"/>
    <w:rsid w:val="00060AE7"/>
    <w:rsid w:val="00060C31"/>
    <w:rsid w:val="000610A9"/>
    <w:rsid w:val="0006113C"/>
    <w:rsid w:val="00061177"/>
    <w:rsid w:val="00061209"/>
    <w:rsid w:val="000612EF"/>
    <w:rsid w:val="00061358"/>
    <w:rsid w:val="000615C0"/>
    <w:rsid w:val="00061629"/>
    <w:rsid w:val="0006169D"/>
    <w:rsid w:val="00061881"/>
    <w:rsid w:val="000618C1"/>
    <w:rsid w:val="000619C7"/>
    <w:rsid w:val="00061A6C"/>
    <w:rsid w:val="00061C78"/>
    <w:rsid w:val="00061D02"/>
    <w:rsid w:val="00061EF9"/>
    <w:rsid w:val="00062214"/>
    <w:rsid w:val="00062245"/>
    <w:rsid w:val="000624AF"/>
    <w:rsid w:val="000624FC"/>
    <w:rsid w:val="00062628"/>
    <w:rsid w:val="00062739"/>
    <w:rsid w:val="000627C7"/>
    <w:rsid w:val="000627E3"/>
    <w:rsid w:val="00062844"/>
    <w:rsid w:val="000628BC"/>
    <w:rsid w:val="00062B33"/>
    <w:rsid w:val="00062BA3"/>
    <w:rsid w:val="00062F36"/>
    <w:rsid w:val="00062F3A"/>
    <w:rsid w:val="00063017"/>
    <w:rsid w:val="00063034"/>
    <w:rsid w:val="0006303A"/>
    <w:rsid w:val="0006355B"/>
    <w:rsid w:val="0006362D"/>
    <w:rsid w:val="000637FB"/>
    <w:rsid w:val="00063998"/>
    <w:rsid w:val="00063CE4"/>
    <w:rsid w:val="00063EBC"/>
    <w:rsid w:val="00063ED7"/>
    <w:rsid w:val="00063EE9"/>
    <w:rsid w:val="0006459B"/>
    <w:rsid w:val="000645FA"/>
    <w:rsid w:val="00064735"/>
    <w:rsid w:val="000647D9"/>
    <w:rsid w:val="00064D2F"/>
    <w:rsid w:val="00064EB2"/>
    <w:rsid w:val="00065201"/>
    <w:rsid w:val="00065348"/>
    <w:rsid w:val="000654F8"/>
    <w:rsid w:val="00065542"/>
    <w:rsid w:val="00065773"/>
    <w:rsid w:val="00065868"/>
    <w:rsid w:val="00065960"/>
    <w:rsid w:val="00065BF0"/>
    <w:rsid w:val="00065CBB"/>
    <w:rsid w:val="00065D11"/>
    <w:rsid w:val="00065D1C"/>
    <w:rsid w:val="00065D25"/>
    <w:rsid w:val="00065E2E"/>
    <w:rsid w:val="00065F2C"/>
    <w:rsid w:val="00066153"/>
    <w:rsid w:val="00066346"/>
    <w:rsid w:val="000667A1"/>
    <w:rsid w:val="0006684B"/>
    <w:rsid w:val="00066AD2"/>
    <w:rsid w:val="00066B99"/>
    <w:rsid w:val="00066C33"/>
    <w:rsid w:val="00066D25"/>
    <w:rsid w:val="00066D39"/>
    <w:rsid w:val="0006705C"/>
    <w:rsid w:val="0006721C"/>
    <w:rsid w:val="000672BD"/>
    <w:rsid w:val="0006739C"/>
    <w:rsid w:val="0006767C"/>
    <w:rsid w:val="000676A8"/>
    <w:rsid w:val="0006782F"/>
    <w:rsid w:val="00067B4C"/>
    <w:rsid w:val="00067D57"/>
    <w:rsid w:val="00067F28"/>
    <w:rsid w:val="00067FB7"/>
    <w:rsid w:val="0007002A"/>
    <w:rsid w:val="0007022D"/>
    <w:rsid w:val="0007033C"/>
    <w:rsid w:val="0007054F"/>
    <w:rsid w:val="000705F6"/>
    <w:rsid w:val="00070621"/>
    <w:rsid w:val="00070630"/>
    <w:rsid w:val="00070C11"/>
    <w:rsid w:val="00071277"/>
    <w:rsid w:val="000713F3"/>
    <w:rsid w:val="00071536"/>
    <w:rsid w:val="0007181E"/>
    <w:rsid w:val="000718CA"/>
    <w:rsid w:val="0007197A"/>
    <w:rsid w:val="00071C0A"/>
    <w:rsid w:val="00071CFB"/>
    <w:rsid w:val="00071D5D"/>
    <w:rsid w:val="00071E73"/>
    <w:rsid w:val="00072024"/>
    <w:rsid w:val="00072248"/>
    <w:rsid w:val="00072651"/>
    <w:rsid w:val="000729DE"/>
    <w:rsid w:val="00072C5B"/>
    <w:rsid w:val="00072F5D"/>
    <w:rsid w:val="00072F8D"/>
    <w:rsid w:val="00073179"/>
    <w:rsid w:val="000733E3"/>
    <w:rsid w:val="0007352F"/>
    <w:rsid w:val="000735D3"/>
    <w:rsid w:val="000738F2"/>
    <w:rsid w:val="00073D52"/>
    <w:rsid w:val="00074186"/>
    <w:rsid w:val="00074406"/>
    <w:rsid w:val="00074622"/>
    <w:rsid w:val="000748E7"/>
    <w:rsid w:val="00074951"/>
    <w:rsid w:val="00074A14"/>
    <w:rsid w:val="00074CD3"/>
    <w:rsid w:val="00074D10"/>
    <w:rsid w:val="00074E35"/>
    <w:rsid w:val="00074E7D"/>
    <w:rsid w:val="00075059"/>
    <w:rsid w:val="0007506B"/>
    <w:rsid w:val="00075276"/>
    <w:rsid w:val="00075455"/>
    <w:rsid w:val="0007574A"/>
    <w:rsid w:val="0007578D"/>
    <w:rsid w:val="000757D6"/>
    <w:rsid w:val="000758B6"/>
    <w:rsid w:val="00075E8B"/>
    <w:rsid w:val="00075EFA"/>
    <w:rsid w:val="00075F86"/>
    <w:rsid w:val="000761C5"/>
    <w:rsid w:val="000761E4"/>
    <w:rsid w:val="0007630C"/>
    <w:rsid w:val="0007639F"/>
    <w:rsid w:val="0007648F"/>
    <w:rsid w:val="00076804"/>
    <w:rsid w:val="00076891"/>
    <w:rsid w:val="000769AF"/>
    <w:rsid w:val="00076A4F"/>
    <w:rsid w:val="00076A90"/>
    <w:rsid w:val="00076AD1"/>
    <w:rsid w:val="00076BF1"/>
    <w:rsid w:val="00076CA2"/>
    <w:rsid w:val="00076D3F"/>
    <w:rsid w:val="000771AD"/>
    <w:rsid w:val="000771B5"/>
    <w:rsid w:val="00077695"/>
    <w:rsid w:val="000776C9"/>
    <w:rsid w:val="00077734"/>
    <w:rsid w:val="00077801"/>
    <w:rsid w:val="0007781C"/>
    <w:rsid w:val="00077B07"/>
    <w:rsid w:val="00077D16"/>
    <w:rsid w:val="00077DE4"/>
    <w:rsid w:val="00077EF9"/>
    <w:rsid w:val="00077FF5"/>
    <w:rsid w:val="0008027F"/>
    <w:rsid w:val="000803CA"/>
    <w:rsid w:val="0008051D"/>
    <w:rsid w:val="00080718"/>
    <w:rsid w:val="00080958"/>
    <w:rsid w:val="00080A0C"/>
    <w:rsid w:val="00081445"/>
    <w:rsid w:val="00081463"/>
    <w:rsid w:val="0008146F"/>
    <w:rsid w:val="000814AB"/>
    <w:rsid w:val="00081810"/>
    <w:rsid w:val="000819E0"/>
    <w:rsid w:val="00081E9E"/>
    <w:rsid w:val="00081FF4"/>
    <w:rsid w:val="00082234"/>
    <w:rsid w:val="00082286"/>
    <w:rsid w:val="000823EF"/>
    <w:rsid w:val="0008240A"/>
    <w:rsid w:val="0008241D"/>
    <w:rsid w:val="0008250A"/>
    <w:rsid w:val="00082657"/>
    <w:rsid w:val="00082A28"/>
    <w:rsid w:val="00082A64"/>
    <w:rsid w:val="00082FB1"/>
    <w:rsid w:val="000830BA"/>
    <w:rsid w:val="000832C4"/>
    <w:rsid w:val="000834D8"/>
    <w:rsid w:val="000835D5"/>
    <w:rsid w:val="0008380D"/>
    <w:rsid w:val="00083833"/>
    <w:rsid w:val="00083A35"/>
    <w:rsid w:val="00083B63"/>
    <w:rsid w:val="00083D2B"/>
    <w:rsid w:val="00083E3F"/>
    <w:rsid w:val="00083EE8"/>
    <w:rsid w:val="00084367"/>
    <w:rsid w:val="0008482C"/>
    <w:rsid w:val="00084AE3"/>
    <w:rsid w:val="00084B36"/>
    <w:rsid w:val="00084B57"/>
    <w:rsid w:val="00084D16"/>
    <w:rsid w:val="00085023"/>
    <w:rsid w:val="00085442"/>
    <w:rsid w:val="000856B8"/>
    <w:rsid w:val="0008577F"/>
    <w:rsid w:val="0008580A"/>
    <w:rsid w:val="00085A0F"/>
    <w:rsid w:val="00085A4B"/>
    <w:rsid w:val="00085B21"/>
    <w:rsid w:val="00085E77"/>
    <w:rsid w:val="00085FA4"/>
    <w:rsid w:val="00085FDD"/>
    <w:rsid w:val="0008615E"/>
    <w:rsid w:val="000863C6"/>
    <w:rsid w:val="000868F8"/>
    <w:rsid w:val="00086961"/>
    <w:rsid w:val="0008697A"/>
    <w:rsid w:val="000869DD"/>
    <w:rsid w:val="00086A1E"/>
    <w:rsid w:val="00086B11"/>
    <w:rsid w:val="00086D15"/>
    <w:rsid w:val="00086D96"/>
    <w:rsid w:val="00086F49"/>
    <w:rsid w:val="00087478"/>
    <w:rsid w:val="000876C3"/>
    <w:rsid w:val="0008774E"/>
    <w:rsid w:val="000879CA"/>
    <w:rsid w:val="00087FF8"/>
    <w:rsid w:val="000903C2"/>
    <w:rsid w:val="00090916"/>
    <w:rsid w:val="00090AA9"/>
    <w:rsid w:val="00090C68"/>
    <w:rsid w:val="00090CF7"/>
    <w:rsid w:val="00090D2C"/>
    <w:rsid w:val="00090F40"/>
    <w:rsid w:val="00090F67"/>
    <w:rsid w:val="00090FA6"/>
    <w:rsid w:val="000910E0"/>
    <w:rsid w:val="000913E4"/>
    <w:rsid w:val="00091438"/>
    <w:rsid w:val="000914A3"/>
    <w:rsid w:val="0009155D"/>
    <w:rsid w:val="00091967"/>
    <w:rsid w:val="00091A43"/>
    <w:rsid w:val="00091B0E"/>
    <w:rsid w:val="00091BCD"/>
    <w:rsid w:val="000921AF"/>
    <w:rsid w:val="000924A0"/>
    <w:rsid w:val="00092588"/>
    <w:rsid w:val="0009265A"/>
    <w:rsid w:val="00092A1A"/>
    <w:rsid w:val="00092A1F"/>
    <w:rsid w:val="00092BCE"/>
    <w:rsid w:val="00092D97"/>
    <w:rsid w:val="000930F7"/>
    <w:rsid w:val="00093144"/>
    <w:rsid w:val="00093362"/>
    <w:rsid w:val="0009352F"/>
    <w:rsid w:val="00093658"/>
    <w:rsid w:val="000936DE"/>
    <w:rsid w:val="000938E5"/>
    <w:rsid w:val="00093CA2"/>
    <w:rsid w:val="0009461C"/>
    <w:rsid w:val="000948BD"/>
    <w:rsid w:val="000949F8"/>
    <w:rsid w:val="00094AF4"/>
    <w:rsid w:val="00094C16"/>
    <w:rsid w:val="00094C20"/>
    <w:rsid w:val="00094DD1"/>
    <w:rsid w:val="00094E75"/>
    <w:rsid w:val="00094F28"/>
    <w:rsid w:val="00094F6A"/>
    <w:rsid w:val="0009563C"/>
    <w:rsid w:val="00095664"/>
    <w:rsid w:val="00095AF5"/>
    <w:rsid w:val="00095BF1"/>
    <w:rsid w:val="00095BF3"/>
    <w:rsid w:val="00096494"/>
    <w:rsid w:val="000964CB"/>
    <w:rsid w:val="00096702"/>
    <w:rsid w:val="00096D83"/>
    <w:rsid w:val="00096F54"/>
    <w:rsid w:val="0009709D"/>
    <w:rsid w:val="00097275"/>
    <w:rsid w:val="00097766"/>
    <w:rsid w:val="000978B1"/>
    <w:rsid w:val="00097A61"/>
    <w:rsid w:val="00097AAC"/>
    <w:rsid w:val="00097CFA"/>
    <w:rsid w:val="00097EAD"/>
    <w:rsid w:val="000A00B3"/>
    <w:rsid w:val="000A00D7"/>
    <w:rsid w:val="000A0426"/>
    <w:rsid w:val="000A05EA"/>
    <w:rsid w:val="000A0746"/>
    <w:rsid w:val="000A076D"/>
    <w:rsid w:val="000A0827"/>
    <w:rsid w:val="000A0835"/>
    <w:rsid w:val="000A08CA"/>
    <w:rsid w:val="000A08D2"/>
    <w:rsid w:val="000A0A2F"/>
    <w:rsid w:val="000A0C9B"/>
    <w:rsid w:val="000A0D36"/>
    <w:rsid w:val="000A0DB5"/>
    <w:rsid w:val="000A0E4C"/>
    <w:rsid w:val="000A0F3E"/>
    <w:rsid w:val="000A1182"/>
    <w:rsid w:val="000A15EB"/>
    <w:rsid w:val="000A15F2"/>
    <w:rsid w:val="000A16BF"/>
    <w:rsid w:val="000A1716"/>
    <w:rsid w:val="000A173A"/>
    <w:rsid w:val="000A17CE"/>
    <w:rsid w:val="000A1A6B"/>
    <w:rsid w:val="000A1B9B"/>
    <w:rsid w:val="000A1BB3"/>
    <w:rsid w:val="000A1C93"/>
    <w:rsid w:val="000A1DB8"/>
    <w:rsid w:val="000A1ED9"/>
    <w:rsid w:val="000A22D1"/>
    <w:rsid w:val="000A2352"/>
    <w:rsid w:val="000A2403"/>
    <w:rsid w:val="000A287F"/>
    <w:rsid w:val="000A2B6D"/>
    <w:rsid w:val="000A2CB3"/>
    <w:rsid w:val="000A2CDF"/>
    <w:rsid w:val="000A2D08"/>
    <w:rsid w:val="000A2F52"/>
    <w:rsid w:val="000A3036"/>
    <w:rsid w:val="000A3164"/>
    <w:rsid w:val="000A335D"/>
    <w:rsid w:val="000A341C"/>
    <w:rsid w:val="000A35A5"/>
    <w:rsid w:val="000A36D0"/>
    <w:rsid w:val="000A3832"/>
    <w:rsid w:val="000A3E39"/>
    <w:rsid w:val="000A3E46"/>
    <w:rsid w:val="000A3EB0"/>
    <w:rsid w:val="000A4006"/>
    <w:rsid w:val="000A403A"/>
    <w:rsid w:val="000A409D"/>
    <w:rsid w:val="000A41AF"/>
    <w:rsid w:val="000A4370"/>
    <w:rsid w:val="000A4452"/>
    <w:rsid w:val="000A44D0"/>
    <w:rsid w:val="000A4644"/>
    <w:rsid w:val="000A4725"/>
    <w:rsid w:val="000A483B"/>
    <w:rsid w:val="000A489F"/>
    <w:rsid w:val="000A4A00"/>
    <w:rsid w:val="000A4A48"/>
    <w:rsid w:val="000A4F98"/>
    <w:rsid w:val="000A526F"/>
    <w:rsid w:val="000A535F"/>
    <w:rsid w:val="000A53C0"/>
    <w:rsid w:val="000A53F6"/>
    <w:rsid w:val="000A5458"/>
    <w:rsid w:val="000A54DD"/>
    <w:rsid w:val="000A5584"/>
    <w:rsid w:val="000A55A7"/>
    <w:rsid w:val="000A560D"/>
    <w:rsid w:val="000A58F4"/>
    <w:rsid w:val="000A594A"/>
    <w:rsid w:val="000A5976"/>
    <w:rsid w:val="000A5E0D"/>
    <w:rsid w:val="000A6026"/>
    <w:rsid w:val="000A61F2"/>
    <w:rsid w:val="000A62F2"/>
    <w:rsid w:val="000A630D"/>
    <w:rsid w:val="000A6351"/>
    <w:rsid w:val="000A6535"/>
    <w:rsid w:val="000A653D"/>
    <w:rsid w:val="000A654B"/>
    <w:rsid w:val="000A6560"/>
    <w:rsid w:val="000A6668"/>
    <w:rsid w:val="000A670F"/>
    <w:rsid w:val="000A6738"/>
    <w:rsid w:val="000A68DE"/>
    <w:rsid w:val="000A6958"/>
    <w:rsid w:val="000A6978"/>
    <w:rsid w:val="000A6AAE"/>
    <w:rsid w:val="000A6B82"/>
    <w:rsid w:val="000A6C11"/>
    <w:rsid w:val="000A6D3F"/>
    <w:rsid w:val="000A6D99"/>
    <w:rsid w:val="000A7312"/>
    <w:rsid w:val="000A7726"/>
    <w:rsid w:val="000A7A4C"/>
    <w:rsid w:val="000A7A51"/>
    <w:rsid w:val="000A7D8C"/>
    <w:rsid w:val="000A7F1B"/>
    <w:rsid w:val="000A7F3D"/>
    <w:rsid w:val="000A7FD8"/>
    <w:rsid w:val="000B006C"/>
    <w:rsid w:val="000B00A0"/>
    <w:rsid w:val="000B0941"/>
    <w:rsid w:val="000B0C88"/>
    <w:rsid w:val="000B0F59"/>
    <w:rsid w:val="000B0FD4"/>
    <w:rsid w:val="000B0FE5"/>
    <w:rsid w:val="000B119B"/>
    <w:rsid w:val="000B14B9"/>
    <w:rsid w:val="000B16B7"/>
    <w:rsid w:val="000B19BD"/>
    <w:rsid w:val="000B1CE0"/>
    <w:rsid w:val="000B1D1F"/>
    <w:rsid w:val="000B1D2C"/>
    <w:rsid w:val="000B1F0E"/>
    <w:rsid w:val="000B1FAA"/>
    <w:rsid w:val="000B20D2"/>
    <w:rsid w:val="000B21BC"/>
    <w:rsid w:val="000B21FD"/>
    <w:rsid w:val="000B2219"/>
    <w:rsid w:val="000B22D7"/>
    <w:rsid w:val="000B2419"/>
    <w:rsid w:val="000B243E"/>
    <w:rsid w:val="000B248E"/>
    <w:rsid w:val="000B24C8"/>
    <w:rsid w:val="000B2568"/>
    <w:rsid w:val="000B2743"/>
    <w:rsid w:val="000B2796"/>
    <w:rsid w:val="000B2A53"/>
    <w:rsid w:val="000B2B18"/>
    <w:rsid w:val="000B2BBC"/>
    <w:rsid w:val="000B2C2C"/>
    <w:rsid w:val="000B2D50"/>
    <w:rsid w:val="000B2E3D"/>
    <w:rsid w:val="000B36D1"/>
    <w:rsid w:val="000B38E1"/>
    <w:rsid w:val="000B3EDE"/>
    <w:rsid w:val="000B42A7"/>
    <w:rsid w:val="000B462F"/>
    <w:rsid w:val="000B4785"/>
    <w:rsid w:val="000B47B3"/>
    <w:rsid w:val="000B48D7"/>
    <w:rsid w:val="000B4906"/>
    <w:rsid w:val="000B4979"/>
    <w:rsid w:val="000B4A01"/>
    <w:rsid w:val="000B4B57"/>
    <w:rsid w:val="000B4DBE"/>
    <w:rsid w:val="000B4EE6"/>
    <w:rsid w:val="000B4F7D"/>
    <w:rsid w:val="000B5093"/>
    <w:rsid w:val="000B51B9"/>
    <w:rsid w:val="000B528D"/>
    <w:rsid w:val="000B529B"/>
    <w:rsid w:val="000B55A7"/>
    <w:rsid w:val="000B5642"/>
    <w:rsid w:val="000B5742"/>
    <w:rsid w:val="000B5848"/>
    <w:rsid w:val="000B5871"/>
    <w:rsid w:val="000B5A0E"/>
    <w:rsid w:val="000B5B2F"/>
    <w:rsid w:val="000B5D12"/>
    <w:rsid w:val="000B5D26"/>
    <w:rsid w:val="000B607C"/>
    <w:rsid w:val="000B6211"/>
    <w:rsid w:val="000B62E7"/>
    <w:rsid w:val="000B651C"/>
    <w:rsid w:val="000B66D8"/>
    <w:rsid w:val="000B66DD"/>
    <w:rsid w:val="000B675E"/>
    <w:rsid w:val="000B6774"/>
    <w:rsid w:val="000B6A05"/>
    <w:rsid w:val="000B6D61"/>
    <w:rsid w:val="000B6D66"/>
    <w:rsid w:val="000B6F75"/>
    <w:rsid w:val="000B6FB6"/>
    <w:rsid w:val="000B7089"/>
    <w:rsid w:val="000B71C7"/>
    <w:rsid w:val="000B7357"/>
    <w:rsid w:val="000B73F9"/>
    <w:rsid w:val="000B745D"/>
    <w:rsid w:val="000B768B"/>
    <w:rsid w:val="000B7977"/>
    <w:rsid w:val="000B7D38"/>
    <w:rsid w:val="000B7E28"/>
    <w:rsid w:val="000B7FC1"/>
    <w:rsid w:val="000C002E"/>
    <w:rsid w:val="000C0146"/>
    <w:rsid w:val="000C014F"/>
    <w:rsid w:val="000C018C"/>
    <w:rsid w:val="000C024F"/>
    <w:rsid w:val="000C0936"/>
    <w:rsid w:val="000C0AC4"/>
    <w:rsid w:val="000C0C62"/>
    <w:rsid w:val="000C0CD8"/>
    <w:rsid w:val="000C0E05"/>
    <w:rsid w:val="000C0F69"/>
    <w:rsid w:val="000C12CB"/>
    <w:rsid w:val="000C1317"/>
    <w:rsid w:val="000C1934"/>
    <w:rsid w:val="000C1965"/>
    <w:rsid w:val="000C19BF"/>
    <w:rsid w:val="000C1B74"/>
    <w:rsid w:val="000C1BA7"/>
    <w:rsid w:val="000C1C4A"/>
    <w:rsid w:val="000C1D10"/>
    <w:rsid w:val="000C1E6F"/>
    <w:rsid w:val="000C20A5"/>
    <w:rsid w:val="000C215A"/>
    <w:rsid w:val="000C218B"/>
    <w:rsid w:val="000C231E"/>
    <w:rsid w:val="000C2785"/>
    <w:rsid w:val="000C2975"/>
    <w:rsid w:val="000C2C40"/>
    <w:rsid w:val="000C2CF1"/>
    <w:rsid w:val="000C32B3"/>
    <w:rsid w:val="000C38E2"/>
    <w:rsid w:val="000C395F"/>
    <w:rsid w:val="000C3B34"/>
    <w:rsid w:val="000C3BC3"/>
    <w:rsid w:val="000C3FA5"/>
    <w:rsid w:val="000C3FFC"/>
    <w:rsid w:val="000C419D"/>
    <w:rsid w:val="000C419F"/>
    <w:rsid w:val="000C471D"/>
    <w:rsid w:val="000C4A33"/>
    <w:rsid w:val="000C4ADD"/>
    <w:rsid w:val="000C4B56"/>
    <w:rsid w:val="000C4F83"/>
    <w:rsid w:val="000C52BA"/>
    <w:rsid w:val="000C52C9"/>
    <w:rsid w:val="000C5650"/>
    <w:rsid w:val="000C5F1B"/>
    <w:rsid w:val="000C62DF"/>
    <w:rsid w:val="000C6315"/>
    <w:rsid w:val="000C6327"/>
    <w:rsid w:val="000C640A"/>
    <w:rsid w:val="000C6494"/>
    <w:rsid w:val="000C6A68"/>
    <w:rsid w:val="000C6A7F"/>
    <w:rsid w:val="000C6E91"/>
    <w:rsid w:val="000C6ED2"/>
    <w:rsid w:val="000C72BB"/>
    <w:rsid w:val="000C74F6"/>
    <w:rsid w:val="000C750A"/>
    <w:rsid w:val="000C7517"/>
    <w:rsid w:val="000C753A"/>
    <w:rsid w:val="000C75AF"/>
    <w:rsid w:val="000C77F3"/>
    <w:rsid w:val="000C7A2B"/>
    <w:rsid w:val="000C7B21"/>
    <w:rsid w:val="000D0260"/>
    <w:rsid w:val="000D05D3"/>
    <w:rsid w:val="000D0609"/>
    <w:rsid w:val="000D0829"/>
    <w:rsid w:val="000D0AC5"/>
    <w:rsid w:val="000D0B08"/>
    <w:rsid w:val="000D0B3C"/>
    <w:rsid w:val="000D0B8C"/>
    <w:rsid w:val="000D0E83"/>
    <w:rsid w:val="000D0F2D"/>
    <w:rsid w:val="000D0FEC"/>
    <w:rsid w:val="000D11D6"/>
    <w:rsid w:val="000D1201"/>
    <w:rsid w:val="000D126D"/>
    <w:rsid w:val="000D1386"/>
    <w:rsid w:val="000D1768"/>
    <w:rsid w:val="000D181A"/>
    <w:rsid w:val="000D1DC2"/>
    <w:rsid w:val="000D1E3D"/>
    <w:rsid w:val="000D1F3F"/>
    <w:rsid w:val="000D1F99"/>
    <w:rsid w:val="000D2094"/>
    <w:rsid w:val="000D22D4"/>
    <w:rsid w:val="000D2495"/>
    <w:rsid w:val="000D28DF"/>
    <w:rsid w:val="000D2CDD"/>
    <w:rsid w:val="000D2DB3"/>
    <w:rsid w:val="000D2F4F"/>
    <w:rsid w:val="000D300C"/>
    <w:rsid w:val="000D327F"/>
    <w:rsid w:val="000D3305"/>
    <w:rsid w:val="000D33C8"/>
    <w:rsid w:val="000D3434"/>
    <w:rsid w:val="000D3440"/>
    <w:rsid w:val="000D37D7"/>
    <w:rsid w:val="000D37DB"/>
    <w:rsid w:val="000D38A6"/>
    <w:rsid w:val="000D3A94"/>
    <w:rsid w:val="000D412A"/>
    <w:rsid w:val="000D4398"/>
    <w:rsid w:val="000D43CE"/>
    <w:rsid w:val="000D46F2"/>
    <w:rsid w:val="000D46F8"/>
    <w:rsid w:val="000D4843"/>
    <w:rsid w:val="000D4B20"/>
    <w:rsid w:val="000D4B25"/>
    <w:rsid w:val="000D4F14"/>
    <w:rsid w:val="000D4F2C"/>
    <w:rsid w:val="000D4F74"/>
    <w:rsid w:val="000D4F89"/>
    <w:rsid w:val="000D500D"/>
    <w:rsid w:val="000D5107"/>
    <w:rsid w:val="000D52AF"/>
    <w:rsid w:val="000D5345"/>
    <w:rsid w:val="000D53D3"/>
    <w:rsid w:val="000D5484"/>
    <w:rsid w:val="000D55B4"/>
    <w:rsid w:val="000D564E"/>
    <w:rsid w:val="000D57B7"/>
    <w:rsid w:val="000D599F"/>
    <w:rsid w:val="000D5A78"/>
    <w:rsid w:val="000D5C0B"/>
    <w:rsid w:val="000D5E20"/>
    <w:rsid w:val="000D5EA5"/>
    <w:rsid w:val="000D5F12"/>
    <w:rsid w:val="000D5F47"/>
    <w:rsid w:val="000D5FF1"/>
    <w:rsid w:val="000D60DB"/>
    <w:rsid w:val="000D63E2"/>
    <w:rsid w:val="000D65B0"/>
    <w:rsid w:val="000D6677"/>
    <w:rsid w:val="000D66A6"/>
    <w:rsid w:val="000D6706"/>
    <w:rsid w:val="000D6AB1"/>
    <w:rsid w:val="000D6B07"/>
    <w:rsid w:val="000D6C16"/>
    <w:rsid w:val="000D6F20"/>
    <w:rsid w:val="000D6F79"/>
    <w:rsid w:val="000D70ED"/>
    <w:rsid w:val="000D71E6"/>
    <w:rsid w:val="000D731A"/>
    <w:rsid w:val="000D7452"/>
    <w:rsid w:val="000D748C"/>
    <w:rsid w:val="000D748F"/>
    <w:rsid w:val="000D7709"/>
    <w:rsid w:val="000D79E6"/>
    <w:rsid w:val="000D79FC"/>
    <w:rsid w:val="000D7DA4"/>
    <w:rsid w:val="000D7DC8"/>
    <w:rsid w:val="000E001F"/>
    <w:rsid w:val="000E02A6"/>
    <w:rsid w:val="000E0643"/>
    <w:rsid w:val="000E068D"/>
    <w:rsid w:val="000E078C"/>
    <w:rsid w:val="000E0893"/>
    <w:rsid w:val="000E0DE3"/>
    <w:rsid w:val="000E0FD1"/>
    <w:rsid w:val="000E104C"/>
    <w:rsid w:val="000E123C"/>
    <w:rsid w:val="000E128E"/>
    <w:rsid w:val="000E1525"/>
    <w:rsid w:val="000E15D6"/>
    <w:rsid w:val="000E190B"/>
    <w:rsid w:val="000E195F"/>
    <w:rsid w:val="000E19AC"/>
    <w:rsid w:val="000E1A59"/>
    <w:rsid w:val="000E1C7C"/>
    <w:rsid w:val="000E1CA6"/>
    <w:rsid w:val="000E1E2C"/>
    <w:rsid w:val="000E202E"/>
    <w:rsid w:val="000E20CD"/>
    <w:rsid w:val="000E2137"/>
    <w:rsid w:val="000E215E"/>
    <w:rsid w:val="000E240C"/>
    <w:rsid w:val="000E25DB"/>
    <w:rsid w:val="000E2803"/>
    <w:rsid w:val="000E28C0"/>
    <w:rsid w:val="000E2BB7"/>
    <w:rsid w:val="000E2C85"/>
    <w:rsid w:val="000E2D17"/>
    <w:rsid w:val="000E2E0B"/>
    <w:rsid w:val="000E309E"/>
    <w:rsid w:val="000E30B3"/>
    <w:rsid w:val="000E31DC"/>
    <w:rsid w:val="000E3212"/>
    <w:rsid w:val="000E349C"/>
    <w:rsid w:val="000E38F3"/>
    <w:rsid w:val="000E39A8"/>
    <w:rsid w:val="000E3AB4"/>
    <w:rsid w:val="000E3B26"/>
    <w:rsid w:val="000E3D0D"/>
    <w:rsid w:val="000E3D2B"/>
    <w:rsid w:val="000E3E05"/>
    <w:rsid w:val="000E3ED3"/>
    <w:rsid w:val="000E3FE8"/>
    <w:rsid w:val="000E3FF2"/>
    <w:rsid w:val="000E4053"/>
    <w:rsid w:val="000E4063"/>
    <w:rsid w:val="000E40F7"/>
    <w:rsid w:val="000E4113"/>
    <w:rsid w:val="000E413D"/>
    <w:rsid w:val="000E418E"/>
    <w:rsid w:val="000E4511"/>
    <w:rsid w:val="000E452E"/>
    <w:rsid w:val="000E4572"/>
    <w:rsid w:val="000E478C"/>
    <w:rsid w:val="000E47B5"/>
    <w:rsid w:val="000E49E7"/>
    <w:rsid w:val="000E4B09"/>
    <w:rsid w:val="000E4DDD"/>
    <w:rsid w:val="000E4EFC"/>
    <w:rsid w:val="000E509C"/>
    <w:rsid w:val="000E50AA"/>
    <w:rsid w:val="000E50AC"/>
    <w:rsid w:val="000E5244"/>
    <w:rsid w:val="000E52E9"/>
    <w:rsid w:val="000E5342"/>
    <w:rsid w:val="000E53C2"/>
    <w:rsid w:val="000E53EA"/>
    <w:rsid w:val="000E54D4"/>
    <w:rsid w:val="000E5590"/>
    <w:rsid w:val="000E568C"/>
    <w:rsid w:val="000E574D"/>
    <w:rsid w:val="000E5750"/>
    <w:rsid w:val="000E5881"/>
    <w:rsid w:val="000E5947"/>
    <w:rsid w:val="000E59E6"/>
    <w:rsid w:val="000E5B19"/>
    <w:rsid w:val="000E5EEB"/>
    <w:rsid w:val="000E628E"/>
    <w:rsid w:val="000E65B6"/>
    <w:rsid w:val="000E6635"/>
    <w:rsid w:val="000E67B0"/>
    <w:rsid w:val="000E68C0"/>
    <w:rsid w:val="000E699D"/>
    <w:rsid w:val="000E6A40"/>
    <w:rsid w:val="000E6BBA"/>
    <w:rsid w:val="000E6D20"/>
    <w:rsid w:val="000E6D6C"/>
    <w:rsid w:val="000E6EA4"/>
    <w:rsid w:val="000E706F"/>
    <w:rsid w:val="000E7482"/>
    <w:rsid w:val="000E750C"/>
    <w:rsid w:val="000E7769"/>
    <w:rsid w:val="000E7956"/>
    <w:rsid w:val="000E7A67"/>
    <w:rsid w:val="000E7A6A"/>
    <w:rsid w:val="000E7B11"/>
    <w:rsid w:val="000E7DC3"/>
    <w:rsid w:val="000F0173"/>
    <w:rsid w:val="000F019A"/>
    <w:rsid w:val="000F02DE"/>
    <w:rsid w:val="000F0729"/>
    <w:rsid w:val="000F07A2"/>
    <w:rsid w:val="000F099E"/>
    <w:rsid w:val="000F09A3"/>
    <w:rsid w:val="000F09BF"/>
    <w:rsid w:val="000F0B1E"/>
    <w:rsid w:val="000F0B9A"/>
    <w:rsid w:val="000F0DF2"/>
    <w:rsid w:val="000F0E12"/>
    <w:rsid w:val="000F0F72"/>
    <w:rsid w:val="000F1059"/>
    <w:rsid w:val="000F115B"/>
    <w:rsid w:val="000F136C"/>
    <w:rsid w:val="000F154F"/>
    <w:rsid w:val="000F1677"/>
    <w:rsid w:val="000F1ED0"/>
    <w:rsid w:val="000F1F6D"/>
    <w:rsid w:val="000F1FB0"/>
    <w:rsid w:val="000F2066"/>
    <w:rsid w:val="000F2080"/>
    <w:rsid w:val="000F218E"/>
    <w:rsid w:val="000F2195"/>
    <w:rsid w:val="000F2242"/>
    <w:rsid w:val="000F234D"/>
    <w:rsid w:val="000F23B0"/>
    <w:rsid w:val="000F270F"/>
    <w:rsid w:val="000F2750"/>
    <w:rsid w:val="000F282B"/>
    <w:rsid w:val="000F29B6"/>
    <w:rsid w:val="000F3043"/>
    <w:rsid w:val="000F31F3"/>
    <w:rsid w:val="000F3392"/>
    <w:rsid w:val="000F34D3"/>
    <w:rsid w:val="000F356B"/>
    <w:rsid w:val="000F3580"/>
    <w:rsid w:val="000F360D"/>
    <w:rsid w:val="000F3706"/>
    <w:rsid w:val="000F373C"/>
    <w:rsid w:val="000F374C"/>
    <w:rsid w:val="000F388B"/>
    <w:rsid w:val="000F39F1"/>
    <w:rsid w:val="000F3C0E"/>
    <w:rsid w:val="000F41F2"/>
    <w:rsid w:val="000F4390"/>
    <w:rsid w:val="000F4741"/>
    <w:rsid w:val="000F4A26"/>
    <w:rsid w:val="000F4BC6"/>
    <w:rsid w:val="000F4BCB"/>
    <w:rsid w:val="000F4DDC"/>
    <w:rsid w:val="000F4F84"/>
    <w:rsid w:val="000F4FD8"/>
    <w:rsid w:val="000F5093"/>
    <w:rsid w:val="000F50DE"/>
    <w:rsid w:val="000F50FE"/>
    <w:rsid w:val="000F510B"/>
    <w:rsid w:val="000F5134"/>
    <w:rsid w:val="000F5206"/>
    <w:rsid w:val="000F524A"/>
    <w:rsid w:val="000F5357"/>
    <w:rsid w:val="000F53B2"/>
    <w:rsid w:val="000F54C4"/>
    <w:rsid w:val="000F54F1"/>
    <w:rsid w:val="000F593A"/>
    <w:rsid w:val="000F5BFA"/>
    <w:rsid w:val="000F5C1E"/>
    <w:rsid w:val="000F5CF5"/>
    <w:rsid w:val="000F5F80"/>
    <w:rsid w:val="000F6104"/>
    <w:rsid w:val="000F61C7"/>
    <w:rsid w:val="000F64C7"/>
    <w:rsid w:val="000F64C9"/>
    <w:rsid w:val="000F687D"/>
    <w:rsid w:val="000F691D"/>
    <w:rsid w:val="000F6A02"/>
    <w:rsid w:val="000F6A5B"/>
    <w:rsid w:val="000F6A75"/>
    <w:rsid w:val="000F6ED3"/>
    <w:rsid w:val="000F711F"/>
    <w:rsid w:val="000F71FC"/>
    <w:rsid w:val="000F74F4"/>
    <w:rsid w:val="000F76E4"/>
    <w:rsid w:val="000F79AD"/>
    <w:rsid w:val="000F7A3E"/>
    <w:rsid w:val="000F7E09"/>
    <w:rsid w:val="000F7F24"/>
    <w:rsid w:val="000F7F25"/>
    <w:rsid w:val="000F7F2B"/>
    <w:rsid w:val="00100029"/>
    <w:rsid w:val="00100139"/>
    <w:rsid w:val="00100686"/>
    <w:rsid w:val="001007B9"/>
    <w:rsid w:val="001009D5"/>
    <w:rsid w:val="00100E62"/>
    <w:rsid w:val="00100EC2"/>
    <w:rsid w:val="001011E2"/>
    <w:rsid w:val="00101226"/>
    <w:rsid w:val="001012EB"/>
    <w:rsid w:val="00101376"/>
    <w:rsid w:val="001014A9"/>
    <w:rsid w:val="00101581"/>
    <w:rsid w:val="00101816"/>
    <w:rsid w:val="00101C92"/>
    <w:rsid w:val="00101D7A"/>
    <w:rsid w:val="00101DB5"/>
    <w:rsid w:val="00101E69"/>
    <w:rsid w:val="0010211F"/>
    <w:rsid w:val="0010214B"/>
    <w:rsid w:val="00102302"/>
    <w:rsid w:val="001023F3"/>
    <w:rsid w:val="001024D6"/>
    <w:rsid w:val="00102569"/>
    <w:rsid w:val="00102689"/>
    <w:rsid w:val="001028B6"/>
    <w:rsid w:val="001028F8"/>
    <w:rsid w:val="001029C2"/>
    <w:rsid w:val="00102BBA"/>
    <w:rsid w:val="00102E91"/>
    <w:rsid w:val="00102EB2"/>
    <w:rsid w:val="00102FA3"/>
    <w:rsid w:val="00103151"/>
    <w:rsid w:val="00103209"/>
    <w:rsid w:val="001033CF"/>
    <w:rsid w:val="001033FA"/>
    <w:rsid w:val="00103418"/>
    <w:rsid w:val="0010357F"/>
    <w:rsid w:val="0010373A"/>
    <w:rsid w:val="0010391F"/>
    <w:rsid w:val="00103AC6"/>
    <w:rsid w:val="00103CB9"/>
    <w:rsid w:val="00103D86"/>
    <w:rsid w:val="0010413E"/>
    <w:rsid w:val="0010427F"/>
    <w:rsid w:val="00104807"/>
    <w:rsid w:val="00104AFD"/>
    <w:rsid w:val="00104B13"/>
    <w:rsid w:val="00104B57"/>
    <w:rsid w:val="00104C96"/>
    <w:rsid w:val="00104FFB"/>
    <w:rsid w:val="0010516D"/>
    <w:rsid w:val="001051D4"/>
    <w:rsid w:val="0010528C"/>
    <w:rsid w:val="00105403"/>
    <w:rsid w:val="0010542D"/>
    <w:rsid w:val="001054D9"/>
    <w:rsid w:val="00105526"/>
    <w:rsid w:val="001055BC"/>
    <w:rsid w:val="001055DF"/>
    <w:rsid w:val="00105622"/>
    <w:rsid w:val="001056C2"/>
    <w:rsid w:val="001058A4"/>
    <w:rsid w:val="001058D0"/>
    <w:rsid w:val="00105A72"/>
    <w:rsid w:val="00105AEA"/>
    <w:rsid w:val="00105E6A"/>
    <w:rsid w:val="00105ECB"/>
    <w:rsid w:val="00105F41"/>
    <w:rsid w:val="00106128"/>
    <w:rsid w:val="0010613A"/>
    <w:rsid w:val="00106264"/>
    <w:rsid w:val="001063E4"/>
    <w:rsid w:val="00106444"/>
    <w:rsid w:val="00106562"/>
    <w:rsid w:val="00106853"/>
    <w:rsid w:val="0010691C"/>
    <w:rsid w:val="00106973"/>
    <w:rsid w:val="001069DC"/>
    <w:rsid w:val="00106AA6"/>
    <w:rsid w:val="00106AB6"/>
    <w:rsid w:val="00106AD4"/>
    <w:rsid w:val="00106ADF"/>
    <w:rsid w:val="00106DA5"/>
    <w:rsid w:val="00106F17"/>
    <w:rsid w:val="00106F9D"/>
    <w:rsid w:val="00106FA4"/>
    <w:rsid w:val="00107037"/>
    <w:rsid w:val="00107122"/>
    <w:rsid w:val="001072DE"/>
    <w:rsid w:val="001074D3"/>
    <w:rsid w:val="001075AB"/>
    <w:rsid w:val="00107621"/>
    <w:rsid w:val="001076D1"/>
    <w:rsid w:val="001076E2"/>
    <w:rsid w:val="0010786D"/>
    <w:rsid w:val="001078AE"/>
    <w:rsid w:val="0010791B"/>
    <w:rsid w:val="00107BF3"/>
    <w:rsid w:val="00107CFC"/>
    <w:rsid w:val="00107DBC"/>
    <w:rsid w:val="00107F5D"/>
    <w:rsid w:val="0011021D"/>
    <w:rsid w:val="001102D6"/>
    <w:rsid w:val="00110486"/>
    <w:rsid w:val="001104E2"/>
    <w:rsid w:val="001105D6"/>
    <w:rsid w:val="001108B0"/>
    <w:rsid w:val="001108E6"/>
    <w:rsid w:val="00110DD2"/>
    <w:rsid w:val="0011106D"/>
    <w:rsid w:val="0011109E"/>
    <w:rsid w:val="001110D8"/>
    <w:rsid w:val="001111CB"/>
    <w:rsid w:val="0011131B"/>
    <w:rsid w:val="001113EE"/>
    <w:rsid w:val="001114A4"/>
    <w:rsid w:val="001114B3"/>
    <w:rsid w:val="001114BB"/>
    <w:rsid w:val="0011153D"/>
    <w:rsid w:val="00111730"/>
    <w:rsid w:val="00111762"/>
    <w:rsid w:val="00111A5D"/>
    <w:rsid w:val="00111A9C"/>
    <w:rsid w:val="00111AC3"/>
    <w:rsid w:val="00111C29"/>
    <w:rsid w:val="00111CAF"/>
    <w:rsid w:val="00111D03"/>
    <w:rsid w:val="00111D14"/>
    <w:rsid w:val="00111EAE"/>
    <w:rsid w:val="0011200A"/>
    <w:rsid w:val="001120F2"/>
    <w:rsid w:val="001120F7"/>
    <w:rsid w:val="001124A3"/>
    <w:rsid w:val="001126CD"/>
    <w:rsid w:val="001128C7"/>
    <w:rsid w:val="00112970"/>
    <w:rsid w:val="00112A96"/>
    <w:rsid w:val="00112B8A"/>
    <w:rsid w:val="00112C47"/>
    <w:rsid w:val="00112CA0"/>
    <w:rsid w:val="00112D52"/>
    <w:rsid w:val="00112E05"/>
    <w:rsid w:val="00112E7A"/>
    <w:rsid w:val="001131D8"/>
    <w:rsid w:val="001132C8"/>
    <w:rsid w:val="001133C1"/>
    <w:rsid w:val="001133D1"/>
    <w:rsid w:val="001134A4"/>
    <w:rsid w:val="001135CE"/>
    <w:rsid w:val="0011371A"/>
    <w:rsid w:val="00113981"/>
    <w:rsid w:val="00113A0D"/>
    <w:rsid w:val="0011406E"/>
    <w:rsid w:val="001142B7"/>
    <w:rsid w:val="00114370"/>
    <w:rsid w:val="001144CB"/>
    <w:rsid w:val="001146CA"/>
    <w:rsid w:val="00114B23"/>
    <w:rsid w:val="001151A6"/>
    <w:rsid w:val="001156A4"/>
    <w:rsid w:val="001158CF"/>
    <w:rsid w:val="00115BAF"/>
    <w:rsid w:val="00115F05"/>
    <w:rsid w:val="00116376"/>
    <w:rsid w:val="001163D6"/>
    <w:rsid w:val="001165D9"/>
    <w:rsid w:val="001165FC"/>
    <w:rsid w:val="00116608"/>
    <w:rsid w:val="00116635"/>
    <w:rsid w:val="001166A5"/>
    <w:rsid w:val="00116810"/>
    <w:rsid w:val="00116AFF"/>
    <w:rsid w:val="00116C96"/>
    <w:rsid w:val="00116D1C"/>
    <w:rsid w:val="00116E1C"/>
    <w:rsid w:val="00116E6D"/>
    <w:rsid w:val="00116EEB"/>
    <w:rsid w:val="00116F49"/>
    <w:rsid w:val="00117484"/>
    <w:rsid w:val="001174E4"/>
    <w:rsid w:val="001179AB"/>
    <w:rsid w:val="00117AA0"/>
    <w:rsid w:val="00117AD3"/>
    <w:rsid w:val="00117F24"/>
    <w:rsid w:val="001200DC"/>
    <w:rsid w:val="0012015C"/>
    <w:rsid w:val="00120305"/>
    <w:rsid w:val="001204EA"/>
    <w:rsid w:val="0012055A"/>
    <w:rsid w:val="001205EE"/>
    <w:rsid w:val="00120643"/>
    <w:rsid w:val="00120890"/>
    <w:rsid w:val="00120DF0"/>
    <w:rsid w:val="00120E1B"/>
    <w:rsid w:val="00120F6E"/>
    <w:rsid w:val="00121427"/>
    <w:rsid w:val="001215DC"/>
    <w:rsid w:val="00121669"/>
    <w:rsid w:val="0012177A"/>
    <w:rsid w:val="001217B5"/>
    <w:rsid w:val="001217CB"/>
    <w:rsid w:val="00121BF2"/>
    <w:rsid w:val="00121CDD"/>
    <w:rsid w:val="00121D10"/>
    <w:rsid w:val="00121DE2"/>
    <w:rsid w:val="00121EB8"/>
    <w:rsid w:val="00121F54"/>
    <w:rsid w:val="00121F7B"/>
    <w:rsid w:val="00122148"/>
    <w:rsid w:val="0012230A"/>
    <w:rsid w:val="0012234D"/>
    <w:rsid w:val="0012240C"/>
    <w:rsid w:val="00122517"/>
    <w:rsid w:val="001225C3"/>
    <w:rsid w:val="001228B8"/>
    <w:rsid w:val="00122988"/>
    <w:rsid w:val="001229BE"/>
    <w:rsid w:val="00122B0B"/>
    <w:rsid w:val="00122CB5"/>
    <w:rsid w:val="00122DA8"/>
    <w:rsid w:val="00122F16"/>
    <w:rsid w:val="00122F99"/>
    <w:rsid w:val="00123197"/>
    <w:rsid w:val="00123224"/>
    <w:rsid w:val="00123276"/>
    <w:rsid w:val="001233CF"/>
    <w:rsid w:val="0012350D"/>
    <w:rsid w:val="0012358F"/>
    <w:rsid w:val="00123741"/>
    <w:rsid w:val="00123861"/>
    <w:rsid w:val="00123D9E"/>
    <w:rsid w:val="00123E37"/>
    <w:rsid w:val="00123F12"/>
    <w:rsid w:val="00123F17"/>
    <w:rsid w:val="00124297"/>
    <w:rsid w:val="001244C1"/>
    <w:rsid w:val="00124660"/>
    <w:rsid w:val="001246B3"/>
    <w:rsid w:val="001246E5"/>
    <w:rsid w:val="00124C6E"/>
    <w:rsid w:val="00124F62"/>
    <w:rsid w:val="001252F9"/>
    <w:rsid w:val="00125521"/>
    <w:rsid w:val="001256EB"/>
    <w:rsid w:val="0012575E"/>
    <w:rsid w:val="00125897"/>
    <w:rsid w:val="001258C7"/>
    <w:rsid w:val="001258FD"/>
    <w:rsid w:val="001259A3"/>
    <w:rsid w:val="00125C15"/>
    <w:rsid w:val="00125F62"/>
    <w:rsid w:val="00125FFC"/>
    <w:rsid w:val="001261A8"/>
    <w:rsid w:val="0012632B"/>
    <w:rsid w:val="0012641D"/>
    <w:rsid w:val="0012657E"/>
    <w:rsid w:val="001265BE"/>
    <w:rsid w:val="001268D1"/>
    <w:rsid w:val="00126927"/>
    <w:rsid w:val="00126B10"/>
    <w:rsid w:val="00126B8C"/>
    <w:rsid w:val="00126D46"/>
    <w:rsid w:val="00127373"/>
    <w:rsid w:val="00127506"/>
    <w:rsid w:val="00127538"/>
    <w:rsid w:val="00127573"/>
    <w:rsid w:val="00127786"/>
    <w:rsid w:val="00127AB7"/>
    <w:rsid w:val="00127B40"/>
    <w:rsid w:val="00127F3B"/>
    <w:rsid w:val="0013007E"/>
    <w:rsid w:val="00130156"/>
    <w:rsid w:val="0013016C"/>
    <w:rsid w:val="00130400"/>
    <w:rsid w:val="0013059C"/>
    <w:rsid w:val="0013064E"/>
    <w:rsid w:val="001307DF"/>
    <w:rsid w:val="001308C9"/>
    <w:rsid w:val="0013097A"/>
    <w:rsid w:val="00130BD8"/>
    <w:rsid w:val="00130F3F"/>
    <w:rsid w:val="00130FB1"/>
    <w:rsid w:val="00131081"/>
    <w:rsid w:val="001310A6"/>
    <w:rsid w:val="00131195"/>
    <w:rsid w:val="00131315"/>
    <w:rsid w:val="001313F2"/>
    <w:rsid w:val="0013144D"/>
    <w:rsid w:val="0013153E"/>
    <w:rsid w:val="0013154E"/>
    <w:rsid w:val="00131658"/>
    <w:rsid w:val="00131716"/>
    <w:rsid w:val="00131854"/>
    <w:rsid w:val="001318B8"/>
    <w:rsid w:val="0013196A"/>
    <w:rsid w:val="00131A1D"/>
    <w:rsid w:val="00131D2E"/>
    <w:rsid w:val="001320C5"/>
    <w:rsid w:val="00132268"/>
    <w:rsid w:val="001322C2"/>
    <w:rsid w:val="00132476"/>
    <w:rsid w:val="00132670"/>
    <w:rsid w:val="001326AC"/>
    <w:rsid w:val="00132738"/>
    <w:rsid w:val="00132759"/>
    <w:rsid w:val="00132B04"/>
    <w:rsid w:val="00132C53"/>
    <w:rsid w:val="00132CA7"/>
    <w:rsid w:val="00132D32"/>
    <w:rsid w:val="00132DCF"/>
    <w:rsid w:val="00132FF7"/>
    <w:rsid w:val="0013305E"/>
    <w:rsid w:val="001330A9"/>
    <w:rsid w:val="001330CE"/>
    <w:rsid w:val="00133515"/>
    <w:rsid w:val="00133744"/>
    <w:rsid w:val="00133770"/>
    <w:rsid w:val="00133977"/>
    <w:rsid w:val="00133B29"/>
    <w:rsid w:val="00133B89"/>
    <w:rsid w:val="00133C0E"/>
    <w:rsid w:val="00133C66"/>
    <w:rsid w:val="00133EEF"/>
    <w:rsid w:val="00133F72"/>
    <w:rsid w:val="00133FB8"/>
    <w:rsid w:val="001340AA"/>
    <w:rsid w:val="0013464C"/>
    <w:rsid w:val="001346B3"/>
    <w:rsid w:val="0013473C"/>
    <w:rsid w:val="0013483E"/>
    <w:rsid w:val="00134930"/>
    <w:rsid w:val="001349D3"/>
    <w:rsid w:val="00134ADD"/>
    <w:rsid w:val="00135478"/>
    <w:rsid w:val="00135503"/>
    <w:rsid w:val="0013575C"/>
    <w:rsid w:val="0013579F"/>
    <w:rsid w:val="001357AC"/>
    <w:rsid w:val="00135A4D"/>
    <w:rsid w:val="00135BB1"/>
    <w:rsid w:val="00135EF3"/>
    <w:rsid w:val="00135F35"/>
    <w:rsid w:val="00136413"/>
    <w:rsid w:val="001366E0"/>
    <w:rsid w:val="00136725"/>
    <w:rsid w:val="00136A4A"/>
    <w:rsid w:val="00136C02"/>
    <w:rsid w:val="00136C03"/>
    <w:rsid w:val="00136DC7"/>
    <w:rsid w:val="00136F09"/>
    <w:rsid w:val="00136F7E"/>
    <w:rsid w:val="001370AB"/>
    <w:rsid w:val="001372C7"/>
    <w:rsid w:val="001376D5"/>
    <w:rsid w:val="00137A5F"/>
    <w:rsid w:val="00137E5C"/>
    <w:rsid w:val="00137F98"/>
    <w:rsid w:val="0014015E"/>
    <w:rsid w:val="00140608"/>
    <w:rsid w:val="0014097D"/>
    <w:rsid w:val="00140C9B"/>
    <w:rsid w:val="00141098"/>
    <w:rsid w:val="001412C0"/>
    <w:rsid w:val="00141356"/>
    <w:rsid w:val="00141573"/>
    <w:rsid w:val="00141849"/>
    <w:rsid w:val="0014199A"/>
    <w:rsid w:val="00141BD7"/>
    <w:rsid w:val="00141C2D"/>
    <w:rsid w:val="00142036"/>
    <w:rsid w:val="001423A8"/>
    <w:rsid w:val="00142514"/>
    <w:rsid w:val="00142819"/>
    <w:rsid w:val="001428B9"/>
    <w:rsid w:val="0014290B"/>
    <w:rsid w:val="00142910"/>
    <w:rsid w:val="0014299B"/>
    <w:rsid w:val="00142B35"/>
    <w:rsid w:val="00142B7D"/>
    <w:rsid w:val="00142D28"/>
    <w:rsid w:val="00142D2D"/>
    <w:rsid w:val="00142E4D"/>
    <w:rsid w:val="0014300E"/>
    <w:rsid w:val="00143046"/>
    <w:rsid w:val="00143228"/>
    <w:rsid w:val="001432AE"/>
    <w:rsid w:val="00143326"/>
    <w:rsid w:val="001433C7"/>
    <w:rsid w:val="0014346B"/>
    <w:rsid w:val="001435A2"/>
    <w:rsid w:val="001436AB"/>
    <w:rsid w:val="0014377B"/>
    <w:rsid w:val="00143A0A"/>
    <w:rsid w:val="00143DD9"/>
    <w:rsid w:val="00144000"/>
    <w:rsid w:val="0014431A"/>
    <w:rsid w:val="001443A2"/>
    <w:rsid w:val="001446B1"/>
    <w:rsid w:val="001449B8"/>
    <w:rsid w:val="00144B29"/>
    <w:rsid w:val="00144C5F"/>
    <w:rsid w:val="00144C8B"/>
    <w:rsid w:val="00144DBA"/>
    <w:rsid w:val="00145095"/>
    <w:rsid w:val="001450BF"/>
    <w:rsid w:val="00145321"/>
    <w:rsid w:val="00145349"/>
    <w:rsid w:val="0014537A"/>
    <w:rsid w:val="0014547D"/>
    <w:rsid w:val="001455D4"/>
    <w:rsid w:val="001455EA"/>
    <w:rsid w:val="001456C2"/>
    <w:rsid w:val="00145727"/>
    <w:rsid w:val="001459BD"/>
    <w:rsid w:val="00145A0F"/>
    <w:rsid w:val="00145C15"/>
    <w:rsid w:val="00145D9E"/>
    <w:rsid w:val="00145DEC"/>
    <w:rsid w:val="00145E6D"/>
    <w:rsid w:val="00146076"/>
    <w:rsid w:val="001461C4"/>
    <w:rsid w:val="001462CC"/>
    <w:rsid w:val="00146447"/>
    <w:rsid w:val="0014647B"/>
    <w:rsid w:val="0014654D"/>
    <w:rsid w:val="001466D6"/>
    <w:rsid w:val="001468B4"/>
    <w:rsid w:val="00146B3E"/>
    <w:rsid w:val="00146C0B"/>
    <w:rsid w:val="00146CF3"/>
    <w:rsid w:val="00146E72"/>
    <w:rsid w:val="00146EB3"/>
    <w:rsid w:val="00147086"/>
    <w:rsid w:val="001470E8"/>
    <w:rsid w:val="001472A3"/>
    <w:rsid w:val="00147664"/>
    <w:rsid w:val="00147931"/>
    <w:rsid w:val="00147934"/>
    <w:rsid w:val="001479A5"/>
    <w:rsid w:val="00147ACD"/>
    <w:rsid w:val="00147B3A"/>
    <w:rsid w:val="00147CE6"/>
    <w:rsid w:val="00147E35"/>
    <w:rsid w:val="001503EF"/>
    <w:rsid w:val="001504A3"/>
    <w:rsid w:val="001504E1"/>
    <w:rsid w:val="0015052F"/>
    <w:rsid w:val="001505F5"/>
    <w:rsid w:val="00150A13"/>
    <w:rsid w:val="00150AD9"/>
    <w:rsid w:val="00150BA0"/>
    <w:rsid w:val="00150BA6"/>
    <w:rsid w:val="00150CC3"/>
    <w:rsid w:val="00151109"/>
    <w:rsid w:val="00151159"/>
    <w:rsid w:val="00151218"/>
    <w:rsid w:val="0015135C"/>
    <w:rsid w:val="001516E1"/>
    <w:rsid w:val="00151848"/>
    <w:rsid w:val="00151B0D"/>
    <w:rsid w:val="00151C7F"/>
    <w:rsid w:val="00151D3D"/>
    <w:rsid w:val="00151D78"/>
    <w:rsid w:val="00151DFE"/>
    <w:rsid w:val="00152262"/>
    <w:rsid w:val="00152390"/>
    <w:rsid w:val="001523D3"/>
    <w:rsid w:val="001524AB"/>
    <w:rsid w:val="0015251F"/>
    <w:rsid w:val="0015295A"/>
    <w:rsid w:val="00152A19"/>
    <w:rsid w:val="00152B6C"/>
    <w:rsid w:val="00152E7F"/>
    <w:rsid w:val="00152F6E"/>
    <w:rsid w:val="001530D2"/>
    <w:rsid w:val="001531C6"/>
    <w:rsid w:val="0015330B"/>
    <w:rsid w:val="001537D3"/>
    <w:rsid w:val="00153B4C"/>
    <w:rsid w:val="00153E1E"/>
    <w:rsid w:val="00153F95"/>
    <w:rsid w:val="00153F9B"/>
    <w:rsid w:val="00153FB3"/>
    <w:rsid w:val="00154029"/>
    <w:rsid w:val="001540F3"/>
    <w:rsid w:val="0015468F"/>
    <w:rsid w:val="001549FC"/>
    <w:rsid w:val="00154CA6"/>
    <w:rsid w:val="00154EC6"/>
    <w:rsid w:val="0015537B"/>
    <w:rsid w:val="0015543A"/>
    <w:rsid w:val="00155802"/>
    <w:rsid w:val="001558AB"/>
    <w:rsid w:val="0015592A"/>
    <w:rsid w:val="00155C25"/>
    <w:rsid w:val="00155CC8"/>
    <w:rsid w:val="00155EF5"/>
    <w:rsid w:val="00155F77"/>
    <w:rsid w:val="00156250"/>
    <w:rsid w:val="001562BD"/>
    <w:rsid w:val="00156843"/>
    <w:rsid w:val="001568EF"/>
    <w:rsid w:val="00156BD2"/>
    <w:rsid w:val="00156EB0"/>
    <w:rsid w:val="00156EE7"/>
    <w:rsid w:val="00157026"/>
    <w:rsid w:val="001570A6"/>
    <w:rsid w:val="001570C5"/>
    <w:rsid w:val="0015725F"/>
    <w:rsid w:val="00157269"/>
    <w:rsid w:val="0015728E"/>
    <w:rsid w:val="00157624"/>
    <w:rsid w:val="001576A9"/>
    <w:rsid w:val="001577E6"/>
    <w:rsid w:val="0015795B"/>
    <w:rsid w:val="00157AB6"/>
    <w:rsid w:val="00157B75"/>
    <w:rsid w:val="00157C7E"/>
    <w:rsid w:val="00157DF1"/>
    <w:rsid w:val="00157EE0"/>
    <w:rsid w:val="00160036"/>
    <w:rsid w:val="001601C9"/>
    <w:rsid w:val="0016037B"/>
    <w:rsid w:val="00160436"/>
    <w:rsid w:val="00160470"/>
    <w:rsid w:val="00160851"/>
    <w:rsid w:val="00160B4E"/>
    <w:rsid w:val="00160DD1"/>
    <w:rsid w:val="00160E97"/>
    <w:rsid w:val="00160EBF"/>
    <w:rsid w:val="0016103C"/>
    <w:rsid w:val="001610EF"/>
    <w:rsid w:val="0016141B"/>
    <w:rsid w:val="00161666"/>
    <w:rsid w:val="001616AB"/>
    <w:rsid w:val="001618EE"/>
    <w:rsid w:val="00161950"/>
    <w:rsid w:val="00161B36"/>
    <w:rsid w:val="00161B52"/>
    <w:rsid w:val="00161B9D"/>
    <w:rsid w:val="00161BF6"/>
    <w:rsid w:val="00161ECF"/>
    <w:rsid w:val="00161EE7"/>
    <w:rsid w:val="00161F9C"/>
    <w:rsid w:val="001621ED"/>
    <w:rsid w:val="001622CB"/>
    <w:rsid w:val="001623C9"/>
    <w:rsid w:val="001623F7"/>
    <w:rsid w:val="001627A7"/>
    <w:rsid w:val="00162AD7"/>
    <w:rsid w:val="00162BDA"/>
    <w:rsid w:val="00162D6A"/>
    <w:rsid w:val="00162DD9"/>
    <w:rsid w:val="001630C6"/>
    <w:rsid w:val="00163107"/>
    <w:rsid w:val="001631DE"/>
    <w:rsid w:val="00163344"/>
    <w:rsid w:val="00163464"/>
    <w:rsid w:val="00163479"/>
    <w:rsid w:val="0016380D"/>
    <w:rsid w:val="00163E5D"/>
    <w:rsid w:val="00164113"/>
    <w:rsid w:val="0016411F"/>
    <w:rsid w:val="00164219"/>
    <w:rsid w:val="00164298"/>
    <w:rsid w:val="0016491C"/>
    <w:rsid w:val="00164B43"/>
    <w:rsid w:val="00164D4B"/>
    <w:rsid w:val="00164DC3"/>
    <w:rsid w:val="001650D4"/>
    <w:rsid w:val="001651DA"/>
    <w:rsid w:val="00165256"/>
    <w:rsid w:val="00165680"/>
    <w:rsid w:val="00165874"/>
    <w:rsid w:val="00165C07"/>
    <w:rsid w:val="00165C37"/>
    <w:rsid w:val="00165FD1"/>
    <w:rsid w:val="00166357"/>
    <w:rsid w:val="0016652D"/>
    <w:rsid w:val="001666F9"/>
    <w:rsid w:val="00166CC6"/>
    <w:rsid w:val="00166CDB"/>
    <w:rsid w:val="00166CFB"/>
    <w:rsid w:val="00166E32"/>
    <w:rsid w:val="00166F1C"/>
    <w:rsid w:val="00167061"/>
    <w:rsid w:val="00167266"/>
    <w:rsid w:val="0016729D"/>
    <w:rsid w:val="001672A6"/>
    <w:rsid w:val="001673B8"/>
    <w:rsid w:val="001674A7"/>
    <w:rsid w:val="0016777E"/>
    <w:rsid w:val="0016778E"/>
    <w:rsid w:val="0016781C"/>
    <w:rsid w:val="00167878"/>
    <w:rsid w:val="00167967"/>
    <w:rsid w:val="001679F5"/>
    <w:rsid w:val="00167AD2"/>
    <w:rsid w:val="00167C94"/>
    <w:rsid w:val="00167F37"/>
    <w:rsid w:val="00167F5D"/>
    <w:rsid w:val="0017000C"/>
    <w:rsid w:val="00170100"/>
    <w:rsid w:val="00170326"/>
    <w:rsid w:val="0017035C"/>
    <w:rsid w:val="00170529"/>
    <w:rsid w:val="00170567"/>
    <w:rsid w:val="001705CF"/>
    <w:rsid w:val="00170698"/>
    <w:rsid w:val="00170B5C"/>
    <w:rsid w:val="00170BBC"/>
    <w:rsid w:val="00170D6F"/>
    <w:rsid w:val="00170E20"/>
    <w:rsid w:val="00170FF5"/>
    <w:rsid w:val="001712CD"/>
    <w:rsid w:val="00171301"/>
    <w:rsid w:val="00171367"/>
    <w:rsid w:val="001713C8"/>
    <w:rsid w:val="00171404"/>
    <w:rsid w:val="0017140F"/>
    <w:rsid w:val="0017143D"/>
    <w:rsid w:val="00171522"/>
    <w:rsid w:val="00171791"/>
    <w:rsid w:val="00171A16"/>
    <w:rsid w:val="00172132"/>
    <w:rsid w:val="001722E9"/>
    <w:rsid w:val="001726DE"/>
    <w:rsid w:val="0017278A"/>
    <w:rsid w:val="001727AF"/>
    <w:rsid w:val="001727EF"/>
    <w:rsid w:val="001728A0"/>
    <w:rsid w:val="001729F4"/>
    <w:rsid w:val="00172A38"/>
    <w:rsid w:val="00172CFF"/>
    <w:rsid w:val="00172DDC"/>
    <w:rsid w:val="00172F88"/>
    <w:rsid w:val="00172FC3"/>
    <w:rsid w:val="00172FD9"/>
    <w:rsid w:val="00172FE7"/>
    <w:rsid w:val="00173139"/>
    <w:rsid w:val="00173160"/>
    <w:rsid w:val="00173192"/>
    <w:rsid w:val="001732A2"/>
    <w:rsid w:val="00173460"/>
    <w:rsid w:val="001737AF"/>
    <w:rsid w:val="00173803"/>
    <w:rsid w:val="00173805"/>
    <w:rsid w:val="001738B7"/>
    <w:rsid w:val="0017395F"/>
    <w:rsid w:val="00173B4F"/>
    <w:rsid w:val="00173BA2"/>
    <w:rsid w:val="00173DE6"/>
    <w:rsid w:val="00173F05"/>
    <w:rsid w:val="0017402F"/>
    <w:rsid w:val="0017421A"/>
    <w:rsid w:val="001745A8"/>
    <w:rsid w:val="00174795"/>
    <w:rsid w:val="001748C1"/>
    <w:rsid w:val="00174FDF"/>
    <w:rsid w:val="0017504F"/>
    <w:rsid w:val="00175078"/>
    <w:rsid w:val="001751F6"/>
    <w:rsid w:val="00175245"/>
    <w:rsid w:val="00175285"/>
    <w:rsid w:val="001753CE"/>
    <w:rsid w:val="001753DE"/>
    <w:rsid w:val="001754EB"/>
    <w:rsid w:val="00175538"/>
    <w:rsid w:val="0017572C"/>
    <w:rsid w:val="001757CC"/>
    <w:rsid w:val="001757E5"/>
    <w:rsid w:val="00175827"/>
    <w:rsid w:val="001759AA"/>
    <w:rsid w:val="001759E4"/>
    <w:rsid w:val="00175A56"/>
    <w:rsid w:val="00175B4A"/>
    <w:rsid w:val="00175DA1"/>
    <w:rsid w:val="00175E2E"/>
    <w:rsid w:val="00176065"/>
    <w:rsid w:val="001761BF"/>
    <w:rsid w:val="001761D8"/>
    <w:rsid w:val="00176564"/>
    <w:rsid w:val="001766E2"/>
    <w:rsid w:val="0017685E"/>
    <w:rsid w:val="00176BB1"/>
    <w:rsid w:val="00176EA5"/>
    <w:rsid w:val="00176EB3"/>
    <w:rsid w:val="00176EE3"/>
    <w:rsid w:val="001772B6"/>
    <w:rsid w:val="001775D4"/>
    <w:rsid w:val="00177611"/>
    <w:rsid w:val="0017762B"/>
    <w:rsid w:val="00177789"/>
    <w:rsid w:val="001777DB"/>
    <w:rsid w:val="00177875"/>
    <w:rsid w:val="00177939"/>
    <w:rsid w:val="00177969"/>
    <w:rsid w:val="0017798C"/>
    <w:rsid w:val="001779C9"/>
    <w:rsid w:val="00177A8C"/>
    <w:rsid w:val="00177D96"/>
    <w:rsid w:val="00177DAC"/>
    <w:rsid w:val="00180068"/>
    <w:rsid w:val="0018020D"/>
    <w:rsid w:val="00180273"/>
    <w:rsid w:val="00180384"/>
    <w:rsid w:val="0018058E"/>
    <w:rsid w:val="001805F7"/>
    <w:rsid w:val="001806B6"/>
    <w:rsid w:val="00180839"/>
    <w:rsid w:val="001808AB"/>
    <w:rsid w:val="001809C6"/>
    <w:rsid w:val="00180A2F"/>
    <w:rsid w:val="00180D34"/>
    <w:rsid w:val="00180F9B"/>
    <w:rsid w:val="001812AE"/>
    <w:rsid w:val="001812F2"/>
    <w:rsid w:val="001814EB"/>
    <w:rsid w:val="0018152C"/>
    <w:rsid w:val="001819B8"/>
    <w:rsid w:val="00181A11"/>
    <w:rsid w:val="00181A6B"/>
    <w:rsid w:val="00181B72"/>
    <w:rsid w:val="00181C88"/>
    <w:rsid w:val="00181CE8"/>
    <w:rsid w:val="00181F04"/>
    <w:rsid w:val="0018203F"/>
    <w:rsid w:val="00182106"/>
    <w:rsid w:val="00182180"/>
    <w:rsid w:val="00182362"/>
    <w:rsid w:val="00182547"/>
    <w:rsid w:val="00182649"/>
    <w:rsid w:val="0018275B"/>
    <w:rsid w:val="00182981"/>
    <w:rsid w:val="00182AB1"/>
    <w:rsid w:val="00182D00"/>
    <w:rsid w:val="00183029"/>
    <w:rsid w:val="0018303B"/>
    <w:rsid w:val="0018318C"/>
    <w:rsid w:val="0018325A"/>
    <w:rsid w:val="00183264"/>
    <w:rsid w:val="001832DE"/>
    <w:rsid w:val="0018336C"/>
    <w:rsid w:val="001833BF"/>
    <w:rsid w:val="00183418"/>
    <w:rsid w:val="001834A6"/>
    <w:rsid w:val="00183596"/>
    <w:rsid w:val="0018398E"/>
    <w:rsid w:val="00183ACD"/>
    <w:rsid w:val="00183C12"/>
    <w:rsid w:val="00183DD4"/>
    <w:rsid w:val="00183EF0"/>
    <w:rsid w:val="00184032"/>
    <w:rsid w:val="001840B8"/>
    <w:rsid w:val="001843AC"/>
    <w:rsid w:val="0018445D"/>
    <w:rsid w:val="00184574"/>
    <w:rsid w:val="001846C6"/>
    <w:rsid w:val="00184F37"/>
    <w:rsid w:val="001850CB"/>
    <w:rsid w:val="00185629"/>
    <w:rsid w:val="001857B9"/>
    <w:rsid w:val="0018582C"/>
    <w:rsid w:val="0018594E"/>
    <w:rsid w:val="00185AD3"/>
    <w:rsid w:val="00185CF5"/>
    <w:rsid w:val="00185E22"/>
    <w:rsid w:val="001860FA"/>
    <w:rsid w:val="001862A0"/>
    <w:rsid w:val="001866D3"/>
    <w:rsid w:val="00186817"/>
    <w:rsid w:val="0018682C"/>
    <w:rsid w:val="001868CB"/>
    <w:rsid w:val="00186C0D"/>
    <w:rsid w:val="00186DD9"/>
    <w:rsid w:val="00186E1C"/>
    <w:rsid w:val="00186E32"/>
    <w:rsid w:val="00186FFF"/>
    <w:rsid w:val="00187426"/>
    <w:rsid w:val="001874F7"/>
    <w:rsid w:val="00187814"/>
    <w:rsid w:val="00187845"/>
    <w:rsid w:val="00187885"/>
    <w:rsid w:val="001878D1"/>
    <w:rsid w:val="00187919"/>
    <w:rsid w:val="0018795B"/>
    <w:rsid w:val="00187E15"/>
    <w:rsid w:val="00187EE8"/>
    <w:rsid w:val="0019010F"/>
    <w:rsid w:val="00190186"/>
    <w:rsid w:val="001902CC"/>
    <w:rsid w:val="0019095A"/>
    <w:rsid w:val="00190996"/>
    <w:rsid w:val="001909A1"/>
    <w:rsid w:val="00191032"/>
    <w:rsid w:val="0019123B"/>
    <w:rsid w:val="001914AE"/>
    <w:rsid w:val="001915BA"/>
    <w:rsid w:val="00191A4A"/>
    <w:rsid w:val="00191A50"/>
    <w:rsid w:val="00191B97"/>
    <w:rsid w:val="00191EC1"/>
    <w:rsid w:val="00191F85"/>
    <w:rsid w:val="00191FEC"/>
    <w:rsid w:val="0019209C"/>
    <w:rsid w:val="001920B1"/>
    <w:rsid w:val="00192159"/>
    <w:rsid w:val="0019245E"/>
    <w:rsid w:val="0019259E"/>
    <w:rsid w:val="001926A9"/>
    <w:rsid w:val="00192713"/>
    <w:rsid w:val="00192996"/>
    <w:rsid w:val="00192A63"/>
    <w:rsid w:val="00192AD2"/>
    <w:rsid w:val="00192BBF"/>
    <w:rsid w:val="00192E1B"/>
    <w:rsid w:val="00193180"/>
    <w:rsid w:val="0019325A"/>
    <w:rsid w:val="0019341C"/>
    <w:rsid w:val="0019396D"/>
    <w:rsid w:val="001939B6"/>
    <w:rsid w:val="00193B1C"/>
    <w:rsid w:val="00193CAB"/>
    <w:rsid w:val="00193CFD"/>
    <w:rsid w:val="00193D6B"/>
    <w:rsid w:val="00193D78"/>
    <w:rsid w:val="00193EC9"/>
    <w:rsid w:val="00193F06"/>
    <w:rsid w:val="0019400E"/>
    <w:rsid w:val="001940B2"/>
    <w:rsid w:val="00194DD2"/>
    <w:rsid w:val="00194F60"/>
    <w:rsid w:val="00195033"/>
    <w:rsid w:val="0019511A"/>
    <w:rsid w:val="00195236"/>
    <w:rsid w:val="00195245"/>
    <w:rsid w:val="001952F0"/>
    <w:rsid w:val="0019567F"/>
    <w:rsid w:val="001957DC"/>
    <w:rsid w:val="00195A5B"/>
    <w:rsid w:val="00195BA8"/>
    <w:rsid w:val="00195CCD"/>
    <w:rsid w:val="00195DCB"/>
    <w:rsid w:val="00195FB4"/>
    <w:rsid w:val="001963C8"/>
    <w:rsid w:val="001963DB"/>
    <w:rsid w:val="0019649D"/>
    <w:rsid w:val="001966AF"/>
    <w:rsid w:val="001967D3"/>
    <w:rsid w:val="00196985"/>
    <w:rsid w:val="001969C1"/>
    <w:rsid w:val="00196C3E"/>
    <w:rsid w:val="00196E1E"/>
    <w:rsid w:val="00196FD4"/>
    <w:rsid w:val="00197386"/>
    <w:rsid w:val="001977A4"/>
    <w:rsid w:val="001979A7"/>
    <w:rsid w:val="001979EA"/>
    <w:rsid w:val="00197A04"/>
    <w:rsid w:val="00197A9E"/>
    <w:rsid w:val="00197B78"/>
    <w:rsid w:val="00197D29"/>
    <w:rsid w:val="00197EC8"/>
    <w:rsid w:val="001A0035"/>
    <w:rsid w:val="001A0089"/>
    <w:rsid w:val="001A01A0"/>
    <w:rsid w:val="001A01BC"/>
    <w:rsid w:val="001A0346"/>
    <w:rsid w:val="001A0558"/>
    <w:rsid w:val="001A05F4"/>
    <w:rsid w:val="001A084C"/>
    <w:rsid w:val="001A0972"/>
    <w:rsid w:val="001A0C37"/>
    <w:rsid w:val="001A11BF"/>
    <w:rsid w:val="001A12EF"/>
    <w:rsid w:val="001A157A"/>
    <w:rsid w:val="001A16E2"/>
    <w:rsid w:val="001A17A0"/>
    <w:rsid w:val="001A17E0"/>
    <w:rsid w:val="001A19DE"/>
    <w:rsid w:val="001A1CA4"/>
    <w:rsid w:val="001A1F74"/>
    <w:rsid w:val="001A1FD8"/>
    <w:rsid w:val="001A2552"/>
    <w:rsid w:val="001A265F"/>
    <w:rsid w:val="001A276B"/>
    <w:rsid w:val="001A288F"/>
    <w:rsid w:val="001A2D90"/>
    <w:rsid w:val="001A2EAC"/>
    <w:rsid w:val="001A2F86"/>
    <w:rsid w:val="001A306D"/>
    <w:rsid w:val="001A32AA"/>
    <w:rsid w:val="001A3589"/>
    <w:rsid w:val="001A3638"/>
    <w:rsid w:val="001A36F8"/>
    <w:rsid w:val="001A38DE"/>
    <w:rsid w:val="001A3CD0"/>
    <w:rsid w:val="001A3E8F"/>
    <w:rsid w:val="001A43A8"/>
    <w:rsid w:val="001A4654"/>
    <w:rsid w:val="001A4BDC"/>
    <w:rsid w:val="001A5012"/>
    <w:rsid w:val="001A51BC"/>
    <w:rsid w:val="001A51CA"/>
    <w:rsid w:val="001A51E1"/>
    <w:rsid w:val="001A5403"/>
    <w:rsid w:val="001A5727"/>
    <w:rsid w:val="001A574B"/>
    <w:rsid w:val="001A58C9"/>
    <w:rsid w:val="001A5AF2"/>
    <w:rsid w:val="001A5B00"/>
    <w:rsid w:val="001A5B14"/>
    <w:rsid w:val="001A5D08"/>
    <w:rsid w:val="001A6337"/>
    <w:rsid w:val="001A63D1"/>
    <w:rsid w:val="001A642E"/>
    <w:rsid w:val="001A651B"/>
    <w:rsid w:val="001A66AD"/>
    <w:rsid w:val="001A677A"/>
    <w:rsid w:val="001A6906"/>
    <w:rsid w:val="001A6974"/>
    <w:rsid w:val="001A6A55"/>
    <w:rsid w:val="001A6DAF"/>
    <w:rsid w:val="001A6EE4"/>
    <w:rsid w:val="001A7170"/>
    <w:rsid w:val="001A7255"/>
    <w:rsid w:val="001A79EA"/>
    <w:rsid w:val="001A7FF6"/>
    <w:rsid w:val="001B0144"/>
    <w:rsid w:val="001B0151"/>
    <w:rsid w:val="001B03AE"/>
    <w:rsid w:val="001B0644"/>
    <w:rsid w:val="001B0A0C"/>
    <w:rsid w:val="001B0AE0"/>
    <w:rsid w:val="001B0CB1"/>
    <w:rsid w:val="001B10CD"/>
    <w:rsid w:val="001B10ED"/>
    <w:rsid w:val="001B111E"/>
    <w:rsid w:val="001B11A5"/>
    <w:rsid w:val="001B12F0"/>
    <w:rsid w:val="001B13D2"/>
    <w:rsid w:val="001B148D"/>
    <w:rsid w:val="001B1754"/>
    <w:rsid w:val="001B1996"/>
    <w:rsid w:val="001B1BAD"/>
    <w:rsid w:val="001B1DBA"/>
    <w:rsid w:val="001B2354"/>
    <w:rsid w:val="001B247C"/>
    <w:rsid w:val="001B266B"/>
    <w:rsid w:val="001B272A"/>
    <w:rsid w:val="001B273E"/>
    <w:rsid w:val="001B2928"/>
    <w:rsid w:val="001B2AF3"/>
    <w:rsid w:val="001B2AF6"/>
    <w:rsid w:val="001B2B06"/>
    <w:rsid w:val="001B2B2A"/>
    <w:rsid w:val="001B2D7C"/>
    <w:rsid w:val="001B2F0B"/>
    <w:rsid w:val="001B303A"/>
    <w:rsid w:val="001B3215"/>
    <w:rsid w:val="001B3508"/>
    <w:rsid w:val="001B3509"/>
    <w:rsid w:val="001B3546"/>
    <w:rsid w:val="001B35DC"/>
    <w:rsid w:val="001B36D2"/>
    <w:rsid w:val="001B36F0"/>
    <w:rsid w:val="001B39E8"/>
    <w:rsid w:val="001B3D49"/>
    <w:rsid w:val="001B3F9D"/>
    <w:rsid w:val="001B3FEA"/>
    <w:rsid w:val="001B402B"/>
    <w:rsid w:val="001B419A"/>
    <w:rsid w:val="001B4226"/>
    <w:rsid w:val="001B425F"/>
    <w:rsid w:val="001B4300"/>
    <w:rsid w:val="001B4348"/>
    <w:rsid w:val="001B44C4"/>
    <w:rsid w:val="001B4788"/>
    <w:rsid w:val="001B48FE"/>
    <w:rsid w:val="001B49E1"/>
    <w:rsid w:val="001B4B1E"/>
    <w:rsid w:val="001B4FFB"/>
    <w:rsid w:val="001B5010"/>
    <w:rsid w:val="001B502B"/>
    <w:rsid w:val="001B5302"/>
    <w:rsid w:val="001B5585"/>
    <w:rsid w:val="001B578E"/>
    <w:rsid w:val="001B57F5"/>
    <w:rsid w:val="001B5889"/>
    <w:rsid w:val="001B596B"/>
    <w:rsid w:val="001B5E21"/>
    <w:rsid w:val="001B5F52"/>
    <w:rsid w:val="001B6067"/>
    <w:rsid w:val="001B6099"/>
    <w:rsid w:val="001B60BD"/>
    <w:rsid w:val="001B6132"/>
    <w:rsid w:val="001B650A"/>
    <w:rsid w:val="001B6711"/>
    <w:rsid w:val="001B6877"/>
    <w:rsid w:val="001B695F"/>
    <w:rsid w:val="001B6AEF"/>
    <w:rsid w:val="001B6AF2"/>
    <w:rsid w:val="001B6E0B"/>
    <w:rsid w:val="001B6F1E"/>
    <w:rsid w:val="001B70CB"/>
    <w:rsid w:val="001B72CD"/>
    <w:rsid w:val="001B7433"/>
    <w:rsid w:val="001B7722"/>
    <w:rsid w:val="001B7815"/>
    <w:rsid w:val="001B7CB8"/>
    <w:rsid w:val="001B7F8C"/>
    <w:rsid w:val="001C0260"/>
    <w:rsid w:val="001C0441"/>
    <w:rsid w:val="001C044D"/>
    <w:rsid w:val="001C047C"/>
    <w:rsid w:val="001C0797"/>
    <w:rsid w:val="001C08C0"/>
    <w:rsid w:val="001C0CBF"/>
    <w:rsid w:val="001C0CF1"/>
    <w:rsid w:val="001C0D36"/>
    <w:rsid w:val="001C0DDD"/>
    <w:rsid w:val="001C0F28"/>
    <w:rsid w:val="001C1279"/>
    <w:rsid w:val="001C146E"/>
    <w:rsid w:val="001C19EB"/>
    <w:rsid w:val="001C1F1D"/>
    <w:rsid w:val="001C2216"/>
    <w:rsid w:val="001C2274"/>
    <w:rsid w:val="001C229D"/>
    <w:rsid w:val="001C2314"/>
    <w:rsid w:val="001C26F7"/>
    <w:rsid w:val="001C27C6"/>
    <w:rsid w:val="001C2845"/>
    <w:rsid w:val="001C289B"/>
    <w:rsid w:val="001C2928"/>
    <w:rsid w:val="001C2A3C"/>
    <w:rsid w:val="001C2B46"/>
    <w:rsid w:val="001C2BAE"/>
    <w:rsid w:val="001C2C58"/>
    <w:rsid w:val="001C2F63"/>
    <w:rsid w:val="001C305A"/>
    <w:rsid w:val="001C3151"/>
    <w:rsid w:val="001C3213"/>
    <w:rsid w:val="001C34D4"/>
    <w:rsid w:val="001C3714"/>
    <w:rsid w:val="001C3864"/>
    <w:rsid w:val="001C3A7F"/>
    <w:rsid w:val="001C3DD9"/>
    <w:rsid w:val="001C3F24"/>
    <w:rsid w:val="001C3F4D"/>
    <w:rsid w:val="001C4295"/>
    <w:rsid w:val="001C4418"/>
    <w:rsid w:val="001C4498"/>
    <w:rsid w:val="001C449E"/>
    <w:rsid w:val="001C44B5"/>
    <w:rsid w:val="001C44D4"/>
    <w:rsid w:val="001C459E"/>
    <w:rsid w:val="001C4847"/>
    <w:rsid w:val="001C48F0"/>
    <w:rsid w:val="001C4AE2"/>
    <w:rsid w:val="001C4CF7"/>
    <w:rsid w:val="001C4F91"/>
    <w:rsid w:val="001C536B"/>
    <w:rsid w:val="001C537B"/>
    <w:rsid w:val="001C54E9"/>
    <w:rsid w:val="001C569A"/>
    <w:rsid w:val="001C578A"/>
    <w:rsid w:val="001C5A75"/>
    <w:rsid w:val="001C5BA5"/>
    <w:rsid w:val="001C5C94"/>
    <w:rsid w:val="001C5F1D"/>
    <w:rsid w:val="001C5F60"/>
    <w:rsid w:val="001C6028"/>
    <w:rsid w:val="001C6181"/>
    <w:rsid w:val="001C638A"/>
    <w:rsid w:val="001C648D"/>
    <w:rsid w:val="001C66A7"/>
    <w:rsid w:val="001C6ABF"/>
    <w:rsid w:val="001C6F40"/>
    <w:rsid w:val="001C7232"/>
    <w:rsid w:val="001C7358"/>
    <w:rsid w:val="001C73EC"/>
    <w:rsid w:val="001C74BC"/>
    <w:rsid w:val="001C7588"/>
    <w:rsid w:val="001C7727"/>
    <w:rsid w:val="001C781A"/>
    <w:rsid w:val="001C7BFB"/>
    <w:rsid w:val="001C7E96"/>
    <w:rsid w:val="001D0068"/>
    <w:rsid w:val="001D06B3"/>
    <w:rsid w:val="001D0734"/>
    <w:rsid w:val="001D089E"/>
    <w:rsid w:val="001D08B8"/>
    <w:rsid w:val="001D09B9"/>
    <w:rsid w:val="001D0A1F"/>
    <w:rsid w:val="001D0BD6"/>
    <w:rsid w:val="001D0ED6"/>
    <w:rsid w:val="001D0F60"/>
    <w:rsid w:val="001D100F"/>
    <w:rsid w:val="001D10BC"/>
    <w:rsid w:val="001D114C"/>
    <w:rsid w:val="001D13E6"/>
    <w:rsid w:val="001D1447"/>
    <w:rsid w:val="001D1455"/>
    <w:rsid w:val="001D1528"/>
    <w:rsid w:val="001D16CC"/>
    <w:rsid w:val="001D1A63"/>
    <w:rsid w:val="001D1CA4"/>
    <w:rsid w:val="001D1CBC"/>
    <w:rsid w:val="001D1E0B"/>
    <w:rsid w:val="001D2076"/>
    <w:rsid w:val="001D2117"/>
    <w:rsid w:val="001D2303"/>
    <w:rsid w:val="001D2362"/>
    <w:rsid w:val="001D23C7"/>
    <w:rsid w:val="001D259E"/>
    <w:rsid w:val="001D262B"/>
    <w:rsid w:val="001D2697"/>
    <w:rsid w:val="001D2747"/>
    <w:rsid w:val="001D283B"/>
    <w:rsid w:val="001D2846"/>
    <w:rsid w:val="001D28DC"/>
    <w:rsid w:val="001D292C"/>
    <w:rsid w:val="001D2A46"/>
    <w:rsid w:val="001D2BCE"/>
    <w:rsid w:val="001D2C78"/>
    <w:rsid w:val="001D2D4E"/>
    <w:rsid w:val="001D2DA2"/>
    <w:rsid w:val="001D303C"/>
    <w:rsid w:val="001D3156"/>
    <w:rsid w:val="001D317E"/>
    <w:rsid w:val="001D335B"/>
    <w:rsid w:val="001D34FD"/>
    <w:rsid w:val="001D35F9"/>
    <w:rsid w:val="001D3678"/>
    <w:rsid w:val="001D386B"/>
    <w:rsid w:val="001D3E25"/>
    <w:rsid w:val="001D4017"/>
    <w:rsid w:val="001D4098"/>
    <w:rsid w:val="001D409D"/>
    <w:rsid w:val="001D4148"/>
    <w:rsid w:val="001D434C"/>
    <w:rsid w:val="001D437F"/>
    <w:rsid w:val="001D441B"/>
    <w:rsid w:val="001D459A"/>
    <w:rsid w:val="001D4872"/>
    <w:rsid w:val="001D4CF8"/>
    <w:rsid w:val="001D4D60"/>
    <w:rsid w:val="001D4D61"/>
    <w:rsid w:val="001D54AB"/>
    <w:rsid w:val="001D5732"/>
    <w:rsid w:val="001D5822"/>
    <w:rsid w:val="001D58DD"/>
    <w:rsid w:val="001D5990"/>
    <w:rsid w:val="001D5C3F"/>
    <w:rsid w:val="001D5D40"/>
    <w:rsid w:val="001D6007"/>
    <w:rsid w:val="001D6166"/>
    <w:rsid w:val="001D61AA"/>
    <w:rsid w:val="001D6520"/>
    <w:rsid w:val="001D666E"/>
    <w:rsid w:val="001D69AA"/>
    <w:rsid w:val="001D6A44"/>
    <w:rsid w:val="001D6AE0"/>
    <w:rsid w:val="001D6C05"/>
    <w:rsid w:val="001D6C5C"/>
    <w:rsid w:val="001D6F7E"/>
    <w:rsid w:val="001D6FE6"/>
    <w:rsid w:val="001D70FA"/>
    <w:rsid w:val="001D7261"/>
    <w:rsid w:val="001D756B"/>
    <w:rsid w:val="001D7733"/>
    <w:rsid w:val="001D77EE"/>
    <w:rsid w:val="001D7837"/>
    <w:rsid w:val="001D7877"/>
    <w:rsid w:val="001D7B47"/>
    <w:rsid w:val="001D7BA9"/>
    <w:rsid w:val="001D7D29"/>
    <w:rsid w:val="001D7F99"/>
    <w:rsid w:val="001D7FD7"/>
    <w:rsid w:val="001E02B3"/>
    <w:rsid w:val="001E0445"/>
    <w:rsid w:val="001E080E"/>
    <w:rsid w:val="001E0866"/>
    <w:rsid w:val="001E0A27"/>
    <w:rsid w:val="001E0AD5"/>
    <w:rsid w:val="001E0B46"/>
    <w:rsid w:val="001E0BD1"/>
    <w:rsid w:val="001E0DA0"/>
    <w:rsid w:val="001E0F92"/>
    <w:rsid w:val="001E0FDC"/>
    <w:rsid w:val="001E1387"/>
    <w:rsid w:val="001E13A6"/>
    <w:rsid w:val="001E15DB"/>
    <w:rsid w:val="001E16A4"/>
    <w:rsid w:val="001E17F7"/>
    <w:rsid w:val="001E1970"/>
    <w:rsid w:val="001E1C3C"/>
    <w:rsid w:val="001E1C55"/>
    <w:rsid w:val="001E1E2E"/>
    <w:rsid w:val="001E1EB7"/>
    <w:rsid w:val="001E1F04"/>
    <w:rsid w:val="001E1F47"/>
    <w:rsid w:val="001E1FBD"/>
    <w:rsid w:val="001E2095"/>
    <w:rsid w:val="001E2378"/>
    <w:rsid w:val="001E246D"/>
    <w:rsid w:val="001E24D4"/>
    <w:rsid w:val="001E2632"/>
    <w:rsid w:val="001E26A6"/>
    <w:rsid w:val="001E2AF8"/>
    <w:rsid w:val="001E2B11"/>
    <w:rsid w:val="001E2D03"/>
    <w:rsid w:val="001E2D41"/>
    <w:rsid w:val="001E2F3C"/>
    <w:rsid w:val="001E306A"/>
    <w:rsid w:val="001E30B6"/>
    <w:rsid w:val="001E333F"/>
    <w:rsid w:val="001E371A"/>
    <w:rsid w:val="001E37E3"/>
    <w:rsid w:val="001E3875"/>
    <w:rsid w:val="001E3B92"/>
    <w:rsid w:val="001E3BF2"/>
    <w:rsid w:val="001E3C8F"/>
    <w:rsid w:val="001E3E19"/>
    <w:rsid w:val="001E4375"/>
    <w:rsid w:val="001E43AB"/>
    <w:rsid w:val="001E4580"/>
    <w:rsid w:val="001E484D"/>
    <w:rsid w:val="001E4976"/>
    <w:rsid w:val="001E4B8F"/>
    <w:rsid w:val="001E4BDD"/>
    <w:rsid w:val="001E4C05"/>
    <w:rsid w:val="001E4C33"/>
    <w:rsid w:val="001E4D42"/>
    <w:rsid w:val="001E4F29"/>
    <w:rsid w:val="001E52BA"/>
    <w:rsid w:val="001E5623"/>
    <w:rsid w:val="001E5948"/>
    <w:rsid w:val="001E5999"/>
    <w:rsid w:val="001E5AB6"/>
    <w:rsid w:val="001E5ACA"/>
    <w:rsid w:val="001E5AF4"/>
    <w:rsid w:val="001E5B03"/>
    <w:rsid w:val="001E5F6E"/>
    <w:rsid w:val="001E5FB5"/>
    <w:rsid w:val="001E601B"/>
    <w:rsid w:val="001E6073"/>
    <w:rsid w:val="001E6290"/>
    <w:rsid w:val="001E64D5"/>
    <w:rsid w:val="001E684A"/>
    <w:rsid w:val="001E698B"/>
    <w:rsid w:val="001E6B49"/>
    <w:rsid w:val="001E6D09"/>
    <w:rsid w:val="001E6D84"/>
    <w:rsid w:val="001E6E80"/>
    <w:rsid w:val="001E7024"/>
    <w:rsid w:val="001E7214"/>
    <w:rsid w:val="001E7233"/>
    <w:rsid w:val="001E73F8"/>
    <w:rsid w:val="001E73FD"/>
    <w:rsid w:val="001E7595"/>
    <w:rsid w:val="001E7676"/>
    <w:rsid w:val="001E7F13"/>
    <w:rsid w:val="001F00B8"/>
    <w:rsid w:val="001F0646"/>
    <w:rsid w:val="001F06C5"/>
    <w:rsid w:val="001F06D6"/>
    <w:rsid w:val="001F07D9"/>
    <w:rsid w:val="001F092A"/>
    <w:rsid w:val="001F0CB3"/>
    <w:rsid w:val="001F0CF4"/>
    <w:rsid w:val="001F0D0B"/>
    <w:rsid w:val="001F0D5F"/>
    <w:rsid w:val="001F0DD5"/>
    <w:rsid w:val="001F0E4E"/>
    <w:rsid w:val="001F1272"/>
    <w:rsid w:val="001F14A9"/>
    <w:rsid w:val="001F14CB"/>
    <w:rsid w:val="001F1635"/>
    <w:rsid w:val="001F17CB"/>
    <w:rsid w:val="001F183F"/>
    <w:rsid w:val="001F1B27"/>
    <w:rsid w:val="001F1B63"/>
    <w:rsid w:val="001F1D32"/>
    <w:rsid w:val="001F1E44"/>
    <w:rsid w:val="001F1EA5"/>
    <w:rsid w:val="001F22C6"/>
    <w:rsid w:val="001F251E"/>
    <w:rsid w:val="001F25E9"/>
    <w:rsid w:val="001F2792"/>
    <w:rsid w:val="001F2839"/>
    <w:rsid w:val="001F2A32"/>
    <w:rsid w:val="001F2A7F"/>
    <w:rsid w:val="001F2AED"/>
    <w:rsid w:val="001F308B"/>
    <w:rsid w:val="001F31A6"/>
    <w:rsid w:val="001F31E2"/>
    <w:rsid w:val="001F340E"/>
    <w:rsid w:val="001F3722"/>
    <w:rsid w:val="001F373B"/>
    <w:rsid w:val="001F3901"/>
    <w:rsid w:val="001F3908"/>
    <w:rsid w:val="001F3951"/>
    <w:rsid w:val="001F39EE"/>
    <w:rsid w:val="001F3EAC"/>
    <w:rsid w:val="001F3F8D"/>
    <w:rsid w:val="001F3F96"/>
    <w:rsid w:val="001F3FD6"/>
    <w:rsid w:val="001F3FDE"/>
    <w:rsid w:val="001F3FE0"/>
    <w:rsid w:val="001F4106"/>
    <w:rsid w:val="001F4170"/>
    <w:rsid w:val="001F4275"/>
    <w:rsid w:val="001F42EE"/>
    <w:rsid w:val="001F4449"/>
    <w:rsid w:val="001F456F"/>
    <w:rsid w:val="001F462E"/>
    <w:rsid w:val="001F4777"/>
    <w:rsid w:val="001F4AE0"/>
    <w:rsid w:val="001F4BAA"/>
    <w:rsid w:val="001F4CA1"/>
    <w:rsid w:val="001F4CFF"/>
    <w:rsid w:val="001F4F89"/>
    <w:rsid w:val="001F5031"/>
    <w:rsid w:val="001F513C"/>
    <w:rsid w:val="001F5234"/>
    <w:rsid w:val="001F54A1"/>
    <w:rsid w:val="001F5784"/>
    <w:rsid w:val="001F589C"/>
    <w:rsid w:val="001F5DBD"/>
    <w:rsid w:val="001F5E76"/>
    <w:rsid w:val="001F5F9A"/>
    <w:rsid w:val="001F6299"/>
    <w:rsid w:val="001F62EE"/>
    <w:rsid w:val="001F6313"/>
    <w:rsid w:val="001F64C8"/>
    <w:rsid w:val="001F6582"/>
    <w:rsid w:val="001F6998"/>
    <w:rsid w:val="001F6AE2"/>
    <w:rsid w:val="001F6B3D"/>
    <w:rsid w:val="001F7266"/>
    <w:rsid w:val="001F72C6"/>
    <w:rsid w:val="001F7332"/>
    <w:rsid w:val="001F738E"/>
    <w:rsid w:val="001F7473"/>
    <w:rsid w:val="001F7741"/>
    <w:rsid w:val="001F77C7"/>
    <w:rsid w:val="001F7831"/>
    <w:rsid w:val="001F7861"/>
    <w:rsid w:val="001F78F6"/>
    <w:rsid w:val="001F7954"/>
    <w:rsid w:val="001F79AA"/>
    <w:rsid w:val="001F7A8C"/>
    <w:rsid w:val="001F7B54"/>
    <w:rsid w:val="001F7BAA"/>
    <w:rsid w:val="001F7D8B"/>
    <w:rsid w:val="002000DC"/>
    <w:rsid w:val="002005B0"/>
    <w:rsid w:val="0020065E"/>
    <w:rsid w:val="0020076A"/>
    <w:rsid w:val="00200786"/>
    <w:rsid w:val="0020084A"/>
    <w:rsid w:val="00200938"/>
    <w:rsid w:val="0020094E"/>
    <w:rsid w:val="00200AF6"/>
    <w:rsid w:val="00200BA9"/>
    <w:rsid w:val="00200C14"/>
    <w:rsid w:val="00200C2D"/>
    <w:rsid w:val="00200CAF"/>
    <w:rsid w:val="00200DFF"/>
    <w:rsid w:val="00201015"/>
    <w:rsid w:val="0020108F"/>
    <w:rsid w:val="002011B2"/>
    <w:rsid w:val="0020140A"/>
    <w:rsid w:val="00201598"/>
    <w:rsid w:val="00201B51"/>
    <w:rsid w:val="00201DA1"/>
    <w:rsid w:val="00201DB4"/>
    <w:rsid w:val="00201FBA"/>
    <w:rsid w:val="002020BF"/>
    <w:rsid w:val="002020F0"/>
    <w:rsid w:val="0020227B"/>
    <w:rsid w:val="00202491"/>
    <w:rsid w:val="002024DC"/>
    <w:rsid w:val="00202834"/>
    <w:rsid w:val="002028F7"/>
    <w:rsid w:val="00202A42"/>
    <w:rsid w:val="00202B4F"/>
    <w:rsid w:val="00202C15"/>
    <w:rsid w:val="002032CE"/>
    <w:rsid w:val="0020330A"/>
    <w:rsid w:val="00203368"/>
    <w:rsid w:val="002033C2"/>
    <w:rsid w:val="002033F7"/>
    <w:rsid w:val="00203556"/>
    <w:rsid w:val="002035AB"/>
    <w:rsid w:val="002036A5"/>
    <w:rsid w:val="0020370A"/>
    <w:rsid w:val="00203A35"/>
    <w:rsid w:val="00203B2E"/>
    <w:rsid w:val="00203B54"/>
    <w:rsid w:val="00203BB2"/>
    <w:rsid w:val="00203E07"/>
    <w:rsid w:val="00203F2B"/>
    <w:rsid w:val="002043E5"/>
    <w:rsid w:val="0020443D"/>
    <w:rsid w:val="002044A4"/>
    <w:rsid w:val="002044FB"/>
    <w:rsid w:val="00204721"/>
    <w:rsid w:val="0020482E"/>
    <w:rsid w:val="00204945"/>
    <w:rsid w:val="00204AB7"/>
    <w:rsid w:val="00204F16"/>
    <w:rsid w:val="00204F8D"/>
    <w:rsid w:val="00204FBD"/>
    <w:rsid w:val="002050C6"/>
    <w:rsid w:val="002051CF"/>
    <w:rsid w:val="002052AD"/>
    <w:rsid w:val="0020534E"/>
    <w:rsid w:val="002053B6"/>
    <w:rsid w:val="00205428"/>
    <w:rsid w:val="00205486"/>
    <w:rsid w:val="00205508"/>
    <w:rsid w:val="00205565"/>
    <w:rsid w:val="0020569D"/>
    <w:rsid w:val="00205AAD"/>
    <w:rsid w:val="00205B0E"/>
    <w:rsid w:val="00205B74"/>
    <w:rsid w:val="00205E6B"/>
    <w:rsid w:val="00205F79"/>
    <w:rsid w:val="0020602E"/>
    <w:rsid w:val="00206066"/>
    <w:rsid w:val="0020637B"/>
    <w:rsid w:val="002063E3"/>
    <w:rsid w:val="002065F1"/>
    <w:rsid w:val="002065F7"/>
    <w:rsid w:val="0020677B"/>
    <w:rsid w:val="00206784"/>
    <w:rsid w:val="00206D51"/>
    <w:rsid w:val="00206D88"/>
    <w:rsid w:val="00206ECF"/>
    <w:rsid w:val="00207013"/>
    <w:rsid w:val="002071EC"/>
    <w:rsid w:val="0020722A"/>
    <w:rsid w:val="00207281"/>
    <w:rsid w:val="0020728D"/>
    <w:rsid w:val="00207548"/>
    <w:rsid w:val="0020756D"/>
    <w:rsid w:val="0020760F"/>
    <w:rsid w:val="00207711"/>
    <w:rsid w:val="002079F6"/>
    <w:rsid w:val="00207B5A"/>
    <w:rsid w:val="00207C67"/>
    <w:rsid w:val="00207EE6"/>
    <w:rsid w:val="00207F50"/>
    <w:rsid w:val="002100E2"/>
    <w:rsid w:val="0021015F"/>
    <w:rsid w:val="0021066C"/>
    <w:rsid w:val="002106F8"/>
    <w:rsid w:val="00210742"/>
    <w:rsid w:val="00210925"/>
    <w:rsid w:val="00210AD2"/>
    <w:rsid w:val="00210BDD"/>
    <w:rsid w:val="00210D11"/>
    <w:rsid w:val="00210E3F"/>
    <w:rsid w:val="002116CC"/>
    <w:rsid w:val="00211B25"/>
    <w:rsid w:val="00211E13"/>
    <w:rsid w:val="0021229A"/>
    <w:rsid w:val="0021247A"/>
    <w:rsid w:val="002124A5"/>
    <w:rsid w:val="00212532"/>
    <w:rsid w:val="0021257A"/>
    <w:rsid w:val="0021258F"/>
    <w:rsid w:val="002126D0"/>
    <w:rsid w:val="00212813"/>
    <w:rsid w:val="00212B1D"/>
    <w:rsid w:val="00212BAE"/>
    <w:rsid w:val="00212BC5"/>
    <w:rsid w:val="00212BE3"/>
    <w:rsid w:val="00212C5E"/>
    <w:rsid w:val="00212D7F"/>
    <w:rsid w:val="00212DE4"/>
    <w:rsid w:val="002130D1"/>
    <w:rsid w:val="00213109"/>
    <w:rsid w:val="00213370"/>
    <w:rsid w:val="00213837"/>
    <w:rsid w:val="00213AF4"/>
    <w:rsid w:val="00213CD8"/>
    <w:rsid w:val="00213D24"/>
    <w:rsid w:val="00213D55"/>
    <w:rsid w:val="00213DA5"/>
    <w:rsid w:val="00213EB5"/>
    <w:rsid w:val="00213ECE"/>
    <w:rsid w:val="002140A5"/>
    <w:rsid w:val="0021412A"/>
    <w:rsid w:val="00214297"/>
    <w:rsid w:val="0021437B"/>
    <w:rsid w:val="0021445E"/>
    <w:rsid w:val="0021455B"/>
    <w:rsid w:val="002147A5"/>
    <w:rsid w:val="00214825"/>
    <w:rsid w:val="00214915"/>
    <w:rsid w:val="00214AF5"/>
    <w:rsid w:val="00214BBB"/>
    <w:rsid w:val="00214BDD"/>
    <w:rsid w:val="00214C2E"/>
    <w:rsid w:val="00214EF2"/>
    <w:rsid w:val="00214F8D"/>
    <w:rsid w:val="00214F90"/>
    <w:rsid w:val="00215145"/>
    <w:rsid w:val="0021567B"/>
    <w:rsid w:val="002157E7"/>
    <w:rsid w:val="00215C3F"/>
    <w:rsid w:val="00215C62"/>
    <w:rsid w:val="00215C7D"/>
    <w:rsid w:val="00215D4F"/>
    <w:rsid w:val="00216480"/>
    <w:rsid w:val="002165E0"/>
    <w:rsid w:val="00216A8B"/>
    <w:rsid w:val="00216BE4"/>
    <w:rsid w:val="00216C18"/>
    <w:rsid w:val="00216C4E"/>
    <w:rsid w:val="00216E88"/>
    <w:rsid w:val="00217410"/>
    <w:rsid w:val="00217434"/>
    <w:rsid w:val="002177E2"/>
    <w:rsid w:val="002177EC"/>
    <w:rsid w:val="002178BD"/>
    <w:rsid w:val="00217B72"/>
    <w:rsid w:val="00217F4B"/>
    <w:rsid w:val="00217F93"/>
    <w:rsid w:val="0022013C"/>
    <w:rsid w:val="0022031E"/>
    <w:rsid w:val="002203B4"/>
    <w:rsid w:val="00220417"/>
    <w:rsid w:val="00220453"/>
    <w:rsid w:val="00220B93"/>
    <w:rsid w:val="00220C85"/>
    <w:rsid w:val="00221360"/>
    <w:rsid w:val="002213D2"/>
    <w:rsid w:val="00221798"/>
    <w:rsid w:val="00221A3C"/>
    <w:rsid w:val="00221C78"/>
    <w:rsid w:val="00221DAD"/>
    <w:rsid w:val="00221E72"/>
    <w:rsid w:val="00221F89"/>
    <w:rsid w:val="00222013"/>
    <w:rsid w:val="002223D3"/>
    <w:rsid w:val="002224A9"/>
    <w:rsid w:val="0022251F"/>
    <w:rsid w:val="0022284B"/>
    <w:rsid w:val="00222BE9"/>
    <w:rsid w:val="00222D1E"/>
    <w:rsid w:val="00222E1B"/>
    <w:rsid w:val="00222F9D"/>
    <w:rsid w:val="00223034"/>
    <w:rsid w:val="00223359"/>
    <w:rsid w:val="002233C7"/>
    <w:rsid w:val="0022344C"/>
    <w:rsid w:val="002236CF"/>
    <w:rsid w:val="00223732"/>
    <w:rsid w:val="00223933"/>
    <w:rsid w:val="00223A5D"/>
    <w:rsid w:val="00223C46"/>
    <w:rsid w:val="00223E7C"/>
    <w:rsid w:val="00223FB1"/>
    <w:rsid w:val="002240C0"/>
    <w:rsid w:val="002240F5"/>
    <w:rsid w:val="0022425E"/>
    <w:rsid w:val="00224569"/>
    <w:rsid w:val="0022480D"/>
    <w:rsid w:val="00224894"/>
    <w:rsid w:val="002249A3"/>
    <w:rsid w:val="00224B98"/>
    <w:rsid w:val="00224DDC"/>
    <w:rsid w:val="00224F2A"/>
    <w:rsid w:val="00225234"/>
    <w:rsid w:val="002253EA"/>
    <w:rsid w:val="002254EB"/>
    <w:rsid w:val="002255B2"/>
    <w:rsid w:val="0022574A"/>
    <w:rsid w:val="0022578D"/>
    <w:rsid w:val="002257B0"/>
    <w:rsid w:val="00225801"/>
    <w:rsid w:val="00225963"/>
    <w:rsid w:val="00225A19"/>
    <w:rsid w:val="00225A30"/>
    <w:rsid w:val="00225B6C"/>
    <w:rsid w:val="00225E55"/>
    <w:rsid w:val="00225EA8"/>
    <w:rsid w:val="0022604D"/>
    <w:rsid w:val="0022641A"/>
    <w:rsid w:val="002265FE"/>
    <w:rsid w:val="002267B4"/>
    <w:rsid w:val="0022692A"/>
    <w:rsid w:val="0022698B"/>
    <w:rsid w:val="00226D8A"/>
    <w:rsid w:val="00226DBE"/>
    <w:rsid w:val="00226F9B"/>
    <w:rsid w:val="002272CE"/>
    <w:rsid w:val="00227321"/>
    <w:rsid w:val="00227332"/>
    <w:rsid w:val="0022737E"/>
    <w:rsid w:val="00227433"/>
    <w:rsid w:val="00227581"/>
    <w:rsid w:val="002278DB"/>
    <w:rsid w:val="00227A99"/>
    <w:rsid w:val="00227B1F"/>
    <w:rsid w:val="00227C1A"/>
    <w:rsid w:val="00227D96"/>
    <w:rsid w:val="00227FAC"/>
    <w:rsid w:val="0023008F"/>
    <w:rsid w:val="002301A9"/>
    <w:rsid w:val="0023037E"/>
    <w:rsid w:val="002303D8"/>
    <w:rsid w:val="002308B0"/>
    <w:rsid w:val="0023090F"/>
    <w:rsid w:val="00230A6B"/>
    <w:rsid w:val="00230B96"/>
    <w:rsid w:val="00230D15"/>
    <w:rsid w:val="0023134F"/>
    <w:rsid w:val="002315B5"/>
    <w:rsid w:val="0023179D"/>
    <w:rsid w:val="00231848"/>
    <w:rsid w:val="0023185C"/>
    <w:rsid w:val="00231B22"/>
    <w:rsid w:val="0023201A"/>
    <w:rsid w:val="002321B5"/>
    <w:rsid w:val="0023224E"/>
    <w:rsid w:val="002323A3"/>
    <w:rsid w:val="0023294E"/>
    <w:rsid w:val="00232A45"/>
    <w:rsid w:val="00232BDB"/>
    <w:rsid w:val="00232FBD"/>
    <w:rsid w:val="00233122"/>
    <w:rsid w:val="002333EB"/>
    <w:rsid w:val="00233500"/>
    <w:rsid w:val="00233653"/>
    <w:rsid w:val="0023378A"/>
    <w:rsid w:val="00233836"/>
    <w:rsid w:val="00233AC1"/>
    <w:rsid w:val="00233B9F"/>
    <w:rsid w:val="00233C1D"/>
    <w:rsid w:val="0023417C"/>
    <w:rsid w:val="002341FD"/>
    <w:rsid w:val="00234448"/>
    <w:rsid w:val="00234514"/>
    <w:rsid w:val="0023465D"/>
    <w:rsid w:val="00234747"/>
    <w:rsid w:val="002348CB"/>
    <w:rsid w:val="00234CDF"/>
    <w:rsid w:val="00234CED"/>
    <w:rsid w:val="00234EEA"/>
    <w:rsid w:val="00234FEF"/>
    <w:rsid w:val="00235062"/>
    <w:rsid w:val="002351B8"/>
    <w:rsid w:val="0023528B"/>
    <w:rsid w:val="0023529C"/>
    <w:rsid w:val="00235506"/>
    <w:rsid w:val="0023572D"/>
    <w:rsid w:val="002357C1"/>
    <w:rsid w:val="00235868"/>
    <w:rsid w:val="00235975"/>
    <w:rsid w:val="002359D1"/>
    <w:rsid w:val="00235B9F"/>
    <w:rsid w:val="00235C54"/>
    <w:rsid w:val="00235D5A"/>
    <w:rsid w:val="00235D89"/>
    <w:rsid w:val="00235E43"/>
    <w:rsid w:val="00235F21"/>
    <w:rsid w:val="00235F4A"/>
    <w:rsid w:val="00236127"/>
    <w:rsid w:val="00236659"/>
    <w:rsid w:val="00236829"/>
    <w:rsid w:val="00236C14"/>
    <w:rsid w:val="00236EC6"/>
    <w:rsid w:val="00237232"/>
    <w:rsid w:val="002374E4"/>
    <w:rsid w:val="0023750E"/>
    <w:rsid w:val="00237653"/>
    <w:rsid w:val="002378FA"/>
    <w:rsid w:val="002379B1"/>
    <w:rsid w:val="00237A1C"/>
    <w:rsid w:val="00237A3B"/>
    <w:rsid w:val="00237E7A"/>
    <w:rsid w:val="00237E87"/>
    <w:rsid w:val="00237EC3"/>
    <w:rsid w:val="00237FDA"/>
    <w:rsid w:val="002401A0"/>
    <w:rsid w:val="002403F2"/>
    <w:rsid w:val="0024042B"/>
    <w:rsid w:val="00240A24"/>
    <w:rsid w:val="00240A94"/>
    <w:rsid w:val="00240E02"/>
    <w:rsid w:val="00240EB9"/>
    <w:rsid w:val="00240F1B"/>
    <w:rsid w:val="00240F6B"/>
    <w:rsid w:val="00240FB5"/>
    <w:rsid w:val="00241059"/>
    <w:rsid w:val="002410CA"/>
    <w:rsid w:val="002411E2"/>
    <w:rsid w:val="00241201"/>
    <w:rsid w:val="0024144A"/>
    <w:rsid w:val="002415B5"/>
    <w:rsid w:val="002416A2"/>
    <w:rsid w:val="00241766"/>
    <w:rsid w:val="0024189A"/>
    <w:rsid w:val="0024191E"/>
    <w:rsid w:val="00241AF1"/>
    <w:rsid w:val="00241BAE"/>
    <w:rsid w:val="00241C23"/>
    <w:rsid w:val="00241C7E"/>
    <w:rsid w:val="00241FE5"/>
    <w:rsid w:val="002420D9"/>
    <w:rsid w:val="002425E7"/>
    <w:rsid w:val="00242634"/>
    <w:rsid w:val="00242641"/>
    <w:rsid w:val="00242848"/>
    <w:rsid w:val="002428EF"/>
    <w:rsid w:val="00242A6B"/>
    <w:rsid w:val="00242C36"/>
    <w:rsid w:val="00242D9E"/>
    <w:rsid w:val="00242DFE"/>
    <w:rsid w:val="00242FAC"/>
    <w:rsid w:val="0024317F"/>
    <w:rsid w:val="00243193"/>
    <w:rsid w:val="0024330A"/>
    <w:rsid w:val="00243540"/>
    <w:rsid w:val="00243884"/>
    <w:rsid w:val="00243915"/>
    <w:rsid w:val="002442D5"/>
    <w:rsid w:val="002444D6"/>
    <w:rsid w:val="002445D5"/>
    <w:rsid w:val="0024495F"/>
    <w:rsid w:val="00244966"/>
    <w:rsid w:val="00244B00"/>
    <w:rsid w:val="00244D85"/>
    <w:rsid w:val="00245149"/>
    <w:rsid w:val="00245187"/>
    <w:rsid w:val="002455B7"/>
    <w:rsid w:val="00245A7E"/>
    <w:rsid w:val="00245C60"/>
    <w:rsid w:val="00245C82"/>
    <w:rsid w:val="00245E44"/>
    <w:rsid w:val="00246351"/>
    <w:rsid w:val="00246522"/>
    <w:rsid w:val="0024670A"/>
    <w:rsid w:val="00246776"/>
    <w:rsid w:val="0024679B"/>
    <w:rsid w:val="00246C26"/>
    <w:rsid w:val="00246CA4"/>
    <w:rsid w:val="002470C6"/>
    <w:rsid w:val="00247807"/>
    <w:rsid w:val="00247812"/>
    <w:rsid w:val="00247881"/>
    <w:rsid w:val="002479FE"/>
    <w:rsid w:val="00247A87"/>
    <w:rsid w:val="00247B0A"/>
    <w:rsid w:val="00247C4E"/>
    <w:rsid w:val="00247CA3"/>
    <w:rsid w:val="00247DDA"/>
    <w:rsid w:val="00250147"/>
    <w:rsid w:val="00250276"/>
    <w:rsid w:val="0025049C"/>
    <w:rsid w:val="00250B90"/>
    <w:rsid w:val="00250D11"/>
    <w:rsid w:val="00250EFE"/>
    <w:rsid w:val="00251121"/>
    <w:rsid w:val="00251227"/>
    <w:rsid w:val="00251753"/>
    <w:rsid w:val="002518C2"/>
    <w:rsid w:val="00251924"/>
    <w:rsid w:val="00251958"/>
    <w:rsid w:val="00251A5F"/>
    <w:rsid w:val="00251D38"/>
    <w:rsid w:val="00251E8A"/>
    <w:rsid w:val="00252259"/>
    <w:rsid w:val="0025254F"/>
    <w:rsid w:val="00252614"/>
    <w:rsid w:val="0025273A"/>
    <w:rsid w:val="002527D6"/>
    <w:rsid w:val="002527EA"/>
    <w:rsid w:val="0025285E"/>
    <w:rsid w:val="00252A3C"/>
    <w:rsid w:val="00252A86"/>
    <w:rsid w:val="00252BE6"/>
    <w:rsid w:val="00252ECF"/>
    <w:rsid w:val="00252F38"/>
    <w:rsid w:val="002530A6"/>
    <w:rsid w:val="0025313E"/>
    <w:rsid w:val="002531BA"/>
    <w:rsid w:val="0025328D"/>
    <w:rsid w:val="002532F5"/>
    <w:rsid w:val="00253323"/>
    <w:rsid w:val="002534FA"/>
    <w:rsid w:val="002535F2"/>
    <w:rsid w:val="00253763"/>
    <w:rsid w:val="002538F8"/>
    <w:rsid w:val="00253B8B"/>
    <w:rsid w:val="00253C71"/>
    <w:rsid w:val="00253D41"/>
    <w:rsid w:val="00253E61"/>
    <w:rsid w:val="00253F02"/>
    <w:rsid w:val="002540D3"/>
    <w:rsid w:val="00254113"/>
    <w:rsid w:val="002542DD"/>
    <w:rsid w:val="002545F3"/>
    <w:rsid w:val="00254696"/>
    <w:rsid w:val="002547E6"/>
    <w:rsid w:val="00254920"/>
    <w:rsid w:val="002549CC"/>
    <w:rsid w:val="00254CF0"/>
    <w:rsid w:val="00254E63"/>
    <w:rsid w:val="00255001"/>
    <w:rsid w:val="00255188"/>
    <w:rsid w:val="0025520F"/>
    <w:rsid w:val="0025522F"/>
    <w:rsid w:val="00255AEE"/>
    <w:rsid w:val="00255D2A"/>
    <w:rsid w:val="00255D39"/>
    <w:rsid w:val="00255E1E"/>
    <w:rsid w:val="00255EA0"/>
    <w:rsid w:val="002561B9"/>
    <w:rsid w:val="0025625F"/>
    <w:rsid w:val="00256303"/>
    <w:rsid w:val="002563CE"/>
    <w:rsid w:val="00256726"/>
    <w:rsid w:val="0025688D"/>
    <w:rsid w:val="00256A89"/>
    <w:rsid w:val="00256A8D"/>
    <w:rsid w:val="00256A91"/>
    <w:rsid w:val="00256C50"/>
    <w:rsid w:val="00256D0E"/>
    <w:rsid w:val="00256E1B"/>
    <w:rsid w:val="00257094"/>
    <w:rsid w:val="00257307"/>
    <w:rsid w:val="0025780D"/>
    <w:rsid w:val="00257A1B"/>
    <w:rsid w:val="00257A75"/>
    <w:rsid w:val="00257B15"/>
    <w:rsid w:val="00257BAD"/>
    <w:rsid w:val="00257BB3"/>
    <w:rsid w:val="00260161"/>
    <w:rsid w:val="002601A7"/>
    <w:rsid w:val="002601B5"/>
    <w:rsid w:val="00260631"/>
    <w:rsid w:val="0026097F"/>
    <w:rsid w:val="00260A01"/>
    <w:rsid w:val="00260BE0"/>
    <w:rsid w:val="00260E6E"/>
    <w:rsid w:val="00260EC5"/>
    <w:rsid w:val="00260EFC"/>
    <w:rsid w:val="0026117F"/>
    <w:rsid w:val="002611CA"/>
    <w:rsid w:val="00261436"/>
    <w:rsid w:val="0026168E"/>
    <w:rsid w:val="00261811"/>
    <w:rsid w:val="0026181E"/>
    <w:rsid w:val="00261882"/>
    <w:rsid w:val="0026191D"/>
    <w:rsid w:val="00261E6D"/>
    <w:rsid w:val="00262300"/>
    <w:rsid w:val="00262349"/>
    <w:rsid w:val="002625E5"/>
    <w:rsid w:val="00262711"/>
    <w:rsid w:val="00262A02"/>
    <w:rsid w:val="00262B8C"/>
    <w:rsid w:val="00262C50"/>
    <w:rsid w:val="00262E65"/>
    <w:rsid w:val="00262E7C"/>
    <w:rsid w:val="0026305C"/>
    <w:rsid w:val="00263168"/>
    <w:rsid w:val="002634B2"/>
    <w:rsid w:val="00263613"/>
    <w:rsid w:val="0026369C"/>
    <w:rsid w:val="002636C5"/>
    <w:rsid w:val="002637E0"/>
    <w:rsid w:val="00263A5A"/>
    <w:rsid w:val="00263D6F"/>
    <w:rsid w:val="00263E39"/>
    <w:rsid w:val="0026400A"/>
    <w:rsid w:val="0026409A"/>
    <w:rsid w:val="0026426E"/>
    <w:rsid w:val="00264288"/>
    <w:rsid w:val="0026481D"/>
    <w:rsid w:val="002648FA"/>
    <w:rsid w:val="00264BEC"/>
    <w:rsid w:val="002650B8"/>
    <w:rsid w:val="0026517A"/>
    <w:rsid w:val="002654AB"/>
    <w:rsid w:val="002654C7"/>
    <w:rsid w:val="0026550A"/>
    <w:rsid w:val="00265518"/>
    <w:rsid w:val="002655E1"/>
    <w:rsid w:val="002655EB"/>
    <w:rsid w:val="00265613"/>
    <w:rsid w:val="00265616"/>
    <w:rsid w:val="00265638"/>
    <w:rsid w:val="002658D0"/>
    <w:rsid w:val="0026596D"/>
    <w:rsid w:val="00265BF9"/>
    <w:rsid w:val="00265C20"/>
    <w:rsid w:val="00265CB4"/>
    <w:rsid w:val="00265D04"/>
    <w:rsid w:val="00265DF8"/>
    <w:rsid w:val="0026600D"/>
    <w:rsid w:val="0026607A"/>
    <w:rsid w:val="0026618C"/>
    <w:rsid w:val="0026622D"/>
    <w:rsid w:val="002662ED"/>
    <w:rsid w:val="00266338"/>
    <w:rsid w:val="00266390"/>
    <w:rsid w:val="00266438"/>
    <w:rsid w:val="00266503"/>
    <w:rsid w:val="00266515"/>
    <w:rsid w:val="00266589"/>
    <w:rsid w:val="0026660E"/>
    <w:rsid w:val="00266652"/>
    <w:rsid w:val="00266676"/>
    <w:rsid w:val="00266714"/>
    <w:rsid w:val="002667E6"/>
    <w:rsid w:val="002668C8"/>
    <w:rsid w:val="002669E5"/>
    <w:rsid w:val="00266A5E"/>
    <w:rsid w:val="00266BBD"/>
    <w:rsid w:val="00266BE9"/>
    <w:rsid w:val="00266BF8"/>
    <w:rsid w:val="00266EC4"/>
    <w:rsid w:val="002671FE"/>
    <w:rsid w:val="002673CA"/>
    <w:rsid w:val="00267410"/>
    <w:rsid w:val="002674E2"/>
    <w:rsid w:val="0026751D"/>
    <w:rsid w:val="002676B5"/>
    <w:rsid w:val="002679E0"/>
    <w:rsid w:val="00267C4A"/>
    <w:rsid w:val="00267CDC"/>
    <w:rsid w:val="00267E5A"/>
    <w:rsid w:val="00267ECA"/>
    <w:rsid w:val="00270117"/>
    <w:rsid w:val="0027012E"/>
    <w:rsid w:val="002701BE"/>
    <w:rsid w:val="002703C9"/>
    <w:rsid w:val="00270911"/>
    <w:rsid w:val="00270B6B"/>
    <w:rsid w:val="00270D80"/>
    <w:rsid w:val="00270F34"/>
    <w:rsid w:val="0027135F"/>
    <w:rsid w:val="002716CB"/>
    <w:rsid w:val="00271860"/>
    <w:rsid w:val="00271BB9"/>
    <w:rsid w:val="00271C9C"/>
    <w:rsid w:val="00272055"/>
    <w:rsid w:val="002720DD"/>
    <w:rsid w:val="002723A0"/>
    <w:rsid w:val="002723B1"/>
    <w:rsid w:val="0027248D"/>
    <w:rsid w:val="00272558"/>
    <w:rsid w:val="00272749"/>
    <w:rsid w:val="002728E5"/>
    <w:rsid w:val="00272906"/>
    <w:rsid w:val="002729D7"/>
    <w:rsid w:val="00272A74"/>
    <w:rsid w:val="00272A8E"/>
    <w:rsid w:val="00272B16"/>
    <w:rsid w:val="00272C0D"/>
    <w:rsid w:val="00272CD9"/>
    <w:rsid w:val="00272E17"/>
    <w:rsid w:val="00272EC9"/>
    <w:rsid w:val="00272F07"/>
    <w:rsid w:val="00272FBA"/>
    <w:rsid w:val="00273036"/>
    <w:rsid w:val="0027349B"/>
    <w:rsid w:val="0027352F"/>
    <w:rsid w:val="002735CE"/>
    <w:rsid w:val="0027381D"/>
    <w:rsid w:val="00273860"/>
    <w:rsid w:val="00273BD4"/>
    <w:rsid w:val="00273CD5"/>
    <w:rsid w:val="00273E41"/>
    <w:rsid w:val="00273ECE"/>
    <w:rsid w:val="00273FB2"/>
    <w:rsid w:val="00273FB5"/>
    <w:rsid w:val="00274102"/>
    <w:rsid w:val="00274396"/>
    <w:rsid w:val="0027448B"/>
    <w:rsid w:val="002744BF"/>
    <w:rsid w:val="00274588"/>
    <w:rsid w:val="002746FA"/>
    <w:rsid w:val="00274733"/>
    <w:rsid w:val="002749F4"/>
    <w:rsid w:val="00274A9B"/>
    <w:rsid w:val="00274DC7"/>
    <w:rsid w:val="00274E69"/>
    <w:rsid w:val="002750B2"/>
    <w:rsid w:val="002750BD"/>
    <w:rsid w:val="0027557D"/>
    <w:rsid w:val="0027559A"/>
    <w:rsid w:val="00275643"/>
    <w:rsid w:val="0027568D"/>
    <w:rsid w:val="002756CD"/>
    <w:rsid w:val="002757D6"/>
    <w:rsid w:val="00275ABB"/>
    <w:rsid w:val="00275DC0"/>
    <w:rsid w:val="00275DF7"/>
    <w:rsid w:val="00275E3D"/>
    <w:rsid w:val="00275F5A"/>
    <w:rsid w:val="00275F8A"/>
    <w:rsid w:val="00276222"/>
    <w:rsid w:val="00276428"/>
    <w:rsid w:val="00276464"/>
    <w:rsid w:val="0027646E"/>
    <w:rsid w:val="00276584"/>
    <w:rsid w:val="00276735"/>
    <w:rsid w:val="00276787"/>
    <w:rsid w:val="00276A87"/>
    <w:rsid w:val="00276D7A"/>
    <w:rsid w:val="0027703C"/>
    <w:rsid w:val="002771D1"/>
    <w:rsid w:val="00277220"/>
    <w:rsid w:val="0027741A"/>
    <w:rsid w:val="0027769C"/>
    <w:rsid w:val="0027775F"/>
    <w:rsid w:val="00277810"/>
    <w:rsid w:val="00277A8E"/>
    <w:rsid w:val="00277AC1"/>
    <w:rsid w:val="002800A4"/>
    <w:rsid w:val="00280164"/>
    <w:rsid w:val="002801EB"/>
    <w:rsid w:val="00280201"/>
    <w:rsid w:val="00280329"/>
    <w:rsid w:val="00280397"/>
    <w:rsid w:val="00280474"/>
    <w:rsid w:val="002806D4"/>
    <w:rsid w:val="002809AD"/>
    <w:rsid w:val="00280F63"/>
    <w:rsid w:val="00280FE0"/>
    <w:rsid w:val="00281044"/>
    <w:rsid w:val="002810BC"/>
    <w:rsid w:val="00281136"/>
    <w:rsid w:val="00281449"/>
    <w:rsid w:val="00281457"/>
    <w:rsid w:val="00281470"/>
    <w:rsid w:val="00281536"/>
    <w:rsid w:val="00281630"/>
    <w:rsid w:val="002819E2"/>
    <w:rsid w:val="00281A99"/>
    <w:rsid w:val="0028218B"/>
    <w:rsid w:val="00282191"/>
    <w:rsid w:val="002822DA"/>
    <w:rsid w:val="002824FF"/>
    <w:rsid w:val="00282569"/>
    <w:rsid w:val="002829AA"/>
    <w:rsid w:val="00282B48"/>
    <w:rsid w:val="00282BBD"/>
    <w:rsid w:val="00282F4B"/>
    <w:rsid w:val="00283053"/>
    <w:rsid w:val="00283114"/>
    <w:rsid w:val="0028316D"/>
    <w:rsid w:val="002832A3"/>
    <w:rsid w:val="0028349D"/>
    <w:rsid w:val="00283565"/>
    <w:rsid w:val="0028358C"/>
    <w:rsid w:val="00283617"/>
    <w:rsid w:val="00283826"/>
    <w:rsid w:val="00283B33"/>
    <w:rsid w:val="00283D43"/>
    <w:rsid w:val="00284074"/>
    <w:rsid w:val="00284271"/>
    <w:rsid w:val="00284517"/>
    <w:rsid w:val="00284660"/>
    <w:rsid w:val="00284710"/>
    <w:rsid w:val="002847A9"/>
    <w:rsid w:val="00284A03"/>
    <w:rsid w:val="00284BD0"/>
    <w:rsid w:val="00284C4F"/>
    <w:rsid w:val="00284E2B"/>
    <w:rsid w:val="00285121"/>
    <w:rsid w:val="0028516F"/>
    <w:rsid w:val="00285185"/>
    <w:rsid w:val="0028527A"/>
    <w:rsid w:val="00285357"/>
    <w:rsid w:val="00285677"/>
    <w:rsid w:val="00285824"/>
    <w:rsid w:val="00285B6B"/>
    <w:rsid w:val="00285B75"/>
    <w:rsid w:val="00286086"/>
    <w:rsid w:val="002861C4"/>
    <w:rsid w:val="002862A5"/>
    <w:rsid w:val="0028664B"/>
    <w:rsid w:val="002866E0"/>
    <w:rsid w:val="00286900"/>
    <w:rsid w:val="002869F0"/>
    <w:rsid w:val="00286BA6"/>
    <w:rsid w:val="00286CEE"/>
    <w:rsid w:val="00286E12"/>
    <w:rsid w:val="00286E76"/>
    <w:rsid w:val="00287027"/>
    <w:rsid w:val="0028711B"/>
    <w:rsid w:val="00287349"/>
    <w:rsid w:val="0028734F"/>
    <w:rsid w:val="00287377"/>
    <w:rsid w:val="002874C2"/>
    <w:rsid w:val="00287615"/>
    <w:rsid w:val="0028765F"/>
    <w:rsid w:val="002876D1"/>
    <w:rsid w:val="0028774A"/>
    <w:rsid w:val="002879D7"/>
    <w:rsid w:val="00287A25"/>
    <w:rsid w:val="00287BE7"/>
    <w:rsid w:val="00287C19"/>
    <w:rsid w:val="00287C59"/>
    <w:rsid w:val="00287CE7"/>
    <w:rsid w:val="00287D1D"/>
    <w:rsid w:val="00287D22"/>
    <w:rsid w:val="00287ED6"/>
    <w:rsid w:val="00290081"/>
    <w:rsid w:val="002900FB"/>
    <w:rsid w:val="00290467"/>
    <w:rsid w:val="002904AE"/>
    <w:rsid w:val="002904BA"/>
    <w:rsid w:val="0029093B"/>
    <w:rsid w:val="00291511"/>
    <w:rsid w:val="0029182A"/>
    <w:rsid w:val="00291AB5"/>
    <w:rsid w:val="00291E22"/>
    <w:rsid w:val="00291F07"/>
    <w:rsid w:val="00292162"/>
    <w:rsid w:val="0029234A"/>
    <w:rsid w:val="00292390"/>
    <w:rsid w:val="00292517"/>
    <w:rsid w:val="00292564"/>
    <w:rsid w:val="002925E5"/>
    <w:rsid w:val="002926A7"/>
    <w:rsid w:val="002926E7"/>
    <w:rsid w:val="002928FE"/>
    <w:rsid w:val="00292DC5"/>
    <w:rsid w:val="00292E8D"/>
    <w:rsid w:val="002932E1"/>
    <w:rsid w:val="00293431"/>
    <w:rsid w:val="00293B99"/>
    <w:rsid w:val="00293BAD"/>
    <w:rsid w:val="00293C98"/>
    <w:rsid w:val="00293CCF"/>
    <w:rsid w:val="00293D74"/>
    <w:rsid w:val="00293DB2"/>
    <w:rsid w:val="00294116"/>
    <w:rsid w:val="00294123"/>
    <w:rsid w:val="0029431D"/>
    <w:rsid w:val="002946FA"/>
    <w:rsid w:val="002948B0"/>
    <w:rsid w:val="00294ADA"/>
    <w:rsid w:val="00294B3E"/>
    <w:rsid w:val="00294B60"/>
    <w:rsid w:val="00294C41"/>
    <w:rsid w:val="00294D1D"/>
    <w:rsid w:val="00294D96"/>
    <w:rsid w:val="00294EDC"/>
    <w:rsid w:val="00295015"/>
    <w:rsid w:val="002951A1"/>
    <w:rsid w:val="00295210"/>
    <w:rsid w:val="002955DD"/>
    <w:rsid w:val="00295744"/>
    <w:rsid w:val="002959F6"/>
    <w:rsid w:val="00295B00"/>
    <w:rsid w:val="00295B59"/>
    <w:rsid w:val="00295D3D"/>
    <w:rsid w:val="00295EA5"/>
    <w:rsid w:val="002961A4"/>
    <w:rsid w:val="002962AB"/>
    <w:rsid w:val="002962AE"/>
    <w:rsid w:val="002963F4"/>
    <w:rsid w:val="002966DA"/>
    <w:rsid w:val="00296898"/>
    <w:rsid w:val="00296A23"/>
    <w:rsid w:val="00296A40"/>
    <w:rsid w:val="00296B5D"/>
    <w:rsid w:val="00296C03"/>
    <w:rsid w:val="00296C16"/>
    <w:rsid w:val="00296C57"/>
    <w:rsid w:val="00296CED"/>
    <w:rsid w:val="00296DCE"/>
    <w:rsid w:val="002971B7"/>
    <w:rsid w:val="002975DF"/>
    <w:rsid w:val="00297936"/>
    <w:rsid w:val="00297974"/>
    <w:rsid w:val="00297A5D"/>
    <w:rsid w:val="00297A84"/>
    <w:rsid w:val="00297C63"/>
    <w:rsid w:val="00297FAA"/>
    <w:rsid w:val="002A00EF"/>
    <w:rsid w:val="002A00F7"/>
    <w:rsid w:val="002A0289"/>
    <w:rsid w:val="002A038B"/>
    <w:rsid w:val="002A0395"/>
    <w:rsid w:val="002A0503"/>
    <w:rsid w:val="002A099E"/>
    <w:rsid w:val="002A09BA"/>
    <w:rsid w:val="002A0A13"/>
    <w:rsid w:val="002A0B4C"/>
    <w:rsid w:val="002A0DA9"/>
    <w:rsid w:val="002A1455"/>
    <w:rsid w:val="002A153B"/>
    <w:rsid w:val="002A155C"/>
    <w:rsid w:val="002A1A46"/>
    <w:rsid w:val="002A1A99"/>
    <w:rsid w:val="002A1CF5"/>
    <w:rsid w:val="002A1D7A"/>
    <w:rsid w:val="002A21C5"/>
    <w:rsid w:val="002A22B9"/>
    <w:rsid w:val="002A23F6"/>
    <w:rsid w:val="002A2563"/>
    <w:rsid w:val="002A294E"/>
    <w:rsid w:val="002A2986"/>
    <w:rsid w:val="002A2A5C"/>
    <w:rsid w:val="002A2EE5"/>
    <w:rsid w:val="002A2EFF"/>
    <w:rsid w:val="002A2F89"/>
    <w:rsid w:val="002A2F9A"/>
    <w:rsid w:val="002A311D"/>
    <w:rsid w:val="002A324F"/>
    <w:rsid w:val="002A336B"/>
    <w:rsid w:val="002A348F"/>
    <w:rsid w:val="002A371B"/>
    <w:rsid w:val="002A371E"/>
    <w:rsid w:val="002A385B"/>
    <w:rsid w:val="002A38C1"/>
    <w:rsid w:val="002A3D4E"/>
    <w:rsid w:val="002A3D6B"/>
    <w:rsid w:val="002A4010"/>
    <w:rsid w:val="002A40B5"/>
    <w:rsid w:val="002A41F5"/>
    <w:rsid w:val="002A42E1"/>
    <w:rsid w:val="002A469D"/>
    <w:rsid w:val="002A46C2"/>
    <w:rsid w:val="002A474B"/>
    <w:rsid w:val="002A483E"/>
    <w:rsid w:val="002A4878"/>
    <w:rsid w:val="002A4B29"/>
    <w:rsid w:val="002A4B5A"/>
    <w:rsid w:val="002A4BAF"/>
    <w:rsid w:val="002A4BE4"/>
    <w:rsid w:val="002A4C79"/>
    <w:rsid w:val="002A4E7F"/>
    <w:rsid w:val="002A5520"/>
    <w:rsid w:val="002A58E4"/>
    <w:rsid w:val="002A5AD4"/>
    <w:rsid w:val="002A5B8A"/>
    <w:rsid w:val="002A5E2B"/>
    <w:rsid w:val="002A5FB8"/>
    <w:rsid w:val="002A62BC"/>
    <w:rsid w:val="002A63BF"/>
    <w:rsid w:val="002A63F1"/>
    <w:rsid w:val="002A66B1"/>
    <w:rsid w:val="002A690A"/>
    <w:rsid w:val="002A6994"/>
    <w:rsid w:val="002A69F3"/>
    <w:rsid w:val="002A6AA4"/>
    <w:rsid w:val="002A6C02"/>
    <w:rsid w:val="002A6ECB"/>
    <w:rsid w:val="002A7037"/>
    <w:rsid w:val="002A7297"/>
    <w:rsid w:val="002A7362"/>
    <w:rsid w:val="002A74E8"/>
    <w:rsid w:val="002A7710"/>
    <w:rsid w:val="002A791E"/>
    <w:rsid w:val="002A795B"/>
    <w:rsid w:val="002A7C09"/>
    <w:rsid w:val="002A7F2D"/>
    <w:rsid w:val="002B010B"/>
    <w:rsid w:val="002B02AF"/>
    <w:rsid w:val="002B031C"/>
    <w:rsid w:val="002B0409"/>
    <w:rsid w:val="002B048F"/>
    <w:rsid w:val="002B04BC"/>
    <w:rsid w:val="002B0676"/>
    <w:rsid w:val="002B07EB"/>
    <w:rsid w:val="002B08B1"/>
    <w:rsid w:val="002B097F"/>
    <w:rsid w:val="002B0A06"/>
    <w:rsid w:val="002B0C8B"/>
    <w:rsid w:val="002B0DD8"/>
    <w:rsid w:val="002B0E4F"/>
    <w:rsid w:val="002B0F34"/>
    <w:rsid w:val="002B0F61"/>
    <w:rsid w:val="002B1030"/>
    <w:rsid w:val="002B1036"/>
    <w:rsid w:val="002B11F0"/>
    <w:rsid w:val="002B12CC"/>
    <w:rsid w:val="002B1470"/>
    <w:rsid w:val="002B1532"/>
    <w:rsid w:val="002B1951"/>
    <w:rsid w:val="002B1A77"/>
    <w:rsid w:val="002B1C51"/>
    <w:rsid w:val="002B1EDA"/>
    <w:rsid w:val="002B1EF3"/>
    <w:rsid w:val="002B1F35"/>
    <w:rsid w:val="002B1F8E"/>
    <w:rsid w:val="002B1F9C"/>
    <w:rsid w:val="002B2814"/>
    <w:rsid w:val="002B29C9"/>
    <w:rsid w:val="002B3000"/>
    <w:rsid w:val="002B301B"/>
    <w:rsid w:val="002B323E"/>
    <w:rsid w:val="002B3380"/>
    <w:rsid w:val="002B3383"/>
    <w:rsid w:val="002B3483"/>
    <w:rsid w:val="002B38CD"/>
    <w:rsid w:val="002B3908"/>
    <w:rsid w:val="002B39CE"/>
    <w:rsid w:val="002B3A8D"/>
    <w:rsid w:val="002B3B07"/>
    <w:rsid w:val="002B3CCD"/>
    <w:rsid w:val="002B3DD3"/>
    <w:rsid w:val="002B3E7B"/>
    <w:rsid w:val="002B3F8D"/>
    <w:rsid w:val="002B4128"/>
    <w:rsid w:val="002B4136"/>
    <w:rsid w:val="002B43EB"/>
    <w:rsid w:val="002B454E"/>
    <w:rsid w:val="002B4740"/>
    <w:rsid w:val="002B47A5"/>
    <w:rsid w:val="002B47C7"/>
    <w:rsid w:val="002B48BE"/>
    <w:rsid w:val="002B4B0A"/>
    <w:rsid w:val="002B4BC7"/>
    <w:rsid w:val="002B4CC6"/>
    <w:rsid w:val="002B4E49"/>
    <w:rsid w:val="002B4F67"/>
    <w:rsid w:val="002B4FA1"/>
    <w:rsid w:val="002B5608"/>
    <w:rsid w:val="002B5616"/>
    <w:rsid w:val="002B5A3F"/>
    <w:rsid w:val="002B5ABC"/>
    <w:rsid w:val="002B5E94"/>
    <w:rsid w:val="002B60F9"/>
    <w:rsid w:val="002B610D"/>
    <w:rsid w:val="002B6145"/>
    <w:rsid w:val="002B62B1"/>
    <w:rsid w:val="002B653F"/>
    <w:rsid w:val="002B6549"/>
    <w:rsid w:val="002B6603"/>
    <w:rsid w:val="002B6645"/>
    <w:rsid w:val="002B6AFB"/>
    <w:rsid w:val="002B6EE3"/>
    <w:rsid w:val="002B7070"/>
    <w:rsid w:val="002B7079"/>
    <w:rsid w:val="002B711C"/>
    <w:rsid w:val="002B7204"/>
    <w:rsid w:val="002B72FB"/>
    <w:rsid w:val="002B74D6"/>
    <w:rsid w:val="002B7667"/>
    <w:rsid w:val="002B78D1"/>
    <w:rsid w:val="002B7A1A"/>
    <w:rsid w:val="002B7BBC"/>
    <w:rsid w:val="002B7ECD"/>
    <w:rsid w:val="002C00AE"/>
    <w:rsid w:val="002C013E"/>
    <w:rsid w:val="002C0227"/>
    <w:rsid w:val="002C04CA"/>
    <w:rsid w:val="002C0732"/>
    <w:rsid w:val="002C078A"/>
    <w:rsid w:val="002C0D5A"/>
    <w:rsid w:val="002C0E13"/>
    <w:rsid w:val="002C0FC4"/>
    <w:rsid w:val="002C1113"/>
    <w:rsid w:val="002C11D7"/>
    <w:rsid w:val="002C1307"/>
    <w:rsid w:val="002C15D8"/>
    <w:rsid w:val="002C15EF"/>
    <w:rsid w:val="002C1993"/>
    <w:rsid w:val="002C1ABF"/>
    <w:rsid w:val="002C1C5F"/>
    <w:rsid w:val="002C1D78"/>
    <w:rsid w:val="002C1ED5"/>
    <w:rsid w:val="002C2114"/>
    <w:rsid w:val="002C220B"/>
    <w:rsid w:val="002C2229"/>
    <w:rsid w:val="002C2311"/>
    <w:rsid w:val="002C267C"/>
    <w:rsid w:val="002C2750"/>
    <w:rsid w:val="002C282A"/>
    <w:rsid w:val="002C2841"/>
    <w:rsid w:val="002C2854"/>
    <w:rsid w:val="002C28D4"/>
    <w:rsid w:val="002C28F4"/>
    <w:rsid w:val="002C29D8"/>
    <w:rsid w:val="002C2AD8"/>
    <w:rsid w:val="002C2D58"/>
    <w:rsid w:val="002C3026"/>
    <w:rsid w:val="002C3224"/>
    <w:rsid w:val="002C3411"/>
    <w:rsid w:val="002C3493"/>
    <w:rsid w:val="002C3775"/>
    <w:rsid w:val="002C38DE"/>
    <w:rsid w:val="002C3B06"/>
    <w:rsid w:val="002C3F2D"/>
    <w:rsid w:val="002C43FA"/>
    <w:rsid w:val="002C443F"/>
    <w:rsid w:val="002C44C8"/>
    <w:rsid w:val="002C45C5"/>
    <w:rsid w:val="002C475A"/>
    <w:rsid w:val="002C49E7"/>
    <w:rsid w:val="002C4CFC"/>
    <w:rsid w:val="002C4E8C"/>
    <w:rsid w:val="002C5094"/>
    <w:rsid w:val="002C53D7"/>
    <w:rsid w:val="002C5406"/>
    <w:rsid w:val="002C551F"/>
    <w:rsid w:val="002C5539"/>
    <w:rsid w:val="002C5A8B"/>
    <w:rsid w:val="002C5E63"/>
    <w:rsid w:val="002C5F5B"/>
    <w:rsid w:val="002C625C"/>
    <w:rsid w:val="002C629D"/>
    <w:rsid w:val="002C6331"/>
    <w:rsid w:val="002C64AA"/>
    <w:rsid w:val="002C64FF"/>
    <w:rsid w:val="002C6721"/>
    <w:rsid w:val="002C6D25"/>
    <w:rsid w:val="002C6DE9"/>
    <w:rsid w:val="002C6EB2"/>
    <w:rsid w:val="002C700E"/>
    <w:rsid w:val="002C702C"/>
    <w:rsid w:val="002C729D"/>
    <w:rsid w:val="002C74B8"/>
    <w:rsid w:val="002C7520"/>
    <w:rsid w:val="002C75E6"/>
    <w:rsid w:val="002C765C"/>
    <w:rsid w:val="002C777D"/>
    <w:rsid w:val="002C7A28"/>
    <w:rsid w:val="002C7AE9"/>
    <w:rsid w:val="002C7B08"/>
    <w:rsid w:val="002D0746"/>
    <w:rsid w:val="002D0837"/>
    <w:rsid w:val="002D09E8"/>
    <w:rsid w:val="002D0B42"/>
    <w:rsid w:val="002D0C22"/>
    <w:rsid w:val="002D0D5E"/>
    <w:rsid w:val="002D0D91"/>
    <w:rsid w:val="002D0FB6"/>
    <w:rsid w:val="002D110A"/>
    <w:rsid w:val="002D11BE"/>
    <w:rsid w:val="002D129A"/>
    <w:rsid w:val="002D12FD"/>
    <w:rsid w:val="002D131F"/>
    <w:rsid w:val="002D15A5"/>
    <w:rsid w:val="002D1834"/>
    <w:rsid w:val="002D1A01"/>
    <w:rsid w:val="002D1BC9"/>
    <w:rsid w:val="002D1C44"/>
    <w:rsid w:val="002D1C6F"/>
    <w:rsid w:val="002D1DBF"/>
    <w:rsid w:val="002D1F72"/>
    <w:rsid w:val="002D2189"/>
    <w:rsid w:val="002D23F1"/>
    <w:rsid w:val="002D243D"/>
    <w:rsid w:val="002D2596"/>
    <w:rsid w:val="002D28B3"/>
    <w:rsid w:val="002D29AE"/>
    <w:rsid w:val="002D2B9E"/>
    <w:rsid w:val="002D3087"/>
    <w:rsid w:val="002D3150"/>
    <w:rsid w:val="002D32E4"/>
    <w:rsid w:val="002D36BB"/>
    <w:rsid w:val="002D3969"/>
    <w:rsid w:val="002D3A2B"/>
    <w:rsid w:val="002D3A90"/>
    <w:rsid w:val="002D3B6F"/>
    <w:rsid w:val="002D3EA6"/>
    <w:rsid w:val="002D3FC5"/>
    <w:rsid w:val="002D4006"/>
    <w:rsid w:val="002D4049"/>
    <w:rsid w:val="002D405B"/>
    <w:rsid w:val="002D4060"/>
    <w:rsid w:val="002D40B1"/>
    <w:rsid w:val="002D41C5"/>
    <w:rsid w:val="002D4430"/>
    <w:rsid w:val="002D45CD"/>
    <w:rsid w:val="002D4887"/>
    <w:rsid w:val="002D497F"/>
    <w:rsid w:val="002D4991"/>
    <w:rsid w:val="002D4D32"/>
    <w:rsid w:val="002D4E52"/>
    <w:rsid w:val="002D4F7A"/>
    <w:rsid w:val="002D500D"/>
    <w:rsid w:val="002D546C"/>
    <w:rsid w:val="002D5497"/>
    <w:rsid w:val="002D5549"/>
    <w:rsid w:val="002D5611"/>
    <w:rsid w:val="002D563A"/>
    <w:rsid w:val="002D56B0"/>
    <w:rsid w:val="002D56E6"/>
    <w:rsid w:val="002D570B"/>
    <w:rsid w:val="002D5720"/>
    <w:rsid w:val="002D5911"/>
    <w:rsid w:val="002D5AE7"/>
    <w:rsid w:val="002D5D28"/>
    <w:rsid w:val="002D5DA3"/>
    <w:rsid w:val="002D5DAE"/>
    <w:rsid w:val="002D61BC"/>
    <w:rsid w:val="002D6381"/>
    <w:rsid w:val="002D6422"/>
    <w:rsid w:val="002D64B6"/>
    <w:rsid w:val="002D675B"/>
    <w:rsid w:val="002D68F7"/>
    <w:rsid w:val="002D6930"/>
    <w:rsid w:val="002D6C25"/>
    <w:rsid w:val="002D6D20"/>
    <w:rsid w:val="002D6D28"/>
    <w:rsid w:val="002D7133"/>
    <w:rsid w:val="002D73CA"/>
    <w:rsid w:val="002D741D"/>
    <w:rsid w:val="002D7438"/>
    <w:rsid w:val="002D75F9"/>
    <w:rsid w:val="002D772F"/>
    <w:rsid w:val="002D78A6"/>
    <w:rsid w:val="002D79A7"/>
    <w:rsid w:val="002D7A33"/>
    <w:rsid w:val="002D7AC6"/>
    <w:rsid w:val="002D7CA6"/>
    <w:rsid w:val="002D7DA2"/>
    <w:rsid w:val="002D7DE7"/>
    <w:rsid w:val="002E0032"/>
    <w:rsid w:val="002E003A"/>
    <w:rsid w:val="002E0149"/>
    <w:rsid w:val="002E0457"/>
    <w:rsid w:val="002E06FC"/>
    <w:rsid w:val="002E07AC"/>
    <w:rsid w:val="002E0979"/>
    <w:rsid w:val="002E09C7"/>
    <w:rsid w:val="002E0A48"/>
    <w:rsid w:val="002E0A73"/>
    <w:rsid w:val="002E0B70"/>
    <w:rsid w:val="002E0BE0"/>
    <w:rsid w:val="002E0F24"/>
    <w:rsid w:val="002E10CD"/>
    <w:rsid w:val="002E10DB"/>
    <w:rsid w:val="002E11F3"/>
    <w:rsid w:val="002E121E"/>
    <w:rsid w:val="002E12A6"/>
    <w:rsid w:val="002E13DA"/>
    <w:rsid w:val="002E1539"/>
    <w:rsid w:val="002E16B0"/>
    <w:rsid w:val="002E1715"/>
    <w:rsid w:val="002E18EA"/>
    <w:rsid w:val="002E1BD8"/>
    <w:rsid w:val="002E1F13"/>
    <w:rsid w:val="002E1FE6"/>
    <w:rsid w:val="002E2007"/>
    <w:rsid w:val="002E207D"/>
    <w:rsid w:val="002E2141"/>
    <w:rsid w:val="002E23B4"/>
    <w:rsid w:val="002E2685"/>
    <w:rsid w:val="002E270B"/>
    <w:rsid w:val="002E2CCA"/>
    <w:rsid w:val="002E2CD3"/>
    <w:rsid w:val="002E2D86"/>
    <w:rsid w:val="002E2F28"/>
    <w:rsid w:val="002E2F9D"/>
    <w:rsid w:val="002E3069"/>
    <w:rsid w:val="002E30BB"/>
    <w:rsid w:val="002E3352"/>
    <w:rsid w:val="002E3431"/>
    <w:rsid w:val="002E3473"/>
    <w:rsid w:val="002E3656"/>
    <w:rsid w:val="002E37A8"/>
    <w:rsid w:val="002E388C"/>
    <w:rsid w:val="002E39FC"/>
    <w:rsid w:val="002E3CBB"/>
    <w:rsid w:val="002E3EDF"/>
    <w:rsid w:val="002E41D3"/>
    <w:rsid w:val="002E43DE"/>
    <w:rsid w:val="002E45B3"/>
    <w:rsid w:val="002E45C1"/>
    <w:rsid w:val="002E46F8"/>
    <w:rsid w:val="002E4806"/>
    <w:rsid w:val="002E490F"/>
    <w:rsid w:val="002E4B94"/>
    <w:rsid w:val="002E4E3B"/>
    <w:rsid w:val="002E4FAD"/>
    <w:rsid w:val="002E5344"/>
    <w:rsid w:val="002E550B"/>
    <w:rsid w:val="002E5728"/>
    <w:rsid w:val="002E5783"/>
    <w:rsid w:val="002E5A0A"/>
    <w:rsid w:val="002E5A3A"/>
    <w:rsid w:val="002E5D6D"/>
    <w:rsid w:val="002E5FCA"/>
    <w:rsid w:val="002E6011"/>
    <w:rsid w:val="002E60B5"/>
    <w:rsid w:val="002E62F1"/>
    <w:rsid w:val="002E63A3"/>
    <w:rsid w:val="002E6475"/>
    <w:rsid w:val="002E64B7"/>
    <w:rsid w:val="002E6629"/>
    <w:rsid w:val="002E6797"/>
    <w:rsid w:val="002E67A8"/>
    <w:rsid w:val="002E68FC"/>
    <w:rsid w:val="002E6AA1"/>
    <w:rsid w:val="002E6CC1"/>
    <w:rsid w:val="002E6CFC"/>
    <w:rsid w:val="002E6ED2"/>
    <w:rsid w:val="002E719B"/>
    <w:rsid w:val="002E743F"/>
    <w:rsid w:val="002E74C8"/>
    <w:rsid w:val="002E7513"/>
    <w:rsid w:val="002E7652"/>
    <w:rsid w:val="002E76AE"/>
    <w:rsid w:val="002E79B4"/>
    <w:rsid w:val="002E7CA7"/>
    <w:rsid w:val="002E7D61"/>
    <w:rsid w:val="002E7DDF"/>
    <w:rsid w:val="002E7FAA"/>
    <w:rsid w:val="002F0821"/>
    <w:rsid w:val="002F08F3"/>
    <w:rsid w:val="002F0B3F"/>
    <w:rsid w:val="002F0D12"/>
    <w:rsid w:val="002F0E10"/>
    <w:rsid w:val="002F1017"/>
    <w:rsid w:val="002F10A2"/>
    <w:rsid w:val="002F1114"/>
    <w:rsid w:val="002F11D5"/>
    <w:rsid w:val="002F1287"/>
    <w:rsid w:val="002F15DF"/>
    <w:rsid w:val="002F15F7"/>
    <w:rsid w:val="002F1889"/>
    <w:rsid w:val="002F1971"/>
    <w:rsid w:val="002F19D3"/>
    <w:rsid w:val="002F1B87"/>
    <w:rsid w:val="002F1DF3"/>
    <w:rsid w:val="002F1E57"/>
    <w:rsid w:val="002F1F4E"/>
    <w:rsid w:val="002F22AD"/>
    <w:rsid w:val="002F2418"/>
    <w:rsid w:val="002F25F7"/>
    <w:rsid w:val="002F26AB"/>
    <w:rsid w:val="002F2C4D"/>
    <w:rsid w:val="002F2DFF"/>
    <w:rsid w:val="002F3220"/>
    <w:rsid w:val="002F3311"/>
    <w:rsid w:val="002F333D"/>
    <w:rsid w:val="002F3381"/>
    <w:rsid w:val="002F345C"/>
    <w:rsid w:val="002F35BA"/>
    <w:rsid w:val="002F39B0"/>
    <w:rsid w:val="002F3AB5"/>
    <w:rsid w:val="002F3D31"/>
    <w:rsid w:val="002F3F59"/>
    <w:rsid w:val="002F40EB"/>
    <w:rsid w:val="002F42C3"/>
    <w:rsid w:val="002F4473"/>
    <w:rsid w:val="002F4508"/>
    <w:rsid w:val="002F48A4"/>
    <w:rsid w:val="002F49C9"/>
    <w:rsid w:val="002F49E0"/>
    <w:rsid w:val="002F4A3F"/>
    <w:rsid w:val="002F4A52"/>
    <w:rsid w:val="002F4AAC"/>
    <w:rsid w:val="002F4AEA"/>
    <w:rsid w:val="002F4CEC"/>
    <w:rsid w:val="002F4D8A"/>
    <w:rsid w:val="002F530D"/>
    <w:rsid w:val="002F57C6"/>
    <w:rsid w:val="002F5921"/>
    <w:rsid w:val="002F59D9"/>
    <w:rsid w:val="002F5A9D"/>
    <w:rsid w:val="002F5C0C"/>
    <w:rsid w:val="002F5F65"/>
    <w:rsid w:val="002F6017"/>
    <w:rsid w:val="002F6024"/>
    <w:rsid w:val="002F61C2"/>
    <w:rsid w:val="002F655C"/>
    <w:rsid w:val="002F67B9"/>
    <w:rsid w:val="002F6918"/>
    <w:rsid w:val="002F69D5"/>
    <w:rsid w:val="002F6B1C"/>
    <w:rsid w:val="002F6D19"/>
    <w:rsid w:val="002F70C3"/>
    <w:rsid w:val="002F711A"/>
    <w:rsid w:val="002F73C2"/>
    <w:rsid w:val="002F74EE"/>
    <w:rsid w:val="002F76C0"/>
    <w:rsid w:val="002F783B"/>
    <w:rsid w:val="002F78D3"/>
    <w:rsid w:val="002F7A21"/>
    <w:rsid w:val="002F7AD5"/>
    <w:rsid w:val="002F7D93"/>
    <w:rsid w:val="002F7DF0"/>
    <w:rsid w:val="002F7EF1"/>
    <w:rsid w:val="002F7F67"/>
    <w:rsid w:val="002F7F95"/>
    <w:rsid w:val="003000E2"/>
    <w:rsid w:val="0030024E"/>
    <w:rsid w:val="00300900"/>
    <w:rsid w:val="00300BE6"/>
    <w:rsid w:val="00300C4C"/>
    <w:rsid w:val="00301214"/>
    <w:rsid w:val="00301277"/>
    <w:rsid w:val="00301360"/>
    <w:rsid w:val="00301442"/>
    <w:rsid w:val="00301529"/>
    <w:rsid w:val="003016F3"/>
    <w:rsid w:val="00301770"/>
    <w:rsid w:val="00301777"/>
    <w:rsid w:val="003018DF"/>
    <w:rsid w:val="00301974"/>
    <w:rsid w:val="00301AE7"/>
    <w:rsid w:val="00301C42"/>
    <w:rsid w:val="00301C54"/>
    <w:rsid w:val="00301F77"/>
    <w:rsid w:val="00301F98"/>
    <w:rsid w:val="00301FB9"/>
    <w:rsid w:val="00302047"/>
    <w:rsid w:val="0030214B"/>
    <w:rsid w:val="0030242B"/>
    <w:rsid w:val="003026DA"/>
    <w:rsid w:val="003026E9"/>
    <w:rsid w:val="00302719"/>
    <w:rsid w:val="003028C6"/>
    <w:rsid w:val="0030296C"/>
    <w:rsid w:val="003029C3"/>
    <w:rsid w:val="00302AB7"/>
    <w:rsid w:val="00302EF3"/>
    <w:rsid w:val="00302F4B"/>
    <w:rsid w:val="00302FE6"/>
    <w:rsid w:val="003032DB"/>
    <w:rsid w:val="00303545"/>
    <w:rsid w:val="00303587"/>
    <w:rsid w:val="00303612"/>
    <w:rsid w:val="003037C7"/>
    <w:rsid w:val="0030383C"/>
    <w:rsid w:val="00303AE7"/>
    <w:rsid w:val="00303C91"/>
    <w:rsid w:val="00303D14"/>
    <w:rsid w:val="00303D3F"/>
    <w:rsid w:val="00303D78"/>
    <w:rsid w:val="00303DB6"/>
    <w:rsid w:val="00303E10"/>
    <w:rsid w:val="00303E52"/>
    <w:rsid w:val="0030407B"/>
    <w:rsid w:val="0030419F"/>
    <w:rsid w:val="00304298"/>
    <w:rsid w:val="00304407"/>
    <w:rsid w:val="0030476B"/>
    <w:rsid w:val="00304D65"/>
    <w:rsid w:val="00304E81"/>
    <w:rsid w:val="003052AE"/>
    <w:rsid w:val="00305470"/>
    <w:rsid w:val="003055B0"/>
    <w:rsid w:val="00305639"/>
    <w:rsid w:val="00305817"/>
    <w:rsid w:val="00305986"/>
    <w:rsid w:val="00305A35"/>
    <w:rsid w:val="00305A3D"/>
    <w:rsid w:val="00305AD3"/>
    <w:rsid w:val="00305ADF"/>
    <w:rsid w:val="00305BBA"/>
    <w:rsid w:val="00305C10"/>
    <w:rsid w:val="00305F7A"/>
    <w:rsid w:val="00305FEF"/>
    <w:rsid w:val="00306036"/>
    <w:rsid w:val="00306058"/>
    <w:rsid w:val="003060AB"/>
    <w:rsid w:val="003061CE"/>
    <w:rsid w:val="00306756"/>
    <w:rsid w:val="00306770"/>
    <w:rsid w:val="003067BE"/>
    <w:rsid w:val="00306EB3"/>
    <w:rsid w:val="003072B2"/>
    <w:rsid w:val="0030732F"/>
    <w:rsid w:val="0030750F"/>
    <w:rsid w:val="003078DC"/>
    <w:rsid w:val="003079F2"/>
    <w:rsid w:val="00307A69"/>
    <w:rsid w:val="00307B1C"/>
    <w:rsid w:val="00307B47"/>
    <w:rsid w:val="00307BD2"/>
    <w:rsid w:val="00307BED"/>
    <w:rsid w:val="00307CC2"/>
    <w:rsid w:val="00310038"/>
    <w:rsid w:val="00310427"/>
    <w:rsid w:val="003105EB"/>
    <w:rsid w:val="00310665"/>
    <w:rsid w:val="00310770"/>
    <w:rsid w:val="00310982"/>
    <w:rsid w:val="00310C19"/>
    <w:rsid w:val="00311022"/>
    <w:rsid w:val="0031118C"/>
    <w:rsid w:val="003113E3"/>
    <w:rsid w:val="00311576"/>
    <w:rsid w:val="003115E5"/>
    <w:rsid w:val="00311777"/>
    <w:rsid w:val="003117D4"/>
    <w:rsid w:val="00311A4C"/>
    <w:rsid w:val="00311B56"/>
    <w:rsid w:val="00311BF0"/>
    <w:rsid w:val="00311C90"/>
    <w:rsid w:val="00311DE2"/>
    <w:rsid w:val="00312140"/>
    <w:rsid w:val="00312169"/>
    <w:rsid w:val="00312290"/>
    <w:rsid w:val="003123F7"/>
    <w:rsid w:val="00312732"/>
    <w:rsid w:val="0031281B"/>
    <w:rsid w:val="003129AD"/>
    <w:rsid w:val="00312DBC"/>
    <w:rsid w:val="00312E4A"/>
    <w:rsid w:val="00312F07"/>
    <w:rsid w:val="0031336B"/>
    <w:rsid w:val="00313626"/>
    <w:rsid w:val="00313680"/>
    <w:rsid w:val="003137CC"/>
    <w:rsid w:val="003137DE"/>
    <w:rsid w:val="00313A00"/>
    <w:rsid w:val="00313B2D"/>
    <w:rsid w:val="00313B54"/>
    <w:rsid w:val="00313DBF"/>
    <w:rsid w:val="00313DC4"/>
    <w:rsid w:val="00313DCE"/>
    <w:rsid w:val="00313DD6"/>
    <w:rsid w:val="00313F82"/>
    <w:rsid w:val="00313FA2"/>
    <w:rsid w:val="00314408"/>
    <w:rsid w:val="003147A0"/>
    <w:rsid w:val="003149CC"/>
    <w:rsid w:val="00314BA4"/>
    <w:rsid w:val="00314ED5"/>
    <w:rsid w:val="0031505B"/>
    <w:rsid w:val="0031546F"/>
    <w:rsid w:val="003155FE"/>
    <w:rsid w:val="0031561A"/>
    <w:rsid w:val="00315894"/>
    <w:rsid w:val="00315971"/>
    <w:rsid w:val="00315B55"/>
    <w:rsid w:val="00315F7D"/>
    <w:rsid w:val="003162AE"/>
    <w:rsid w:val="00316635"/>
    <w:rsid w:val="00316A54"/>
    <w:rsid w:val="00316A91"/>
    <w:rsid w:val="00316B09"/>
    <w:rsid w:val="00316B0D"/>
    <w:rsid w:val="00316B1C"/>
    <w:rsid w:val="00316BCD"/>
    <w:rsid w:val="00316BE2"/>
    <w:rsid w:val="00316CDC"/>
    <w:rsid w:val="00316DB6"/>
    <w:rsid w:val="00316E6D"/>
    <w:rsid w:val="003171E0"/>
    <w:rsid w:val="00317389"/>
    <w:rsid w:val="003173A1"/>
    <w:rsid w:val="003173B9"/>
    <w:rsid w:val="003173CD"/>
    <w:rsid w:val="003174D7"/>
    <w:rsid w:val="00317507"/>
    <w:rsid w:val="00317647"/>
    <w:rsid w:val="00317682"/>
    <w:rsid w:val="0031776A"/>
    <w:rsid w:val="00317850"/>
    <w:rsid w:val="00317A1F"/>
    <w:rsid w:val="00317AD3"/>
    <w:rsid w:val="00317B6F"/>
    <w:rsid w:val="00317BCA"/>
    <w:rsid w:val="00317CEF"/>
    <w:rsid w:val="00317F59"/>
    <w:rsid w:val="0032011A"/>
    <w:rsid w:val="003201B3"/>
    <w:rsid w:val="00320260"/>
    <w:rsid w:val="00320581"/>
    <w:rsid w:val="00320642"/>
    <w:rsid w:val="0032065D"/>
    <w:rsid w:val="003206C0"/>
    <w:rsid w:val="00320792"/>
    <w:rsid w:val="00320B9E"/>
    <w:rsid w:val="00320C1A"/>
    <w:rsid w:val="00320CB3"/>
    <w:rsid w:val="00320D13"/>
    <w:rsid w:val="00320E5C"/>
    <w:rsid w:val="003210CB"/>
    <w:rsid w:val="003210CF"/>
    <w:rsid w:val="003211B8"/>
    <w:rsid w:val="0032125D"/>
    <w:rsid w:val="003213EE"/>
    <w:rsid w:val="0032143F"/>
    <w:rsid w:val="003215E8"/>
    <w:rsid w:val="003221CC"/>
    <w:rsid w:val="00322232"/>
    <w:rsid w:val="00322252"/>
    <w:rsid w:val="003227D7"/>
    <w:rsid w:val="003227DE"/>
    <w:rsid w:val="003228E5"/>
    <w:rsid w:val="00322A5C"/>
    <w:rsid w:val="00322DB7"/>
    <w:rsid w:val="00322E82"/>
    <w:rsid w:val="00322F2F"/>
    <w:rsid w:val="003230C3"/>
    <w:rsid w:val="00323128"/>
    <w:rsid w:val="00323337"/>
    <w:rsid w:val="00323538"/>
    <w:rsid w:val="00323682"/>
    <w:rsid w:val="003236CD"/>
    <w:rsid w:val="003236D3"/>
    <w:rsid w:val="003237AD"/>
    <w:rsid w:val="003238C9"/>
    <w:rsid w:val="003239CA"/>
    <w:rsid w:val="00323ADA"/>
    <w:rsid w:val="00323B57"/>
    <w:rsid w:val="00323C08"/>
    <w:rsid w:val="00323E10"/>
    <w:rsid w:val="00323EEB"/>
    <w:rsid w:val="00323FC4"/>
    <w:rsid w:val="003241BD"/>
    <w:rsid w:val="0032451F"/>
    <w:rsid w:val="003245BE"/>
    <w:rsid w:val="00324672"/>
    <w:rsid w:val="00324721"/>
    <w:rsid w:val="003247BB"/>
    <w:rsid w:val="0032496D"/>
    <w:rsid w:val="00324988"/>
    <w:rsid w:val="00324E7C"/>
    <w:rsid w:val="003250AC"/>
    <w:rsid w:val="0032522A"/>
    <w:rsid w:val="003256ED"/>
    <w:rsid w:val="0032573E"/>
    <w:rsid w:val="003259E2"/>
    <w:rsid w:val="00325A3D"/>
    <w:rsid w:val="00325B4F"/>
    <w:rsid w:val="00325E2E"/>
    <w:rsid w:val="00325EAA"/>
    <w:rsid w:val="0032635C"/>
    <w:rsid w:val="0032650B"/>
    <w:rsid w:val="003266C5"/>
    <w:rsid w:val="00326734"/>
    <w:rsid w:val="00326920"/>
    <w:rsid w:val="00326C40"/>
    <w:rsid w:val="00326CD0"/>
    <w:rsid w:val="00326E16"/>
    <w:rsid w:val="00327157"/>
    <w:rsid w:val="003274CA"/>
    <w:rsid w:val="00327834"/>
    <w:rsid w:val="00327913"/>
    <w:rsid w:val="0032796F"/>
    <w:rsid w:val="00327975"/>
    <w:rsid w:val="0032797A"/>
    <w:rsid w:val="00327CD3"/>
    <w:rsid w:val="00327D07"/>
    <w:rsid w:val="003300DB"/>
    <w:rsid w:val="0033053F"/>
    <w:rsid w:val="00330573"/>
    <w:rsid w:val="003305C4"/>
    <w:rsid w:val="00330657"/>
    <w:rsid w:val="003306CF"/>
    <w:rsid w:val="00330726"/>
    <w:rsid w:val="0033075E"/>
    <w:rsid w:val="0033088D"/>
    <w:rsid w:val="0033098F"/>
    <w:rsid w:val="003309F3"/>
    <w:rsid w:val="00330A34"/>
    <w:rsid w:val="00330A94"/>
    <w:rsid w:val="00330AAF"/>
    <w:rsid w:val="00330CC4"/>
    <w:rsid w:val="00331046"/>
    <w:rsid w:val="00331273"/>
    <w:rsid w:val="00331300"/>
    <w:rsid w:val="0033147F"/>
    <w:rsid w:val="00331518"/>
    <w:rsid w:val="00331707"/>
    <w:rsid w:val="003317A1"/>
    <w:rsid w:val="00331A01"/>
    <w:rsid w:val="00331AEA"/>
    <w:rsid w:val="00331B9E"/>
    <w:rsid w:val="00331BB5"/>
    <w:rsid w:val="00331BBB"/>
    <w:rsid w:val="00331D98"/>
    <w:rsid w:val="00331DD8"/>
    <w:rsid w:val="00331E9F"/>
    <w:rsid w:val="00331FBE"/>
    <w:rsid w:val="003320C0"/>
    <w:rsid w:val="00332167"/>
    <w:rsid w:val="00332329"/>
    <w:rsid w:val="00332905"/>
    <w:rsid w:val="00332E27"/>
    <w:rsid w:val="00332E56"/>
    <w:rsid w:val="00332F3A"/>
    <w:rsid w:val="00333279"/>
    <w:rsid w:val="003333C3"/>
    <w:rsid w:val="00333671"/>
    <w:rsid w:val="00333939"/>
    <w:rsid w:val="00333CDA"/>
    <w:rsid w:val="00333DEB"/>
    <w:rsid w:val="00333E22"/>
    <w:rsid w:val="00333FF8"/>
    <w:rsid w:val="003340EC"/>
    <w:rsid w:val="0033431B"/>
    <w:rsid w:val="00334470"/>
    <w:rsid w:val="003349E4"/>
    <w:rsid w:val="00334A66"/>
    <w:rsid w:val="00334CCB"/>
    <w:rsid w:val="00334DE9"/>
    <w:rsid w:val="00334ED7"/>
    <w:rsid w:val="00334F1F"/>
    <w:rsid w:val="00334F5E"/>
    <w:rsid w:val="00335031"/>
    <w:rsid w:val="003351E6"/>
    <w:rsid w:val="003353E3"/>
    <w:rsid w:val="00335425"/>
    <w:rsid w:val="00335795"/>
    <w:rsid w:val="0033584F"/>
    <w:rsid w:val="003358F9"/>
    <w:rsid w:val="00335972"/>
    <w:rsid w:val="00335BB6"/>
    <w:rsid w:val="00335CD1"/>
    <w:rsid w:val="00335F64"/>
    <w:rsid w:val="0033633E"/>
    <w:rsid w:val="00336694"/>
    <w:rsid w:val="0033676E"/>
    <w:rsid w:val="0033684E"/>
    <w:rsid w:val="00336898"/>
    <w:rsid w:val="003368AF"/>
    <w:rsid w:val="0033698C"/>
    <w:rsid w:val="00336D74"/>
    <w:rsid w:val="00336D98"/>
    <w:rsid w:val="00336F06"/>
    <w:rsid w:val="0033723D"/>
    <w:rsid w:val="00337449"/>
    <w:rsid w:val="003375A5"/>
    <w:rsid w:val="00337616"/>
    <w:rsid w:val="003377F3"/>
    <w:rsid w:val="003379DA"/>
    <w:rsid w:val="00337A42"/>
    <w:rsid w:val="00337EE9"/>
    <w:rsid w:val="00337F59"/>
    <w:rsid w:val="0034035B"/>
    <w:rsid w:val="00340679"/>
    <w:rsid w:val="00340703"/>
    <w:rsid w:val="0034096E"/>
    <w:rsid w:val="00340C8F"/>
    <w:rsid w:val="00340F8E"/>
    <w:rsid w:val="00341064"/>
    <w:rsid w:val="0034147F"/>
    <w:rsid w:val="00341754"/>
    <w:rsid w:val="003419E2"/>
    <w:rsid w:val="00341C85"/>
    <w:rsid w:val="00342171"/>
    <w:rsid w:val="0034221F"/>
    <w:rsid w:val="00342231"/>
    <w:rsid w:val="00342315"/>
    <w:rsid w:val="0034240D"/>
    <w:rsid w:val="00342458"/>
    <w:rsid w:val="003425E6"/>
    <w:rsid w:val="00342647"/>
    <w:rsid w:val="00342681"/>
    <w:rsid w:val="0034271A"/>
    <w:rsid w:val="0034273D"/>
    <w:rsid w:val="00342779"/>
    <w:rsid w:val="00342A67"/>
    <w:rsid w:val="00342AB0"/>
    <w:rsid w:val="00342BD4"/>
    <w:rsid w:val="00342E88"/>
    <w:rsid w:val="00343115"/>
    <w:rsid w:val="00343289"/>
    <w:rsid w:val="0034334A"/>
    <w:rsid w:val="003434AA"/>
    <w:rsid w:val="00343888"/>
    <w:rsid w:val="0034391A"/>
    <w:rsid w:val="0034393D"/>
    <w:rsid w:val="00343A6A"/>
    <w:rsid w:val="00343BBB"/>
    <w:rsid w:val="00343C4D"/>
    <w:rsid w:val="00343D35"/>
    <w:rsid w:val="00343DE1"/>
    <w:rsid w:val="00343F2F"/>
    <w:rsid w:val="003440D4"/>
    <w:rsid w:val="00344822"/>
    <w:rsid w:val="00344865"/>
    <w:rsid w:val="00344C22"/>
    <w:rsid w:val="00344CFD"/>
    <w:rsid w:val="00344D15"/>
    <w:rsid w:val="00344FE8"/>
    <w:rsid w:val="00345086"/>
    <w:rsid w:val="00345138"/>
    <w:rsid w:val="003451C0"/>
    <w:rsid w:val="003452B7"/>
    <w:rsid w:val="00345753"/>
    <w:rsid w:val="003458A6"/>
    <w:rsid w:val="0034596A"/>
    <w:rsid w:val="00345CF0"/>
    <w:rsid w:val="00345E6D"/>
    <w:rsid w:val="003463F8"/>
    <w:rsid w:val="003464FA"/>
    <w:rsid w:val="00346E2C"/>
    <w:rsid w:val="00347003"/>
    <w:rsid w:val="003470CF"/>
    <w:rsid w:val="0034722D"/>
    <w:rsid w:val="00347295"/>
    <w:rsid w:val="00347451"/>
    <w:rsid w:val="00347510"/>
    <w:rsid w:val="0034769C"/>
    <w:rsid w:val="0034797C"/>
    <w:rsid w:val="003479F3"/>
    <w:rsid w:val="00347A59"/>
    <w:rsid w:val="00347A66"/>
    <w:rsid w:val="00347BB0"/>
    <w:rsid w:val="00347C38"/>
    <w:rsid w:val="00347C92"/>
    <w:rsid w:val="00347D31"/>
    <w:rsid w:val="003500C6"/>
    <w:rsid w:val="003500F2"/>
    <w:rsid w:val="0035010D"/>
    <w:rsid w:val="0035045A"/>
    <w:rsid w:val="003506DF"/>
    <w:rsid w:val="003507B6"/>
    <w:rsid w:val="00350C8D"/>
    <w:rsid w:val="00350FB8"/>
    <w:rsid w:val="00351017"/>
    <w:rsid w:val="0035125E"/>
    <w:rsid w:val="0035150D"/>
    <w:rsid w:val="00351823"/>
    <w:rsid w:val="003518D4"/>
    <w:rsid w:val="003519B2"/>
    <w:rsid w:val="00351C16"/>
    <w:rsid w:val="00351EC9"/>
    <w:rsid w:val="00351FF3"/>
    <w:rsid w:val="0035214F"/>
    <w:rsid w:val="003521D5"/>
    <w:rsid w:val="00352260"/>
    <w:rsid w:val="0035226B"/>
    <w:rsid w:val="0035236A"/>
    <w:rsid w:val="003523D3"/>
    <w:rsid w:val="00352663"/>
    <w:rsid w:val="0035293E"/>
    <w:rsid w:val="00352ACC"/>
    <w:rsid w:val="00352B0E"/>
    <w:rsid w:val="00352B43"/>
    <w:rsid w:val="00352E3F"/>
    <w:rsid w:val="00353248"/>
    <w:rsid w:val="00353477"/>
    <w:rsid w:val="00353500"/>
    <w:rsid w:val="0035367B"/>
    <w:rsid w:val="0035386B"/>
    <w:rsid w:val="0035386F"/>
    <w:rsid w:val="003539EA"/>
    <w:rsid w:val="00353B44"/>
    <w:rsid w:val="00353CA7"/>
    <w:rsid w:val="003540D1"/>
    <w:rsid w:val="003543E0"/>
    <w:rsid w:val="0035444C"/>
    <w:rsid w:val="00354499"/>
    <w:rsid w:val="003544B3"/>
    <w:rsid w:val="00354B75"/>
    <w:rsid w:val="00354D9E"/>
    <w:rsid w:val="00354E6D"/>
    <w:rsid w:val="00354F4B"/>
    <w:rsid w:val="0035508F"/>
    <w:rsid w:val="00355178"/>
    <w:rsid w:val="003552DD"/>
    <w:rsid w:val="00355300"/>
    <w:rsid w:val="003556B6"/>
    <w:rsid w:val="00355725"/>
    <w:rsid w:val="003558B0"/>
    <w:rsid w:val="00355B55"/>
    <w:rsid w:val="00355E60"/>
    <w:rsid w:val="00355EC0"/>
    <w:rsid w:val="00355F57"/>
    <w:rsid w:val="00356204"/>
    <w:rsid w:val="003562FA"/>
    <w:rsid w:val="00356515"/>
    <w:rsid w:val="0035667F"/>
    <w:rsid w:val="00356696"/>
    <w:rsid w:val="00356776"/>
    <w:rsid w:val="0035698C"/>
    <w:rsid w:val="003569B1"/>
    <w:rsid w:val="00356A58"/>
    <w:rsid w:val="00356F24"/>
    <w:rsid w:val="003571C8"/>
    <w:rsid w:val="00357248"/>
    <w:rsid w:val="0035750C"/>
    <w:rsid w:val="00357537"/>
    <w:rsid w:val="00357896"/>
    <w:rsid w:val="0035793B"/>
    <w:rsid w:val="00357A0A"/>
    <w:rsid w:val="00357A43"/>
    <w:rsid w:val="00357CA1"/>
    <w:rsid w:val="00357D75"/>
    <w:rsid w:val="00357EF2"/>
    <w:rsid w:val="00357F78"/>
    <w:rsid w:val="003601B8"/>
    <w:rsid w:val="00360306"/>
    <w:rsid w:val="0036037A"/>
    <w:rsid w:val="003603BB"/>
    <w:rsid w:val="00360432"/>
    <w:rsid w:val="003604B0"/>
    <w:rsid w:val="0036053D"/>
    <w:rsid w:val="00360555"/>
    <w:rsid w:val="0036056E"/>
    <w:rsid w:val="003605DE"/>
    <w:rsid w:val="003606DD"/>
    <w:rsid w:val="003607F8"/>
    <w:rsid w:val="00360A06"/>
    <w:rsid w:val="00360A7D"/>
    <w:rsid w:val="00360DB1"/>
    <w:rsid w:val="00360DF2"/>
    <w:rsid w:val="0036104D"/>
    <w:rsid w:val="0036121A"/>
    <w:rsid w:val="003612D7"/>
    <w:rsid w:val="0036138B"/>
    <w:rsid w:val="003614D7"/>
    <w:rsid w:val="00361581"/>
    <w:rsid w:val="003615B6"/>
    <w:rsid w:val="00361624"/>
    <w:rsid w:val="0036190B"/>
    <w:rsid w:val="00361969"/>
    <w:rsid w:val="003619F8"/>
    <w:rsid w:val="00361A6C"/>
    <w:rsid w:val="00361E03"/>
    <w:rsid w:val="00361FD6"/>
    <w:rsid w:val="00361FDE"/>
    <w:rsid w:val="0036208C"/>
    <w:rsid w:val="0036228F"/>
    <w:rsid w:val="003623FF"/>
    <w:rsid w:val="00362494"/>
    <w:rsid w:val="00362735"/>
    <w:rsid w:val="003627AB"/>
    <w:rsid w:val="00362872"/>
    <w:rsid w:val="003628AE"/>
    <w:rsid w:val="003629A5"/>
    <w:rsid w:val="00362A6A"/>
    <w:rsid w:val="00362BA6"/>
    <w:rsid w:val="00362BAD"/>
    <w:rsid w:val="00362CCA"/>
    <w:rsid w:val="00362DC4"/>
    <w:rsid w:val="00362F36"/>
    <w:rsid w:val="003630E7"/>
    <w:rsid w:val="00363163"/>
    <w:rsid w:val="00363306"/>
    <w:rsid w:val="00363325"/>
    <w:rsid w:val="00363774"/>
    <w:rsid w:val="003637CB"/>
    <w:rsid w:val="00363AE5"/>
    <w:rsid w:val="00363B25"/>
    <w:rsid w:val="00363B87"/>
    <w:rsid w:val="00363C43"/>
    <w:rsid w:val="00363D1F"/>
    <w:rsid w:val="00363DF2"/>
    <w:rsid w:val="00363ED2"/>
    <w:rsid w:val="003641F5"/>
    <w:rsid w:val="0036424F"/>
    <w:rsid w:val="003643EC"/>
    <w:rsid w:val="0036465A"/>
    <w:rsid w:val="00364A15"/>
    <w:rsid w:val="00364C44"/>
    <w:rsid w:val="00364CD3"/>
    <w:rsid w:val="00365941"/>
    <w:rsid w:val="00365ACD"/>
    <w:rsid w:val="00365C87"/>
    <w:rsid w:val="00365CC0"/>
    <w:rsid w:val="003661F3"/>
    <w:rsid w:val="0036630A"/>
    <w:rsid w:val="00366B78"/>
    <w:rsid w:val="00366CDD"/>
    <w:rsid w:val="00366D3F"/>
    <w:rsid w:val="00366E90"/>
    <w:rsid w:val="00366FD3"/>
    <w:rsid w:val="003670ED"/>
    <w:rsid w:val="0036711C"/>
    <w:rsid w:val="00367214"/>
    <w:rsid w:val="003672AC"/>
    <w:rsid w:val="00367866"/>
    <w:rsid w:val="00367DB6"/>
    <w:rsid w:val="00367EBD"/>
    <w:rsid w:val="00370115"/>
    <w:rsid w:val="0037017A"/>
    <w:rsid w:val="0037029D"/>
    <w:rsid w:val="003705D4"/>
    <w:rsid w:val="003706F3"/>
    <w:rsid w:val="00370740"/>
    <w:rsid w:val="00370EFC"/>
    <w:rsid w:val="00371302"/>
    <w:rsid w:val="0037149B"/>
    <w:rsid w:val="00371506"/>
    <w:rsid w:val="003716B4"/>
    <w:rsid w:val="00371971"/>
    <w:rsid w:val="003719BC"/>
    <w:rsid w:val="00371BB3"/>
    <w:rsid w:val="00371C4B"/>
    <w:rsid w:val="00371CD5"/>
    <w:rsid w:val="00371D5B"/>
    <w:rsid w:val="00371DC2"/>
    <w:rsid w:val="00371E52"/>
    <w:rsid w:val="00372011"/>
    <w:rsid w:val="003720D4"/>
    <w:rsid w:val="003724AE"/>
    <w:rsid w:val="003724BB"/>
    <w:rsid w:val="00372562"/>
    <w:rsid w:val="00372815"/>
    <w:rsid w:val="00372954"/>
    <w:rsid w:val="00372A3B"/>
    <w:rsid w:val="00372CD9"/>
    <w:rsid w:val="00372E80"/>
    <w:rsid w:val="00372EDE"/>
    <w:rsid w:val="00373044"/>
    <w:rsid w:val="003731C3"/>
    <w:rsid w:val="00373266"/>
    <w:rsid w:val="003734B4"/>
    <w:rsid w:val="00373516"/>
    <w:rsid w:val="00373589"/>
    <w:rsid w:val="00373621"/>
    <w:rsid w:val="0037371D"/>
    <w:rsid w:val="0037384D"/>
    <w:rsid w:val="003738C4"/>
    <w:rsid w:val="00373D55"/>
    <w:rsid w:val="00373FE3"/>
    <w:rsid w:val="00374038"/>
    <w:rsid w:val="003744E2"/>
    <w:rsid w:val="003745E7"/>
    <w:rsid w:val="00374B50"/>
    <w:rsid w:val="00374BFE"/>
    <w:rsid w:val="003750AF"/>
    <w:rsid w:val="003751C4"/>
    <w:rsid w:val="003754E0"/>
    <w:rsid w:val="0037553D"/>
    <w:rsid w:val="0037559D"/>
    <w:rsid w:val="0037564E"/>
    <w:rsid w:val="003757CF"/>
    <w:rsid w:val="00375863"/>
    <w:rsid w:val="00375AC5"/>
    <w:rsid w:val="00375DC4"/>
    <w:rsid w:val="00375EFE"/>
    <w:rsid w:val="00375F0E"/>
    <w:rsid w:val="00375F59"/>
    <w:rsid w:val="00376010"/>
    <w:rsid w:val="0037616F"/>
    <w:rsid w:val="00376309"/>
    <w:rsid w:val="00376365"/>
    <w:rsid w:val="0037655F"/>
    <w:rsid w:val="003767D7"/>
    <w:rsid w:val="003769C7"/>
    <w:rsid w:val="00376B40"/>
    <w:rsid w:val="00376C36"/>
    <w:rsid w:val="00376D65"/>
    <w:rsid w:val="00376ED5"/>
    <w:rsid w:val="00376F1F"/>
    <w:rsid w:val="003772CB"/>
    <w:rsid w:val="0037742D"/>
    <w:rsid w:val="00377778"/>
    <w:rsid w:val="00377895"/>
    <w:rsid w:val="00377B0F"/>
    <w:rsid w:val="00377BEF"/>
    <w:rsid w:val="00377D5F"/>
    <w:rsid w:val="00377EF1"/>
    <w:rsid w:val="00380091"/>
    <w:rsid w:val="003800AB"/>
    <w:rsid w:val="003800E8"/>
    <w:rsid w:val="003801F8"/>
    <w:rsid w:val="00380376"/>
    <w:rsid w:val="00380430"/>
    <w:rsid w:val="0038055B"/>
    <w:rsid w:val="003805FE"/>
    <w:rsid w:val="0038064A"/>
    <w:rsid w:val="00380A20"/>
    <w:rsid w:val="00380B16"/>
    <w:rsid w:val="00380B96"/>
    <w:rsid w:val="00380E0C"/>
    <w:rsid w:val="00380E4F"/>
    <w:rsid w:val="00380EF9"/>
    <w:rsid w:val="00380F6C"/>
    <w:rsid w:val="00381103"/>
    <w:rsid w:val="0038174A"/>
    <w:rsid w:val="003817C3"/>
    <w:rsid w:val="0038194E"/>
    <w:rsid w:val="00381BCC"/>
    <w:rsid w:val="00381CBB"/>
    <w:rsid w:val="00381D0E"/>
    <w:rsid w:val="00382198"/>
    <w:rsid w:val="00382399"/>
    <w:rsid w:val="00382448"/>
    <w:rsid w:val="00382549"/>
    <w:rsid w:val="003825ED"/>
    <w:rsid w:val="00382605"/>
    <w:rsid w:val="00382A3B"/>
    <w:rsid w:val="00382AFA"/>
    <w:rsid w:val="00382B91"/>
    <w:rsid w:val="00382D2E"/>
    <w:rsid w:val="00382EDE"/>
    <w:rsid w:val="00382EF8"/>
    <w:rsid w:val="00383091"/>
    <w:rsid w:val="0038313F"/>
    <w:rsid w:val="00383171"/>
    <w:rsid w:val="003831F4"/>
    <w:rsid w:val="0038388C"/>
    <w:rsid w:val="00383956"/>
    <w:rsid w:val="0038397B"/>
    <w:rsid w:val="00383A2F"/>
    <w:rsid w:val="00383A4C"/>
    <w:rsid w:val="00383C77"/>
    <w:rsid w:val="00383EEF"/>
    <w:rsid w:val="0038400E"/>
    <w:rsid w:val="003848EF"/>
    <w:rsid w:val="00384A90"/>
    <w:rsid w:val="00384B68"/>
    <w:rsid w:val="00384B83"/>
    <w:rsid w:val="00384B93"/>
    <w:rsid w:val="00384D6A"/>
    <w:rsid w:val="00384F4F"/>
    <w:rsid w:val="0038537D"/>
    <w:rsid w:val="003855C2"/>
    <w:rsid w:val="0038571A"/>
    <w:rsid w:val="00385B65"/>
    <w:rsid w:val="00385C2B"/>
    <w:rsid w:val="00385D3B"/>
    <w:rsid w:val="00385E85"/>
    <w:rsid w:val="00385FD4"/>
    <w:rsid w:val="00386171"/>
    <w:rsid w:val="003861C8"/>
    <w:rsid w:val="00386448"/>
    <w:rsid w:val="00386459"/>
    <w:rsid w:val="003866C2"/>
    <w:rsid w:val="003866DB"/>
    <w:rsid w:val="0038687D"/>
    <w:rsid w:val="0038694D"/>
    <w:rsid w:val="00386978"/>
    <w:rsid w:val="00386A58"/>
    <w:rsid w:val="00386A5D"/>
    <w:rsid w:val="00386B7E"/>
    <w:rsid w:val="00386B8C"/>
    <w:rsid w:val="00386CD0"/>
    <w:rsid w:val="00386DE2"/>
    <w:rsid w:val="0038733E"/>
    <w:rsid w:val="00387351"/>
    <w:rsid w:val="003874B7"/>
    <w:rsid w:val="0038752F"/>
    <w:rsid w:val="0038777C"/>
    <w:rsid w:val="003877D9"/>
    <w:rsid w:val="00387B4A"/>
    <w:rsid w:val="00387B67"/>
    <w:rsid w:val="00387C6F"/>
    <w:rsid w:val="00387C98"/>
    <w:rsid w:val="00387E87"/>
    <w:rsid w:val="00387EB7"/>
    <w:rsid w:val="00390441"/>
    <w:rsid w:val="0039049B"/>
    <w:rsid w:val="003905D0"/>
    <w:rsid w:val="003905E4"/>
    <w:rsid w:val="0039083F"/>
    <w:rsid w:val="003908C0"/>
    <w:rsid w:val="003909AA"/>
    <w:rsid w:val="00390A19"/>
    <w:rsid w:val="00390B42"/>
    <w:rsid w:val="00390C70"/>
    <w:rsid w:val="00390C94"/>
    <w:rsid w:val="0039100C"/>
    <w:rsid w:val="0039102C"/>
    <w:rsid w:val="00391075"/>
    <w:rsid w:val="00391288"/>
    <w:rsid w:val="00391305"/>
    <w:rsid w:val="003914C5"/>
    <w:rsid w:val="0039190F"/>
    <w:rsid w:val="00391921"/>
    <w:rsid w:val="00391929"/>
    <w:rsid w:val="003919B3"/>
    <w:rsid w:val="00391A1D"/>
    <w:rsid w:val="00391A3D"/>
    <w:rsid w:val="00391AF6"/>
    <w:rsid w:val="00391C53"/>
    <w:rsid w:val="00391C79"/>
    <w:rsid w:val="00391CDA"/>
    <w:rsid w:val="00391E5F"/>
    <w:rsid w:val="00391F16"/>
    <w:rsid w:val="00392390"/>
    <w:rsid w:val="00392517"/>
    <w:rsid w:val="00392966"/>
    <w:rsid w:val="00392AC7"/>
    <w:rsid w:val="00392C29"/>
    <w:rsid w:val="00392D42"/>
    <w:rsid w:val="00392E6B"/>
    <w:rsid w:val="00392F41"/>
    <w:rsid w:val="00393247"/>
    <w:rsid w:val="003934C1"/>
    <w:rsid w:val="00393681"/>
    <w:rsid w:val="003936C8"/>
    <w:rsid w:val="0039379A"/>
    <w:rsid w:val="00393981"/>
    <w:rsid w:val="00393A34"/>
    <w:rsid w:val="00393BA1"/>
    <w:rsid w:val="00393C80"/>
    <w:rsid w:val="00393CEA"/>
    <w:rsid w:val="00393D34"/>
    <w:rsid w:val="00393FBE"/>
    <w:rsid w:val="003940DD"/>
    <w:rsid w:val="0039418D"/>
    <w:rsid w:val="003949FE"/>
    <w:rsid w:val="00394A6C"/>
    <w:rsid w:val="00394B33"/>
    <w:rsid w:val="00394DFA"/>
    <w:rsid w:val="0039504E"/>
    <w:rsid w:val="003950B7"/>
    <w:rsid w:val="00395213"/>
    <w:rsid w:val="00395555"/>
    <w:rsid w:val="0039566F"/>
    <w:rsid w:val="00395714"/>
    <w:rsid w:val="003958BA"/>
    <w:rsid w:val="00395935"/>
    <w:rsid w:val="00395BE9"/>
    <w:rsid w:val="00395E3F"/>
    <w:rsid w:val="00395FC7"/>
    <w:rsid w:val="00396130"/>
    <w:rsid w:val="00396250"/>
    <w:rsid w:val="0039660A"/>
    <w:rsid w:val="0039676B"/>
    <w:rsid w:val="00396934"/>
    <w:rsid w:val="00396987"/>
    <w:rsid w:val="0039698E"/>
    <w:rsid w:val="00396A5D"/>
    <w:rsid w:val="00396A64"/>
    <w:rsid w:val="00396BFC"/>
    <w:rsid w:val="00396C4C"/>
    <w:rsid w:val="00396DD2"/>
    <w:rsid w:val="00396E2B"/>
    <w:rsid w:val="00397050"/>
    <w:rsid w:val="0039709B"/>
    <w:rsid w:val="003974B3"/>
    <w:rsid w:val="00397855"/>
    <w:rsid w:val="003979E7"/>
    <w:rsid w:val="00397A03"/>
    <w:rsid w:val="00397A61"/>
    <w:rsid w:val="00397C34"/>
    <w:rsid w:val="00397CAE"/>
    <w:rsid w:val="00397CB8"/>
    <w:rsid w:val="003A0059"/>
    <w:rsid w:val="003A0190"/>
    <w:rsid w:val="003A01C9"/>
    <w:rsid w:val="003A01D4"/>
    <w:rsid w:val="003A0595"/>
    <w:rsid w:val="003A064A"/>
    <w:rsid w:val="003A085E"/>
    <w:rsid w:val="003A087A"/>
    <w:rsid w:val="003A0A4C"/>
    <w:rsid w:val="003A0A68"/>
    <w:rsid w:val="003A0E5C"/>
    <w:rsid w:val="003A0F5D"/>
    <w:rsid w:val="003A0FE3"/>
    <w:rsid w:val="003A1177"/>
    <w:rsid w:val="003A1191"/>
    <w:rsid w:val="003A1230"/>
    <w:rsid w:val="003A12CE"/>
    <w:rsid w:val="003A140E"/>
    <w:rsid w:val="003A14E1"/>
    <w:rsid w:val="003A1569"/>
    <w:rsid w:val="003A156E"/>
    <w:rsid w:val="003A1702"/>
    <w:rsid w:val="003A1813"/>
    <w:rsid w:val="003A1A29"/>
    <w:rsid w:val="003A1B92"/>
    <w:rsid w:val="003A1C39"/>
    <w:rsid w:val="003A1D62"/>
    <w:rsid w:val="003A1FA3"/>
    <w:rsid w:val="003A2019"/>
    <w:rsid w:val="003A208B"/>
    <w:rsid w:val="003A23F6"/>
    <w:rsid w:val="003A2632"/>
    <w:rsid w:val="003A26B2"/>
    <w:rsid w:val="003A28E1"/>
    <w:rsid w:val="003A2A24"/>
    <w:rsid w:val="003A2A86"/>
    <w:rsid w:val="003A2D3F"/>
    <w:rsid w:val="003A2D88"/>
    <w:rsid w:val="003A3210"/>
    <w:rsid w:val="003A32CC"/>
    <w:rsid w:val="003A3923"/>
    <w:rsid w:val="003A3996"/>
    <w:rsid w:val="003A39AD"/>
    <w:rsid w:val="003A39E3"/>
    <w:rsid w:val="003A3B2B"/>
    <w:rsid w:val="003A3C0F"/>
    <w:rsid w:val="003A3CDA"/>
    <w:rsid w:val="003A3D6C"/>
    <w:rsid w:val="003A3E57"/>
    <w:rsid w:val="003A3F82"/>
    <w:rsid w:val="003A4413"/>
    <w:rsid w:val="003A45F9"/>
    <w:rsid w:val="003A4760"/>
    <w:rsid w:val="003A47C3"/>
    <w:rsid w:val="003A4855"/>
    <w:rsid w:val="003A48B1"/>
    <w:rsid w:val="003A4B46"/>
    <w:rsid w:val="003A4B85"/>
    <w:rsid w:val="003A4BAF"/>
    <w:rsid w:val="003A4C9E"/>
    <w:rsid w:val="003A4E72"/>
    <w:rsid w:val="003A4EBC"/>
    <w:rsid w:val="003A4F85"/>
    <w:rsid w:val="003A50C0"/>
    <w:rsid w:val="003A50C4"/>
    <w:rsid w:val="003A526A"/>
    <w:rsid w:val="003A5428"/>
    <w:rsid w:val="003A5611"/>
    <w:rsid w:val="003A565B"/>
    <w:rsid w:val="003A566A"/>
    <w:rsid w:val="003A58A6"/>
    <w:rsid w:val="003A5A19"/>
    <w:rsid w:val="003A5AE8"/>
    <w:rsid w:val="003A5B73"/>
    <w:rsid w:val="003A5D3B"/>
    <w:rsid w:val="003A5DB2"/>
    <w:rsid w:val="003A608D"/>
    <w:rsid w:val="003A61CC"/>
    <w:rsid w:val="003A6729"/>
    <w:rsid w:val="003A67CC"/>
    <w:rsid w:val="003A6884"/>
    <w:rsid w:val="003A6944"/>
    <w:rsid w:val="003A6973"/>
    <w:rsid w:val="003A6A5B"/>
    <w:rsid w:val="003A6A74"/>
    <w:rsid w:val="003A6C54"/>
    <w:rsid w:val="003A71F2"/>
    <w:rsid w:val="003A7601"/>
    <w:rsid w:val="003A775A"/>
    <w:rsid w:val="003A7765"/>
    <w:rsid w:val="003A7875"/>
    <w:rsid w:val="003A78AC"/>
    <w:rsid w:val="003A7A4F"/>
    <w:rsid w:val="003A7BDA"/>
    <w:rsid w:val="003A7C6A"/>
    <w:rsid w:val="003A7CD1"/>
    <w:rsid w:val="003A7E73"/>
    <w:rsid w:val="003A7FC0"/>
    <w:rsid w:val="003B00D5"/>
    <w:rsid w:val="003B0173"/>
    <w:rsid w:val="003B0431"/>
    <w:rsid w:val="003B043C"/>
    <w:rsid w:val="003B0B64"/>
    <w:rsid w:val="003B0B9F"/>
    <w:rsid w:val="003B0C23"/>
    <w:rsid w:val="003B0CE7"/>
    <w:rsid w:val="003B0EA7"/>
    <w:rsid w:val="003B113D"/>
    <w:rsid w:val="003B14E2"/>
    <w:rsid w:val="003B161C"/>
    <w:rsid w:val="003B1701"/>
    <w:rsid w:val="003B1832"/>
    <w:rsid w:val="003B1AB9"/>
    <w:rsid w:val="003B1B8A"/>
    <w:rsid w:val="003B2225"/>
    <w:rsid w:val="003B242D"/>
    <w:rsid w:val="003B27DE"/>
    <w:rsid w:val="003B290F"/>
    <w:rsid w:val="003B2953"/>
    <w:rsid w:val="003B2AD5"/>
    <w:rsid w:val="003B2D07"/>
    <w:rsid w:val="003B2D72"/>
    <w:rsid w:val="003B31D5"/>
    <w:rsid w:val="003B334E"/>
    <w:rsid w:val="003B351F"/>
    <w:rsid w:val="003B3892"/>
    <w:rsid w:val="003B3AE1"/>
    <w:rsid w:val="003B3B75"/>
    <w:rsid w:val="003B3BCC"/>
    <w:rsid w:val="003B3C75"/>
    <w:rsid w:val="003B3EDA"/>
    <w:rsid w:val="003B4538"/>
    <w:rsid w:val="003B461A"/>
    <w:rsid w:val="003B48AE"/>
    <w:rsid w:val="003B4A3A"/>
    <w:rsid w:val="003B4FCE"/>
    <w:rsid w:val="003B502E"/>
    <w:rsid w:val="003B5178"/>
    <w:rsid w:val="003B526E"/>
    <w:rsid w:val="003B529E"/>
    <w:rsid w:val="003B567A"/>
    <w:rsid w:val="003B597E"/>
    <w:rsid w:val="003B5A06"/>
    <w:rsid w:val="003B5CDC"/>
    <w:rsid w:val="003B5EA7"/>
    <w:rsid w:val="003B5EC2"/>
    <w:rsid w:val="003B62A0"/>
    <w:rsid w:val="003B63AB"/>
    <w:rsid w:val="003B6523"/>
    <w:rsid w:val="003B6542"/>
    <w:rsid w:val="003B65EA"/>
    <w:rsid w:val="003B6839"/>
    <w:rsid w:val="003B694A"/>
    <w:rsid w:val="003B69D4"/>
    <w:rsid w:val="003B69FE"/>
    <w:rsid w:val="003B6A2B"/>
    <w:rsid w:val="003B6AE1"/>
    <w:rsid w:val="003B6B92"/>
    <w:rsid w:val="003B6DA4"/>
    <w:rsid w:val="003B6DC9"/>
    <w:rsid w:val="003B73CE"/>
    <w:rsid w:val="003B7512"/>
    <w:rsid w:val="003B756C"/>
    <w:rsid w:val="003B76F5"/>
    <w:rsid w:val="003B7835"/>
    <w:rsid w:val="003B7849"/>
    <w:rsid w:val="003B7885"/>
    <w:rsid w:val="003B78F8"/>
    <w:rsid w:val="003B79EF"/>
    <w:rsid w:val="003B7B80"/>
    <w:rsid w:val="003B7D4F"/>
    <w:rsid w:val="003B7F1F"/>
    <w:rsid w:val="003B7F2F"/>
    <w:rsid w:val="003C013F"/>
    <w:rsid w:val="003C0309"/>
    <w:rsid w:val="003C054E"/>
    <w:rsid w:val="003C078D"/>
    <w:rsid w:val="003C07E2"/>
    <w:rsid w:val="003C0AC5"/>
    <w:rsid w:val="003C0FF6"/>
    <w:rsid w:val="003C1053"/>
    <w:rsid w:val="003C1120"/>
    <w:rsid w:val="003C1172"/>
    <w:rsid w:val="003C1220"/>
    <w:rsid w:val="003C167D"/>
    <w:rsid w:val="003C1817"/>
    <w:rsid w:val="003C18B7"/>
    <w:rsid w:val="003C18D7"/>
    <w:rsid w:val="003C1A1A"/>
    <w:rsid w:val="003C1A2E"/>
    <w:rsid w:val="003C1F15"/>
    <w:rsid w:val="003C224D"/>
    <w:rsid w:val="003C258A"/>
    <w:rsid w:val="003C25DE"/>
    <w:rsid w:val="003C2684"/>
    <w:rsid w:val="003C2733"/>
    <w:rsid w:val="003C2CC7"/>
    <w:rsid w:val="003C2E7A"/>
    <w:rsid w:val="003C2F60"/>
    <w:rsid w:val="003C316A"/>
    <w:rsid w:val="003C3188"/>
    <w:rsid w:val="003C334A"/>
    <w:rsid w:val="003C387E"/>
    <w:rsid w:val="003C3A65"/>
    <w:rsid w:val="003C3A80"/>
    <w:rsid w:val="003C3A85"/>
    <w:rsid w:val="003C3BA0"/>
    <w:rsid w:val="003C3E4E"/>
    <w:rsid w:val="003C40C2"/>
    <w:rsid w:val="003C45AD"/>
    <w:rsid w:val="003C4B75"/>
    <w:rsid w:val="003C4DEA"/>
    <w:rsid w:val="003C4EC6"/>
    <w:rsid w:val="003C4FAE"/>
    <w:rsid w:val="003C52EE"/>
    <w:rsid w:val="003C583A"/>
    <w:rsid w:val="003C5A17"/>
    <w:rsid w:val="003C5A82"/>
    <w:rsid w:val="003C5EF1"/>
    <w:rsid w:val="003C5F0F"/>
    <w:rsid w:val="003C5F8C"/>
    <w:rsid w:val="003C631D"/>
    <w:rsid w:val="003C642A"/>
    <w:rsid w:val="003C64A8"/>
    <w:rsid w:val="003C6512"/>
    <w:rsid w:val="003C67ED"/>
    <w:rsid w:val="003C6961"/>
    <w:rsid w:val="003C6C45"/>
    <w:rsid w:val="003C716D"/>
    <w:rsid w:val="003C72B3"/>
    <w:rsid w:val="003C7338"/>
    <w:rsid w:val="003C7344"/>
    <w:rsid w:val="003C75AF"/>
    <w:rsid w:val="003C7734"/>
    <w:rsid w:val="003C79A1"/>
    <w:rsid w:val="003C7F68"/>
    <w:rsid w:val="003D013E"/>
    <w:rsid w:val="003D019B"/>
    <w:rsid w:val="003D02F8"/>
    <w:rsid w:val="003D03E3"/>
    <w:rsid w:val="003D0430"/>
    <w:rsid w:val="003D0495"/>
    <w:rsid w:val="003D058E"/>
    <w:rsid w:val="003D0788"/>
    <w:rsid w:val="003D078A"/>
    <w:rsid w:val="003D0902"/>
    <w:rsid w:val="003D09AD"/>
    <w:rsid w:val="003D0CBE"/>
    <w:rsid w:val="003D0E65"/>
    <w:rsid w:val="003D11CF"/>
    <w:rsid w:val="003D1208"/>
    <w:rsid w:val="003D1239"/>
    <w:rsid w:val="003D1555"/>
    <w:rsid w:val="003D182A"/>
    <w:rsid w:val="003D1845"/>
    <w:rsid w:val="003D185C"/>
    <w:rsid w:val="003D1D3E"/>
    <w:rsid w:val="003D1D9F"/>
    <w:rsid w:val="003D1F55"/>
    <w:rsid w:val="003D1F6B"/>
    <w:rsid w:val="003D21A3"/>
    <w:rsid w:val="003D22D7"/>
    <w:rsid w:val="003D290D"/>
    <w:rsid w:val="003D293A"/>
    <w:rsid w:val="003D2A98"/>
    <w:rsid w:val="003D2C1E"/>
    <w:rsid w:val="003D2D28"/>
    <w:rsid w:val="003D2EB3"/>
    <w:rsid w:val="003D2FBB"/>
    <w:rsid w:val="003D31BB"/>
    <w:rsid w:val="003D327F"/>
    <w:rsid w:val="003D3449"/>
    <w:rsid w:val="003D34B4"/>
    <w:rsid w:val="003D3691"/>
    <w:rsid w:val="003D36CE"/>
    <w:rsid w:val="003D3728"/>
    <w:rsid w:val="003D377B"/>
    <w:rsid w:val="003D3C79"/>
    <w:rsid w:val="003D3DC8"/>
    <w:rsid w:val="003D3E7A"/>
    <w:rsid w:val="003D401C"/>
    <w:rsid w:val="003D4112"/>
    <w:rsid w:val="003D413E"/>
    <w:rsid w:val="003D42C3"/>
    <w:rsid w:val="003D4379"/>
    <w:rsid w:val="003D462B"/>
    <w:rsid w:val="003D477A"/>
    <w:rsid w:val="003D4896"/>
    <w:rsid w:val="003D4999"/>
    <w:rsid w:val="003D4B14"/>
    <w:rsid w:val="003D514F"/>
    <w:rsid w:val="003D53F4"/>
    <w:rsid w:val="003D54D2"/>
    <w:rsid w:val="003D5511"/>
    <w:rsid w:val="003D574B"/>
    <w:rsid w:val="003D5B1B"/>
    <w:rsid w:val="003D5BAA"/>
    <w:rsid w:val="003D5C0F"/>
    <w:rsid w:val="003D5DC0"/>
    <w:rsid w:val="003D60D4"/>
    <w:rsid w:val="003D611C"/>
    <w:rsid w:val="003D619C"/>
    <w:rsid w:val="003D6251"/>
    <w:rsid w:val="003D6412"/>
    <w:rsid w:val="003D64BB"/>
    <w:rsid w:val="003D653A"/>
    <w:rsid w:val="003D69A3"/>
    <w:rsid w:val="003D6B79"/>
    <w:rsid w:val="003D6B89"/>
    <w:rsid w:val="003D6C5E"/>
    <w:rsid w:val="003D6D24"/>
    <w:rsid w:val="003D6EE1"/>
    <w:rsid w:val="003D7063"/>
    <w:rsid w:val="003D724E"/>
    <w:rsid w:val="003D75BB"/>
    <w:rsid w:val="003D777C"/>
    <w:rsid w:val="003D79A3"/>
    <w:rsid w:val="003D7BCC"/>
    <w:rsid w:val="003D7BDF"/>
    <w:rsid w:val="003D7C44"/>
    <w:rsid w:val="003D7C4D"/>
    <w:rsid w:val="003E01EC"/>
    <w:rsid w:val="003E0475"/>
    <w:rsid w:val="003E0739"/>
    <w:rsid w:val="003E075F"/>
    <w:rsid w:val="003E09FE"/>
    <w:rsid w:val="003E0A11"/>
    <w:rsid w:val="003E0B02"/>
    <w:rsid w:val="003E0DB5"/>
    <w:rsid w:val="003E0DC3"/>
    <w:rsid w:val="003E0F43"/>
    <w:rsid w:val="003E0FD8"/>
    <w:rsid w:val="003E1002"/>
    <w:rsid w:val="003E1179"/>
    <w:rsid w:val="003E117F"/>
    <w:rsid w:val="003E11B6"/>
    <w:rsid w:val="003E12A1"/>
    <w:rsid w:val="003E1376"/>
    <w:rsid w:val="003E151D"/>
    <w:rsid w:val="003E1725"/>
    <w:rsid w:val="003E1A68"/>
    <w:rsid w:val="003E1BCA"/>
    <w:rsid w:val="003E2052"/>
    <w:rsid w:val="003E214D"/>
    <w:rsid w:val="003E21B6"/>
    <w:rsid w:val="003E2332"/>
    <w:rsid w:val="003E2355"/>
    <w:rsid w:val="003E2450"/>
    <w:rsid w:val="003E2496"/>
    <w:rsid w:val="003E2559"/>
    <w:rsid w:val="003E2599"/>
    <w:rsid w:val="003E25E1"/>
    <w:rsid w:val="003E27B1"/>
    <w:rsid w:val="003E2957"/>
    <w:rsid w:val="003E2BC8"/>
    <w:rsid w:val="003E2C79"/>
    <w:rsid w:val="003E2D85"/>
    <w:rsid w:val="003E2F2F"/>
    <w:rsid w:val="003E2F75"/>
    <w:rsid w:val="003E300B"/>
    <w:rsid w:val="003E32DB"/>
    <w:rsid w:val="003E350A"/>
    <w:rsid w:val="003E359A"/>
    <w:rsid w:val="003E3B3F"/>
    <w:rsid w:val="003E3BD3"/>
    <w:rsid w:val="003E3BF6"/>
    <w:rsid w:val="003E3FAD"/>
    <w:rsid w:val="003E409D"/>
    <w:rsid w:val="003E41E4"/>
    <w:rsid w:val="003E4314"/>
    <w:rsid w:val="003E4410"/>
    <w:rsid w:val="003E44C4"/>
    <w:rsid w:val="003E468E"/>
    <w:rsid w:val="003E4ADB"/>
    <w:rsid w:val="003E4B37"/>
    <w:rsid w:val="003E4D2C"/>
    <w:rsid w:val="003E5276"/>
    <w:rsid w:val="003E543A"/>
    <w:rsid w:val="003E57DC"/>
    <w:rsid w:val="003E580A"/>
    <w:rsid w:val="003E5898"/>
    <w:rsid w:val="003E5939"/>
    <w:rsid w:val="003E5980"/>
    <w:rsid w:val="003E59C4"/>
    <w:rsid w:val="003E5C98"/>
    <w:rsid w:val="003E5F44"/>
    <w:rsid w:val="003E5F64"/>
    <w:rsid w:val="003E6145"/>
    <w:rsid w:val="003E695B"/>
    <w:rsid w:val="003E6B36"/>
    <w:rsid w:val="003E6B77"/>
    <w:rsid w:val="003E6B8B"/>
    <w:rsid w:val="003E6C4D"/>
    <w:rsid w:val="003E6C72"/>
    <w:rsid w:val="003E6D0A"/>
    <w:rsid w:val="003E6D2D"/>
    <w:rsid w:val="003E6EFD"/>
    <w:rsid w:val="003E717F"/>
    <w:rsid w:val="003E7227"/>
    <w:rsid w:val="003E74C3"/>
    <w:rsid w:val="003E77E4"/>
    <w:rsid w:val="003E7887"/>
    <w:rsid w:val="003E78C2"/>
    <w:rsid w:val="003E793D"/>
    <w:rsid w:val="003E7986"/>
    <w:rsid w:val="003E79E5"/>
    <w:rsid w:val="003E7C45"/>
    <w:rsid w:val="003E7D37"/>
    <w:rsid w:val="003F017E"/>
    <w:rsid w:val="003F04F7"/>
    <w:rsid w:val="003F0889"/>
    <w:rsid w:val="003F08F0"/>
    <w:rsid w:val="003F0EF7"/>
    <w:rsid w:val="003F114A"/>
    <w:rsid w:val="003F121B"/>
    <w:rsid w:val="003F1220"/>
    <w:rsid w:val="003F1270"/>
    <w:rsid w:val="003F130F"/>
    <w:rsid w:val="003F13F8"/>
    <w:rsid w:val="003F17BC"/>
    <w:rsid w:val="003F1A1E"/>
    <w:rsid w:val="003F1ADA"/>
    <w:rsid w:val="003F2111"/>
    <w:rsid w:val="003F22A5"/>
    <w:rsid w:val="003F2663"/>
    <w:rsid w:val="003F26A5"/>
    <w:rsid w:val="003F27F2"/>
    <w:rsid w:val="003F280D"/>
    <w:rsid w:val="003F2991"/>
    <w:rsid w:val="003F2A6B"/>
    <w:rsid w:val="003F2BB0"/>
    <w:rsid w:val="003F2BB1"/>
    <w:rsid w:val="003F2ED9"/>
    <w:rsid w:val="003F3183"/>
    <w:rsid w:val="003F3522"/>
    <w:rsid w:val="003F38C7"/>
    <w:rsid w:val="003F395F"/>
    <w:rsid w:val="003F3970"/>
    <w:rsid w:val="003F3D9E"/>
    <w:rsid w:val="003F3E59"/>
    <w:rsid w:val="003F4225"/>
    <w:rsid w:val="003F42C9"/>
    <w:rsid w:val="003F43D8"/>
    <w:rsid w:val="003F4412"/>
    <w:rsid w:val="003F44B4"/>
    <w:rsid w:val="003F454E"/>
    <w:rsid w:val="003F45B9"/>
    <w:rsid w:val="003F4861"/>
    <w:rsid w:val="003F4A16"/>
    <w:rsid w:val="003F4A8A"/>
    <w:rsid w:val="003F4B32"/>
    <w:rsid w:val="003F4C81"/>
    <w:rsid w:val="003F4FEC"/>
    <w:rsid w:val="003F5102"/>
    <w:rsid w:val="003F5542"/>
    <w:rsid w:val="003F5881"/>
    <w:rsid w:val="003F5A92"/>
    <w:rsid w:val="003F5B9A"/>
    <w:rsid w:val="003F5C55"/>
    <w:rsid w:val="003F5E1C"/>
    <w:rsid w:val="003F5ED2"/>
    <w:rsid w:val="003F6095"/>
    <w:rsid w:val="003F6101"/>
    <w:rsid w:val="003F61AD"/>
    <w:rsid w:val="003F62A2"/>
    <w:rsid w:val="003F630C"/>
    <w:rsid w:val="003F63B9"/>
    <w:rsid w:val="003F6447"/>
    <w:rsid w:val="003F6661"/>
    <w:rsid w:val="003F6705"/>
    <w:rsid w:val="003F6890"/>
    <w:rsid w:val="003F6CEA"/>
    <w:rsid w:val="003F6F70"/>
    <w:rsid w:val="003F7144"/>
    <w:rsid w:val="003F71A8"/>
    <w:rsid w:val="003F7445"/>
    <w:rsid w:val="003F7547"/>
    <w:rsid w:val="003F7607"/>
    <w:rsid w:val="003F76B6"/>
    <w:rsid w:val="003F773E"/>
    <w:rsid w:val="003F7742"/>
    <w:rsid w:val="003F77DF"/>
    <w:rsid w:val="003F78E9"/>
    <w:rsid w:val="003F7A64"/>
    <w:rsid w:val="003F7B1F"/>
    <w:rsid w:val="003F7B94"/>
    <w:rsid w:val="003F7C03"/>
    <w:rsid w:val="003F7CDF"/>
    <w:rsid w:val="003F7D43"/>
    <w:rsid w:val="003F7E70"/>
    <w:rsid w:val="003F7E71"/>
    <w:rsid w:val="003F7E8E"/>
    <w:rsid w:val="003F7FAC"/>
    <w:rsid w:val="0040001E"/>
    <w:rsid w:val="004002A0"/>
    <w:rsid w:val="004002FC"/>
    <w:rsid w:val="00400351"/>
    <w:rsid w:val="004003F0"/>
    <w:rsid w:val="00400464"/>
    <w:rsid w:val="004004BB"/>
    <w:rsid w:val="00400610"/>
    <w:rsid w:val="0040064E"/>
    <w:rsid w:val="004007B8"/>
    <w:rsid w:val="00400D54"/>
    <w:rsid w:val="00400DF4"/>
    <w:rsid w:val="00400FE2"/>
    <w:rsid w:val="00401346"/>
    <w:rsid w:val="004013DF"/>
    <w:rsid w:val="004015C1"/>
    <w:rsid w:val="004016CB"/>
    <w:rsid w:val="00401970"/>
    <w:rsid w:val="00401981"/>
    <w:rsid w:val="00401AF0"/>
    <w:rsid w:val="00401B0E"/>
    <w:rsid w:val="00401F17"/>
    <w:rsid w:val="0040207E"/>
    <w:rsid w:val="00402100"/>
    <w:rsid w:val="00402264"/>
    <w:rsid w:val="0040256F"/>
    <w:rsid w:val="004027DB"/>
    <w:rsid w:val="0040286A"/>
    <w:rsid w:val="00402AB0"/>
    <w:rsid w:val="00402B23"/>
    <w:rsid w:val="00402B6E"/>
    <w:rsid w:val="00402C14"/>
    <w:rsid w:val="00402C66"/>
    <w:rsid w:val="00402D70"/>
    <w:rsid w:val="00403058"/>
    <w:rsid w:val="0040308C"/>
    <w:rsid w:val="00403247"/>
    <w:rsid w:val="004036E7"/>
    <w:rsid w:val="0040384B"/>
    <w:rsid w:val="00403AFD"/>
    <w:rsid w:val="00403C5C"/>
    <w:rsid w:val="004040B3"/>
    <w:rsid w:val="004040B5"/>
    <w:rsid w:val="0040419D"/>
    <w:rsid w:val="00404672"/>
    <w:rsid w:val="00404A04"/>
    <w:rsid w:val="00404B61"/>
    <w:rsid w:val="00404BD6"/>
    <w:rsid w:val="00404C65"/>
    <w:rsid w:val="00404D97"/>
    <w:rsid w:val="00404DEE"/>
    <w:rsid w:val="00404F9F"/>
    <w:rsid w:val="00405008"/>
    <w:rsid w:val="00405024"/>
    <w:rsid w:val="00405096"/>
    <w:rsid w:val="00405120"/>
    <w:rsid w:val="00405338"/>
    <w:rsid w:val="00405528"/>
    <w:rsid w:val="0040556A"/>
    <w:rsid w:val="004055EE"/>
    <w:rsid w:val="004059BE"/>
    <w:rsid w:val="004059EF"/>
    <w:rsid w:val="00405A0C"/>
    <w:rsid w:val="00405B0E"/>
    <w:rsid w:val="00405C7C"/>
    <w:rsid w:val="00405E0D"/>
    <w:rsid w:val="00405E57"/>
    <w:rsid w:val="00405E8B"/>
    <w:rsid w:val="00405EEA"/>
    <w:rsid w:val="00405F61"/>
    <w:rsid w:val="00405FA6"/>
    <w:rsid w:val="00406098"/>
    <w:rsid w:val="0040618C"/>
    <w:rsid w:val="00406297"/>
    <w:rsid w:val="0040654F"/>
    <w:rsid w:val="00406692"/>
    <w:rsid w:val="004067CC"/>
    <w:rsid w:val="004067E3"/>
    <w:rsid w:val="004069AA"/>
    <w:rsid w:val="00406B50"/>
    <w:rsid w:val="00406BB4"/>
    <w:rsid w:val="00406DA5"/>
    <w:rsid w:val="00406DFD"/>
    <w:rsid w:val="00406F13"/>
    <w:rsid w:val="0040753C"/>
    <w:rsid w:val="004075C9"/>
    <w:rsid w:val="0040771B"/>
    <w:rsid w:val="004077E2"/>
    <w:rsid w:val="004077E9"/>
    <w:rsid w:val="00407B0D"/>
    <w:rsid w:val="00407C0B"/>
    <w:rsid w:val="00407E53"/>
    <w:rsid w:val="004102C3"/>
    <w:rsid w:val="004106E8"/>
    <w:rsid w:val="004109D6"/>
    <w:rsid w:val="00410B6C"/>
    <w:rsid w:val="00410C72"/>
    <w:rsid w:val="00410C82"/>
    <w:rsid w:val="00410C8B"/>
    <w:rsid w:val="00410CFA"/>
    <w:rsid w:val="00410D20"/>
    <w:rsid w:val="00410D94"/>
    <w:rsid w:val="0041101B"/>
    <w:rsid w:val="004116B9"/>
    <w:rsid w:val="004117EA"/>
    <w:rsid w:val="004118EA"/>
    <w:rsid w:val="00411B4E"/>
    <w:rsid w:val="00411D37"/>
    <w:rsid w:val="0041203D"/>
    <w:rsid w:val="00412126"/>
    <w:rsid w:val="004122BD"/>
    <w:rsid w:val="00412409"/>
    <w:rsid w:val="00412612"/>
    <w:rsid w:val="00412628"/>
    <w:rsid w:val="0041269A"/>
    <w:rsid w:val="00412992"/>
    <w:rsid w:val="00412A73"/>
    <w:rsid w:val="00412C9C"/>
    <w:rsid w:val="00412D38"/>
    <w:rsid w:val="00412F41"/>
    <w:rsid w:val="00413237"/>
    <w:rsid w:val="004132C7"/>
    <w:rsid w:val="0041332B"/>
    <w:rsid w:val="00413419"/>
    <w:rsid w:val="004135C7"/>
    <w:rsid w:val="004137DB"/>
    <w:rsid w:val="00413850"/>
    <w:rsid w:val="004139B1"/>
    <w:rsid w:val="00413D05"/>
    <w:rsid w:val="00413D50"/>
    <w:rsid w:val="00413FD4"/>
    <w:rsid w:val="00414390"/>
    <w:rsid w:val="00414666"/>
    <w:rsid w:val="00414926"/>
    <w:rsid w:val="004149E2"/>
    <w:rsid w:val="00414AFA"/>
    <w:rsid w:val="00414B78"/>
    <w:rsid w:val="00414D0F"/>
    <w:rsid w:val="00414D59"/>
    <w:rsid w:val="00414D77"/>
    <w:rsid w:val="00414ED6"/>
    <w:rsid w:val="0041500E"/>
    <w:rsid w:val="004153CD"/>
    <w:rsid w:val="004154CF"/>
    <w:rsid w:val="0041567B"/>
    <w:rsid w:val="00415D22"/>
    <w:rsid w:val="00415E6C"/>
    <w:rsid w:val="00416277"/>
    <w:rsid w:val="00416390"/>
    <w:rsid w:val="00416700"/>
    <w:rsid w:val="00416781"/>
    <w:rsid w:val="004167BA"/>
    <w:rsid w:val="004168FD"/>
    <w:rsid w:val="00416933"/>
    <w:rsid w:val="004169DF"/>
    <w:rsid w:val="00416B10"/>
    <w:rsid w:val="00416C74"/>
    <w:rsid w:val="00416E67"/>
    <w:rsid w:val="00416E9A"/>
    <w:rsid w:val="0041707B"/>
    <w:rsid w:val="004170A3"/>
    <w:rsid w:val="00417400"/>
    <w:rsid w:val="00417624"/>
    <w:rsid w:val="00417824"/>
    <w:rsid w:val="004179B9"/>
    <w:rsid w:val="00417AF8"/>
    <w:rsid w:val="00417C09"/>
    <w:rsid w:val="00417C2E"/>
    <w:rsid w:val="0042015D"/>
    <w:rsid w:val="004201F1"/>
    <w:rsid w:val="00420284"/>
    <w:rsid w:val="004204F8"/>
    <w:rsid w:val="00420987"/>
    <w:rsid w:val="00420C61"/>
    <w:rsid w:val="00420D14"/>
    <w:rsid w:val="00420E59"/>
    <w:rsid w:val="00420EAA"/>
    <w:rsid w:val="0042131F"/>
    <w:rsid w:val="004214BB"/>
    <w:rsid w:val="00421554"/>
    <w:rsid w:val="0042162E"/>
    <w:rsid w:val="00421635"/>
    <w:rsid w:val="00421879"/>
    <w:rsid w:val="00421A3A"/>
    <w:rsid w:val="00421C8D"/>
    <w:rsid w:val="00421F67"/>
    <w:rsid w:val="0042207F"/>
    <w:rsid w:val="00422092"/>
    <w:rsid w:val="00422146"/>
    <w:rsid w:val="004221EB"/>
    <w:rsid w:val="00422559"/>
    <w:rsid w:val="00422569"/>
    <w:rsid w:val="00422578"/>
    <w:rsid w:val="00422748"/>
    <w:rsid w:val="00422959"/>
    <w:rsid w:val="00422A1E"/>
    <w:rsid w:val="00422B2F"/>
    <w:rsid w:val="00422B84"/>
    <w:rsid w:val="00422F18"/>
    <w:rsid w:val="00422F7D"/>
    <w:rsid w:val="00422F8E"/>
    <w:rsid w:val="00423050"/>
    <w:rsid w:val="0042317C"/>
    <w:rsid w:val="004233BB"/>
    <w:rsid w:val="004233E1"/>
    <w:rsid w:val="00423444"/>
    <w:rsid w:val="00423698"/>
    <w:rsid w:val="004239CE"/>
    <w:rsid w:val="00423B25"/>
    <w:rsid w:val="00423E74"/>
    <w:rsid w:val="00423E92"/>
    <w:rsid w:val="00423ED0"/>
    <w:rsid w:val="0042403B"/>
    <w:rsid w:val="004240F6"/>
    <w:rsid w:val="00424182"/>
    <w:rsid w:val="004242FE"/>
    <w:rsid w:val="0042439E"/>
    <w:rsid w:val="004244ED"/>
    <w:rsid w:val="0042461C"/>
    <w:rsid w:val="004247D7"/>
    <w:rsid w:val="00424AED"/>
    <w:rsid w:val="00424BAC"/>
    <w:rsid w:val="00424C0A"/>
    <w:rsid w:val="00424CB5"/>
    <w:rsid w:val="00424EF5"/>
    <w:rsid w:val="00424FE0"/>
    <w:rsid w:val="00425066"/>
    <w:rsid w:val="00425098"/>
    <w:rsid w:val="004253F2"/>
    <w:rsid w:val="004254F8"/>
    <w:rsid w:val="00425583"/>
    <w:rsid w:val="00425854"/>
    <w:rsid w:val="00425998"/>
    <w:rsid w:val="00425B7F"/>
    <w:rsid w:val="00425E0E"/>
    <w:rsid w:val="00425E1D"/>
    <w:rsid w:val="00426185"/>
    <w:rsid w:val="00426447"/>
    <w:rsid w:val="004264E0"/>
    <w:rsid w:val="004265BC"/>
    <w:rsid w:val="00426620"/>
    <w:rsid w:val="00426658"/>
    <w:rsid w:val="004266BA"/>
    <w:rsid w:val="004269AD"/>
    <w:rsid w:val="00426BA3"/>
    <w:rsid w:val="00426D74"/>
    <w:rsid w:val="00426D7A"/>
    <w:rsid w:val="00426DB4"/>
    <w:rsid w:val="00427067"/>
    <w:rsid w:val="004271C7"/>
    <w:rsid w:val="004271DC"/>
    <w:rsid w:val="0042737F"/>
    <w:rsid w:val="004275A2"/>
    <w:rsid w:val="004275F9"/>
    <w:rsid w:val="004276AE"/>
    <w:rsid w:val="00427707"/>
    <w:rsid w:val="00427737"/>
    <w:rsid w:val="004277B4"/>
    <w:rsid w:val="004279A6"/>
    <w:rsid w:val="00427F7A"/>
    <w:rsid w:val="0042B355"/>
    <w:rsid w:val="00430145"/>
    <w:rsid w:val="00430363"/>
    <w:rsid w:val="004306CB"/>
    <w:rsid w:val="00430724"/>
    <w:rsid w:val="004307A7"/>
    <w:rsid w:val="00430889"/>
    <w:rsid w:val="00430A40"/>
    <w:rsid w:val="00430E19"/>
    <w:rsid w:val="0043134A"/>
    <w:rsid w:val="004313C7"/>
    <w:rsid w:val="004313CD"/>
    <w:rsid w:val="00431702"/>
    <w:rsid w:val="00431755"/>
    <w:rsid w:val="004318A6"/>
    <w:rsid w:val="004319CC"/>
    <w:rsid w:val="00431B10"/>
    <w:rsid w:val="00431BE2"/>
    <w:rsid w:val="00431C64"/>
    <w:rsid w:val="00431E50"/>
    <w:rsid w:val="00431E56"/>
    <w:rsid w:val="0043210F"/>
    <w:rsid w:val="00432667"/>
    <w:rsid w:val="004326CD"/>
    <w:rsid w:val="004328ED"/>
    <w:rsid w:val="00432994"/>
    <w:rsid w:val="00432B04"/>
    <w:rsid w:val="00432CA8"/>
    <w:rsid w:val="00432D81"/>
    <w:rsid w:val="00432E78"/>
    <w:rsid w:val="00432F0C"/>
    <w:rsid w:val="00432F8F"/>
    <w:rsid w:val="00432FDF"/>
    <w:rsid w:val="00433007"/>
    <w:rsid w:val="00433688"/>
    <w:rsid w:val="0043386D"/>
    <w:rsid w:val="00433946"/>
    <w:rsid w:val="004339C5"/>
    <w:rsid w:val="00433D92"/>
    <w:rsid w:val="00433DE8"/>
    <w:rsid w:val="004341FA"/>
    <w:rsid w:val="004343BE"/>
    <w:rsid w:val="00434483"/>
    <w:rsid w:val="0043472E"/>
    <w:rsid w:val="00434913"/>
    <w:rsid w:val="004349B3"/>
    <w:rsid w:val="004349C7"/>
    <w:rsid w:val="00434B48"/>
    <w:rsid w:val="00434E86"/>
    <w:rsid w:val="0043501C"/>
    <w:rsid w:val="00435223"/>
    <w:rsid w:val="004352FD"/>
    <w:rsid w:val="00435358"/>
    <w:rsid w:val="00435806"/>
    <w:rsid w:val="00435810"/>
    <w:rsid w:val="00435DB6"/>
    <w:rsid w:val="0043616E"/>
    <w:rsid w:val="004361BB"/>
    <w:rsid w:val="0043635A"/>
    <w:rsid w:val="004364EE"/>
    <w:rsid w:val="00436530"/>
    <w:rsid w:val="004366AE"/>
    <w:rsid w:val="0043678F"/>
    <w:rsid w:val="0043693E"/>
    <w:rsid w:val="00436A4C"/>
    <w:rsid w:val="00436DC7"/>
    <w:rsid w:val="00437074"/>
    <w:rsid w:val="0043716B"/>
    <w:rsid w:val="00437180"/>
    <w:rsid w:val="00437181"/>
    <w:rsid w:val="00437185"/>
    <w:rsid w:val="004373F3"/>
    <w:rsid w:val="00437574"/>
    <w:rsid w:val="0043764A"/>
    <w:rsid w:val="0043768C"/>
    <w:rsid w:val="004377DB"/>
    <w:rsid w:val="0043781C"/>
    <w:rsid w:val="004379A2"/>
    <w:rsid w:val="00437A53"/>
    <w:rsid w:val="00437ACB"/>
    <w:rsid w:val="00437C86"/>
    <w:rsid w:val="00437E34"/>
    <w:rsid w:val="00437FA7"/>
    <w:rsid w:val="0044034B"/>
    <w:rsid w:val="0044036D"/>
    <w:rsid w:val="004403CD"/>
    <w:rsid w:val="00440471"/>
    <w:rsid w:val="00440473"/>
    <w:rsid w:val="00440793"/>
    <w:rsid w:val="004409A8"/>
    <w:rsid w:val="00440EB4"/>
    <w:rsid w:val="004411D1"/>
    <w:rsid w:val="00441270"/>
    <w:rsid w:val="00441671"/>
    <w:rsid w:val="00441A81"/>
    <w:rsid w:val="00441B30"/>
    <w:rsid w:val="00441D17"/>
    <w:rsid w:val="00441ED6"/>
    <w:rsid w:val="00441FE4"/>
    <w:rsid w:val="00442131"/>
    <w:rsid w:val="004421D8"/>
    <w:rsid w:val="0044255B"/>
    <w:rsid w:val="004425FE"/>
    <w:rsid w:val="004429B2"/>
    <w:rsid w:val="00442C5D"/>
    <w:rsid w:val="00443016"/>
    <w:rsid w:val="004430D7"/>
    <w:rsid w:val="0044316E"/>
    <w:rsid w:val="0044319B"/>
    <w:rsid w:val="004432B2"/>
    <w:rsid w:val="004433B6"/>
    <w:rsid w:val="0044371A"/>
    <w:rsid w:val="004439D0"/>
    <w:rsid w:val="004439F2"/>
    <w:rsid w:val="00443DAA"/>
    <w:rsid w:val="00443E57"/>
    <w:rsid w:val="00444144"/>
    <w:rsid w:val="004444BA"/>
    <w:rsid w:val="00444579"/>
    <w:rsid w:val="0044475C"/>
    <w:rsid w:val="00444876"/>
    <w:rsid w:val="00444C3D"/>
    <w:rsid w:val="00444D35"/>
    <w:rsid w:val="00444F9A"/>
    <w:rsid w:val="004450CF"/>
    <w:rsid w:val="004452A8"/>
    <w:rsid w:val="0044545D"/>
    <w:rsid w:val="0044549B"/>
    <w:rsid w:val="00445536"/>
    <w:rsid w:val="00445640"/>
    <w:rsid w:val="004456FD"/>
    <w:rsid w:val="00445874"/>
    <w:rsid w:val="004458F9"/>
    <w:rsid w:val="004459A9"/>
    <w:rsid w:val="00445A45"/>
    <w:rsid w:val="00445EB6"/>
    <w:rsid w:val="00445FB7"/>
    <w:rsid w:val="00445FE2"/>
    <w:rsid w:val="0044604E"/>
    <w:rsid w:val="004461BE"/>
    <w:rsid w:val="0044634F"/>
    <w:rsid w:val="00446443"/>
    <w:rsid w:val="0044688F"/>
    <w:rsid w:val="00446E21"/>
    <w:rsid w:val="00446F27"/>
    <w:rsid w:val="00447348"/>
    <w:rsid w:val="0044735D"/>
    <w:rsid w:val="004473D3"/>
    <w:rsid w:val="0044763B"/>
    <w:rsid w:val="0044768C"/>
    <w:rsid w:val="00447799"/>
    <w:rsid w:val="00447828"/>
    <w:rsid w:val="00447BB4"/>
    <w:rsid w:val="00447C33"/>
    <w:rsid w:val="00447CF2"/>
    <w:rsid w:val="00447D02"/>
    <w:rsid w:val="00447F12"/>
    <w:rsid w:val="00450185"/>
    <w:rsid w:val="0045021F"/>
    <w:rsid w:val="00450531"/>
    <w:rsid w:val="0045054F"/>
    <w:rsid w:val="00450624"/>
    <w:rsid w:val="00450739"/>
    <w:rsid w:val="00450751"/>
    <w:rsid w:val="00450830"/>
    <w:rsid w:val="0045096A"/>
    <w:rsid w:val="00450ABE"/>
    <w:rsid w:val="00450FD6"/>
    <w:rsid w:val="004510C0"/>
    <w:rsid w:val="00451159"/>
    <w:rsid w:val="004511B6"/>
    <w:rsid w:val="00451594"/>
    <w:rsid w:val="004517CB"/>
    <w:rsid w:val="00451B11"/>
    <w:rsid w:val="00451BB9"/>
    <w:rsid w:val="00451F97"/>
    <w:rsid w:val="0045267A"/>
    <w:rsid w:val="00452960"/>
    <w:rsid w:val="00452E4E"/>
    <w:rsid w:val="004530A2"/>
    <w:rsid w:val="004537AD"/>
    <w:rsid w:val="00453E81"/>
    <w:rsid w:val="004541C3"/>
    <w:rsid w:val="00454299"/>
    <w:rsid w:val="004543D1"/>
    <w:rsid w:val="00454696"/>
    <w:rsid w:val="004546FC"/>
    <w:rsid w:val="00454A2B"/>
    <w:rsid w:val="00454B37"/>
    <w:rsid w:val="00454C85"/>
    <w:rsid w:val="00455082"/>
    <w:rsid w:val="004551B4"/>
    <w:rsid w:val="0045548B"/>
    <w:rsid w:val="00455723"/>
    <w:rsid w:val="0045586C"/>
    <w:rsid w:val="0045589C"/>
    <w:rsid w:val="00455933"/>
    <w:rsid w:val="00455BE6"/>
    <w:rsid w:val="00455E4C"/>
    <w:rsid w:val="00455F3F"/>
    <w:rsid w:val="004560A5"/>
    <w:rsid w:val="00456137"/>
    <w:rsid w:val="00456327"/>
    <w:rsid w:val="0045645C"/>
    <w:rsid w:val="00456758"/>
    <w:rsid w:val="00456A04"/>
    <w:rsid w:val="00456B45"/>
    <w:rsid w:val="00456B97"/>
    <w:rsid w:val="00456EBB"/>
    <w:rsid w:val="00456F9D"/>
    <w:rsid w:val="00457681"/>
    <w:rsid w:val="00457A1B"/>
    <w:rsid w:val="00457C16"/>
    <w:rsid w:val="00457C35"/>
    <w:rsid w:val="00457C3F"/>
    <w:rsid w:val="00457CF2"/>
    <w:rsid w:val="00457E75"/>
    <w:rsid w:val="00457FA5"/>
    <w:rsid w:val="00460009"/>
    <w:rsid w:val="00460219"/>
    <w:rsid w:val="004603E6"/>
    <w:rsid w:val="00460549"/>
    <w:rsid w:val="004607B1"/>
    <w:rsid w:val="0046099C"/>
    <w:rsid w:val="00460AA0"/>
    <w:rsid w:val="00460BDC"/>
    <w:rsid w:val="00460E55"/>
    <w:rsid w:val="004611B3"/>
    <w:rsid w:val="004612A0"/>
    <w:rsid w:val="0046153B"/>
    <w:rsid w:val="00461643"/>
    <w:rsid w:val="004616FF"/>
    <w:rsid w:val="00461732"/>
    <w:rsid w:val="00461752"/>
    <w:rsid w:val="00461824"/>
    <w:rsid w:val="00461A27"/>
    <w:rsid w:val="00461C25"/>
    <w:rsid w:val="00461C9A"/>
    <w:rsid w:val="004622A0"/>
    <w:rsid w:val="004622B1"/>
    <w:rsid w:val="004623AA"/>
    <w:rsid w:val="0046242F"/>
    <w:rsid w:val="0046251A"/>
    <w:rsid w:val="00462623"/>
    <w:rsid w:val="00462985"/>
    <w:rsid w:val="00462ADB"/>
    <w:rsid w:val="00462DD9"/>
    <w:rsid w:val="00462DF5"/>
    <w:rsid w:val="00462E1E"/>
    <w:rsid w:val="00462F32"/>
    <w:rsid w:val="00463072"/>
    <w:rsid w:val="00463109"/>
    <w:rsid w:val="00463172"/>
    <w:rsid w:val="004639CA"/>
    <w:rsid w:val="00463C29"/>
    <w:rsid w:val="00463CF2"/>
    <w:rsid w:val="00463ED6"/>
    <w:rsid w:val="004645A2"/>
    <w:rsid w:val="0046492C"/>
    <w:rsid w:val="004649D6"/>
    <w:rsid w:val="00464A95"/>
    <w:rsid w:val="00464B9F"/>
    <w:rsid w:val="00464DC4"/>
    <w:rsid w:val="00464DEF"/>
    <w:rsid w:val="00465009"/>
    <w:rsid w:val="00465066"/>
    <w:rsid w:val="00465388"/>
    <w:rsid w:val="004653E3"/>
    <w:rsid w:val="00465474"/>
    <w:rsid w:val="00465557"/>
    <w:rsid w:val="00465B5A"/>
    <w:rsid w:val="00465C93"/>
    <w:rsid w:val="00465DA2"/>
    <w:rsid w:val="00465FB3"/>
    <w:rsid w:val="00466128"/>
    <w:rsid w:val="004661C1"/>
    <w:rsid w:val="004661D8"/>
    <w:rsid w:val="00466226"/>
    <w:rsid w:val="004662BB"/>
    <w:rsid w:val="004665AC"/>
    <w:rsid w:val="004668D5"/>
    <w:rsid w:val="00466A25"/>
    <w:rsid w:val="00466A28"/>
    <w:rsid w:val="00466C70"/>
    <w:rsid w:val="00466CCC"/>
    <w:rsid w:val="00466CED"/>
    <w:rsid w:val="004670AB"/>
    <w:rsid w:val="004670B8"/>
    <w:rsid w:val="00467198"/>
    <w:rsid w:val="00467284"/>
    <w:rsid w:val="00467296"/>
    <w:rsid w:val="004673B2"/>
    <w:rsid w:val="004673E9"/>
    <w:rsid w:val="00467A4F"/>
    <w:rsid w:val="00467A89"/>
    <w:rsid w:val="00467AAA"/>
    <w:rsid w:val="00467AAB"/>
    <w:rsid w:val="00467D5C"/>
    <w:rsid w:val="00467F11"/>
    <w:rsid w:val="00467FFA"/>
    <w:rsid w:val="0047005D"/>
    <w:rsid w:val="004703BC"/>
    <w:rsid w:val="00470400"/>
    <w:rsid w:val="00470560"/>
    <w:rsid w:val="0047057E"/>
    <w:rsid w:val="00470583"/>
    <w:rsid w:val="004707FE"/>
    <w:rsid w:val="0047080C"/>
    <w:rsid w:val="00470830"/>
    <w:rsid w:val="00470A5C"/>
    <w:rsid w:val="00470B0F"/>
    <w:rsid w:val="00470D75"/>
    <w:rsid w:val="00470F5A"/>
    <w:rsid w:val="00470F86"/>
    <w:rsid w:val="004712C4"/>
    <w:rsid w:val="004713DE"/>
    <w:rsid w:val="004717E9"/>
    <w:rsid w:val="004717FB"/>
    <w:rsid w:val="00471811"/>
    <w:rsid w:val="004718B9"/>
    <w:rsid w:val="004718D0"/>
    <w:rsid w:val="00471911"/>
    <w:rsid w:val="00471C26"/>
    <w:rsid w:val="00471F5A"/>
    <w:rsid w:val="00471F5D"/>
    <w:rsid w:val="00471F85"/>
    <w:rsid w:val="00471FC5"/>
    <w:rsid w:val="00472181"/>
    <w:rsid w:val="0047224B"/>
    <w:rsid w:val="004722B5"/>
    <w:rsid w:val="0047234D"/>
    <w:rsid w:val="0047243C"/>
    <w:rsid w:val="004724A8"/>
    <w:rsid w:val="00472621"/>
    <w:rsid w:val="004727D8"/>
    <w:rsid w:val="0047287C"/>
    <w:rsid w:val="00472B88"/>
    <w:rsid w:val="00472CAC"/>
    <w:rsid w:val="00472DEC"/>
    <w:rsid w:val="00472EF3"/>
    <w:rsid w:val="0047326B"/>
    <w:rsid w:val="004734EA"/>
    <w:rsid w:val="00473902"/>
    <w:rsid w:val="00473B10"/>
    <w:rsid w:val="00473B48"/>
    <w:rsid w:val="00473BEA"/>
    <w:rsid w:val="00473DA3"/>
    <w:rsid w:val="00473DF4"/>
    <w:rsid w:val="004740F7"/>
    <w:rsid w:val="004741EF"/>
    <w:rsid w:val="00474497"/>
    <w:rsid w:val="004744EA"/>
    <w:rsid w:val="00474714"/>
    <w:rsid w:val="00474794"/>
    <w:rsid w:val="00474FA2"/>
    <w:rsid w:val="00474FCF"/>
    <w:rsid w:val="00474FFC"/>
    <w:rsid w:val="004750A7"/>
    <w:rsid w:val="004750F2"/>
    <w:rsid w:val="00475132"/>
    <w:rsid w:val="004752C6"/>
    <w:rsid w:val="004752DB"/>
    <w:rsid w:val="00475415"/>
    <w:rsid w:val="0047549D"/>
    <w:rsid w:val="00475597"/>
    <w:rsid w:val="004756A3"/>
    <w:rsid w:val="00475724"/>
    <w:rsid w:val="004759ED"/>
    <w:rsid w:val="00475A6A"/>
    <w:rsid w:val="00475CFC"/>
    <w:rsid w:val="004761F6"/>
    <w:rsid w:val="00476384"/>
    <w:rsid w:val="00476598"/>
    <w:rsid w:val="0047683C"/>
    <w:rsid w:val="00476A9F"/>
    <w:rsid w:val="00476D94"/>
    <w:rsid w:val="00476F8B"/>
    <w:rsid w:val="00476FDA"/>
    <w:rsid w:val="004771D3"/>
    <w:rsid w:val="0047727C"/>
    <w:rsid w:val="00477398"/>
    <w:rsid w:val="004775B3"/>
    <w:rsid w:val="004776F1"/>
    <w:rsid w:val="00477A78"/>
    <w:rsid w:val="00477A92"/>
    <w:rsid w:val="00477B42"/>
    <w:rsid w:val="00477E0B"/>
    <w:rsid w:val="0048001C"/>
    <w:rsid w:val="004801D6"/>
    <w:rsid w:val="004803EF"/>
    <w:rsid w:val="004804A1"/>
    <w:rsid w:val="0048091A"/>
    <w:rsid w:val="00480A45"/>
    <w:rsid w:val="004810B6"/>
    <w:rsid w:val="0048113A"/>
    <w:rsid w:val="004811A7"/>
    <w:rsid w:val="00481533"/>
    <w:rsid w:val="00481805"/>
    <w:rsid w:val="00481BA8"/>
    <w:rsid w:val="00481DA9"/>
    <w:rsid w:val="00481F1A"/>
    <w:rsid w:val="00482087"/>
    <w:rsid w:val="004820FE"/>
    <w:rsid w:val="0048241D"/>
    <w:rsid w:val="0048258B"/>
    <w:rsid w:val="004825F8"/>
    <w:rsid w:val="00482672"/>
    <w:rsid w:val="0048268C"/>
    <w:rsid w:val="00482762"/>
    <w:rsid w:val="00482765"/>
    <w:rsid w:val="004829C5"/>
    <w:rsid w:val="00482B37"/>
    <w:rsid w:val="00482CC4"/>
    <w:rsid w:val="0048332B"/>
    <w:rsid w:val="004835A9"/>
    <w:rsid w:val="004836B0"/>
    <w:rsid w:val="00483709"/>
    <w:rsid w:val="00483811"/>
    <w:rsid w:val="00483BC3"/>
    <w:rsid w:val="00483C8E"/>
    <w:rsid w:val="00483CBB"/>
    <w:rsid w:val="00483CFE"/>
    <w:rsid w:val="00483D0A"/>
    <w:rsid w:val="00483E2F"/>
    <w:rsid w:val="00484060"/>
    <w:rsid w:val="0048409F"/>
    <w:rsid w:val="00484254"/>
    <w:rsid w:val="00484260"/>
    <w:rsid w:val="00484667"/>
    <w:rsid w:val="004846F6"/>
    <w:rsid w:val="00484789"/>
    <w:rsid w:val="00484796"/>
    <w:rsid w:val="004849D9"/>
    <w:rsid w:val="00484A48"/>
    <w:rsid w:val="00484A8B"/>
    <w:rsid w:val="00484A9E"/>
    <w:rsid w:val="00484CA7"/>
    <w:rsid w:val="00484D98"/>
    <w:rsid w:val="00485022"/>
    <w:rsid w:val="004853E9"/>
    <w:rsid w:val="00485503"/>
    <w:rsid w:val="00485736"/>
    <w:rsid w:val="00485773"/>
    <w:rsid w:val="004858A4"/>
    <w:rsid w:val="00485A92"/>
    <w:rsid w:val="00485AD5"/>
    <w:rsid w:val="00485B1F"/>
    <w:rsid w:val="00485B39"/>
    <w:rsid w:val="00485C3A"/>
    <w:rsid w:val="00486201"/>
    <w:rsid w:val="00486300"/>
    <w:rsid w:val="00486472"/>
    <w:rsid w:val="004866F4"/>
    <w:rsid w:val="0048678F"/>
    <w:rsid w:val="00486A8E"/>
    <w:rsid w:val="00486C17"/>
    <w:rsid w:val="00486F5A"/>
    <w:rsid w:val="004872D9"/>
    <w:rsid w:val="00487620"/>
    <w:rsid w:val="0048769B"/>
    <w:rsid w:val="004877B0"/>
    <w:rsid w:val="00487A78"/>
    <w:rsid w:val="00487EA6"/>
    <w:rsid w:val="00487F71"/>
    <w:rsid w:val="00490127"/>
    <w:rsid w:val="004901A0"/>
    <w:rsid w:val="004901A8"/>
    <w:rsid w:val="0049025A"/>
    <w:rsid w:val="004903D5"/>
    <w:rsid w:val="00490482"/>
    <w:rsid w:val="004904D5"/>
    <w:rsid w:val="0049057E"/>
    <w:rsid w:val="00490D26"/>
    <w:rsid w:val="00490EC9"/>
    <w:rsid w:val="00490F83"/>
    <w:rsid w:val="00491028"/>
    <w:rsid w:val="004910BE"/>
    <w:rsid w:val="00491191"/>
    <w:rsid w:val="00491252"/>
    <w:rsid w:val="00491328"/>
    <w:rsid w:val="00491460"/>
    <w:rsid w:val="004914BA"/>
    <w:rsid w:val="004915E0"/>
    <w:rsid w:val="0049197B"/>
    <w:rsid w:val="004919C4"/>
    <w:rsid w:val="00491A72"/>
    <w:rsid w:val="00491ABF"/>
    <w:rsid w:val="00491BE8"/>
    <w:rsid w:val="00491C6F"/>
    <w:rsid w:val="00491CE9"/>
    <w:rsid w:val="00491D78"/>
    <w:rsid w:val="00491DDF"/>
    <w:rsid w:val="00491DFF"/>
    <w:rsid w:val="00491FC2"/>
    <w:rsid w:val="00492407"/>
    <w:rsid w:val="00492BD8"/>
    <w:rsid w:val="00492C59"/>
    <w:rsid w:val="004930C4"/>
    <w:rsid w:val="004930C5"/>
    <w:rsid w:val="004930D9"/>
    <w:rsid w:val="00493646"/>
    <w:rsid w:val="0049383F"/>
    <w:rsid w:val="00493844"/>
    <w:rsid w:val="00493891"/>
    <w:rsid w:val="004939CD"/>
    <w:rsid w:val="00493B09"/>
    <w:rsid w:val="00493C34"/>
    <w:rsid w:val="00493D21"/>
    <w:rsid w:val="00493DF4"/>
    <w:rsid w:val="00493DFE"/>
    <w:rsid w:val="00493EC8"/>
    <w:rsid w:val="004942DC"/>
    <w:rsid w:val="004944E3"/>
    <w:rsid w:val="004944FC"/>
    <w:rsid w:val="00494882"/>
    <w:rsid w:val="004949EF"/>
    <w:rsid w:val="00494AAB"/>
    <w:rsid w:val="00494AEF"/>
    <w:rsid w:val="00494B6C"/>
    <w:rsid w:val="00494C34"/>
    <w:rsid w:val="00494CE6"/>
    <w:rsid w:val="00495143"/>
    <w:rsid w:val="004952BB"/>
    <w:rsid w:val="0049533C"/>
    <w:rsid w:val="00495405"/>
    <w:rsid w:val="004955EF"/>
    <w:rsid w:val="00495768"/>
    <w:rsid w:val="004957BB"/>
    <w:rsid w:val="004957C1"/>
    <w:rsid w:val="00495821"/>
    <w:rsid w:val="00495EFA"/>
    <w:rsid w:val="00495F18"/>
    <w:rsid w:val="00496163"/>
    <w:rsid w:val="0049628E"/>
    <w:rsid w:val="00496406"/>
    <w:rsid w:val="00496764"/>
    <w:rsid w:val="004967A5"/>
    <w:rsid w:val="0049686B"/>
    <w:rsid w:val="00496A7F"/>
    <w:rsid w:val="004972FF"/>
    <w:rsid w:val="004978E4"/>
    <w:rsid w:val="004979B9"/>
    <w:rsid w:val="00497F24"/>
    <w:rsid w:val="00497F25"/>
    <w:rsid w:val="00497F67"/>
    <w:rsid w:val="004A000D"/>
    <w:rsid w:val="004A0494"/>
    <w:rsid w:val="004A0665"/>
    <w:rsid w:val="004A081B"/>
    <w:rsid w:val="004A099C"/>
    <w:rsid w:val="004A09A7"/>
    <w:rsid w:val="004A0A76"/>
    <w:rsid w:val="004A0A82"/>
    <w:rsid w:val="004A0AD5"/>
    <w:rsid w:val="004A0AE3"/>
    <w:rsid w:val="004A0D24"/>
    <w:rsid w:val="004A0ECC"/>
    <w:rsid w:val="004A1222"/>
    <w:rsid w:val="004A1305"/>
    <w:rsid w:val="004A1404"/>
    <w:rsid w:val="004A14DC"/>
    <w:rsid w:val="004A15F2"/>
    <w:rsid w:val="004A16A9"/>
    <w:rsid w:val="004A187F"/>
    <w:rsid w:val="004A1999"/>
    <w:rsid w:val="004A19C6"/>
    <w:rsid w:val="004A24F6"/>
    <w:rsid w:val="004A251F"/>
    <w:rsid w:val="004A25E1"/>
    <w:rsid w:val="004A277E"/>
    <w:rsid w:val="004A2902"/>
    <w:rsid w:val="004A292F"/>
    <w:rsid w:val="004A2C34"/>
    <w:rsid w:val="004A3060"/>
    <w:rsid w:val="004A333D"/>
    <w:rsid w:val="004A3431"/>
    <w:rsid w:val="004A3438"/>
    <w:rsid w:val="004A357D"/>
    <w:rsid w:val="004A36FD"/>
    <w:rsid w:val="004A3A62"/>
    <w:rsid w:val="004A400F"/>
    <w:rsid w:val="004A4079"/>
    <w:rsid w:val="004A425C"/>
    <w:rsid w:val="004A433C"/>
    <w:rsid w:val="004A4446"/>
    <w:rsid w:val="004A44A5"/>
    <w:rsid w:val="004A4775"/>
    <w:rsid w:val="004A4803"/>
    <w:rsid w:val="004A48F6"/>
    <w:rsid w:val="004A4A63"/>
    <w:rsid w:val="004A4BBF"/>
    <w:rsid w:val="004A4C30"/>
    <w:rsid w:val="004A4D92"/>
    <w:rsid w:val="004A4EE4"/>
    <w:rsid w:val="004A4FEF"/>
    <w:rsid w:val="004A512C"/>
    <w:rsid w:val="004A52B7"/>
    <w:rsid w:val="004A569F"/>
    <w:rsid w:val="004A582B"/>
    <w:rsid w:val="004A5927"/>
    <w:rsid w:val="004A5B27"/>
    <w:rsid w:val="004A5E8E"/>
    <w:rsid w:val="004A5FFE"/>
    <w:rsid w:val="004A6265"/>
    <w:rsid w:val="004A63E1"/>
    <w:rsid w:val="004A6645"/>
    <w:rsid w:val="004A66B3"/>
    <w:rsid w:val="004A67ED"/>
    <w:rsid w:val="004A6961"/>
    <w:rsid w:val="004A6D27"/>
    <w:rsid w:val="004A6DB0"/>
    <w:rsid w:val="004A71BC"/>
    <w:rsid w:val="004A71E7"/>
    <w:rsid w:val="004A72FD"/>
    <w:rsid w:val="004A743D"/>
    <w:rsid w:val="004A774F"/>
    <w:rsid w:val="004A78EB"/>
    <w:rsid w:val="004A7BFA"/>
    <w:rsid w:val="004A7C60"/>
    <w:rsid w:val="004A7CA8"/>
    <w:rsid w:val="004A7CC0"/>
    <w:rsid w:val="004A7E69"/>
    <w:rsid w:val="004A7ECB"/>
    <w:rsid w:val="004A7F40"/>
    <w:rsid w:val="004B003B"/>
    <w:rsid w:val="004B00F4"/>
    <w:rsid w:val="004B047E"/>
    <w:rsid w:val="004B07C7"/>
    <w:rsid w:val="004B0816"/>
    <w:rsid w:val="004B0854"/>
    <w:rsid w:val="004B0AEC"/>
    <w:rsid w:val="004B0BAA"/>
    <w:rsid w:val="004B10EB"/>
    <w:rsid w:val="004B10EC"/>
    <w:rsid w:val="004B1812"/>
    <w:rsid w:val="004B1882"/>
    <w:rsid w:val="004B19B9"/>
    <w:rsid w:val="004B1AE4"/>
    <w:rsid w:val="004B1BA1"/>
    <w:rsid w:val="004B1D64"/>
    <w:rsid w:val="004B1D76"/>
    <w:rsid w:val="004B1DC9"/>
    <w:rsid w:val="004B1FC7"/>
    <w:rsid w:val="004B251F"/>
    <w:rsid w:val="004B2686"/>
    <w:rsid w:val="004B2738"/>
    <w:rsid w:val="004B2BA8"/>
    <w:rsid w:val="004B2CB0"/>
    <w:rsid w:val="004B2D3F"/>
    <w:rsid w:val="004B2DD1"/>
    <w:rsid w:val="004B2F51"/>
    <w:rsid w:val="004B2F7F"/>
    <w:rsid w:val="004B2FC7"/>
    <w:rsid w:val="004B306B"/>
    <w:rsid w:val="004B30E8"/>
    <w:rsid w:val="004B3230"/>
    <w:rsid w:val="004B33F3"/>
    <w:rsid w:val="004B382C"/>
    <w:rsid w:val="004B3A75"/>
    <w:rsid w:val="004B400E"/>
    <w:rsid w:val="004B42FA"/>
    <w:rsid w:val="004B43B7"/>
    <w:rsid w:val="004B44A1"/>
    <w:rsid w:val="004B4583"/>
    <w:rsid w:val="004B4592"/>
    <w:rsid w:val="004B4767"/>
    <w:rsid w:val="004B4969"/>
    <w:rsid w:val="004B49B3"/>
    <w:rsid w:val="004B49CF"/>
    <w:rsid w:val="004B4A79"/>
    <w:rsid w:val="004B4AE6"/>
    <w:rsid w:val="004B4C70"/>
    <w:rsid w:val="004B50E7"/>
    <w:rsid w:val="004B532B"/>
    <w:rsid w:val="004B54EB"/>
    <w:rsid w:val="004B5AE4"/>
    <w:rsid w:val="004B5D13"/>
    <w:rsid w:val="004B625A"/>
    <w:rsid w:val="004B6416"/>
    <w:rsid w:val="004B6438"/>
    <w:rsid w:val="004B6596"/>
    <w:rsid w:val="004B6697"/>
    <w:rsid w:val="004B6717"/>
    <w:rsid w:val="004B67DA"/>
    <w:rsid w:val="004B6851"/>
    <w:rsid w:val="004B6856"/>
    <w:rsid w:val="004B68C8"/>
    <w:rsid w:val="004B692F"/>
    <w:rsid w:val="004B6A24"/>
    <w:rsid w:val="004B6AEF"/>
    <w:rsid w:val="004B6B07"/>
    <w:rsid w:val="004B6B99"/>
    <w:rsid w:val="004B6C9C"/>
    <w:rsid w:val="004B6EAD"/>
    <w:rsid w:val="004B708F"/>
    <w:rsid w:val="004B7150"/>
    <w:rsid w:val="004B7408"/>
    <w:rsid w:val="004B759C"/>
    <w:rsid w:val="004B7811"/>
    <w:rsid w:val="004B7AB8"/>
    <w:rsid w:val="004B7B8B"/>
    <w:rsid w:val="004B7BE5"/>
    <w:rsid w:val="004B7C82"/>
    <w:rsid w:val="004B7D84"/>
    <w:rsid w:val="004C0051"/>
    <w:rsid w:val="004C00B5"/>
    <w:rsid w:val="004C00EC"/>
    <w:rsid w:val="004C0300"/>
    <w:rsid w:val="004C031B"/>
    <w:rsid w:val="004C0379"/>
    <w:rsid w:val="004C05A8"/>
    <w:rsid w:val="004C0667"/>
    <w:rsid w:val="004C0756"/>
    <w:rsid w:val="004C0819"/>
    <w:rsid w:val="004C094D"/>
    <w:rsid w:val="004C09EE"/>
    <w:rsid w:val="004C09F7"/>
    <w:rsid w:val="004C0B7A"/>
    <w:rsid w:val="004C0C97"/>
    <w:rsid w:val="004C0F06"/>
    <w:rsid w:val="004C1081"/>
    <w:rsid w:val="004C111A"/>
    <w:rsid w:val="004C12D3"/>
    <w:rsid w:val="004C12E5"/>
    <w:rsid w:val="004C17E9"/>
    <w:rsid w:val="004C18A6"/>
    <w:rsid w:val="004C18DD"/>
    <w:rsid w:val="004C1AD3"/>
    <w:rsid w:val="004C1B63"/>
    <w:rsid w:val="004C1C5E"/>
    <w:rsid w:val="004C1D2C"/>
    <w:rsid w:val="004C201A"/>
    <w:rsid w:val="004C2062"/>
    <w:rsid w:val="004C2067"/>
    <w:rsid w:val="004C234C"/>
    <w:rsid w:val="004C2651"/>
    <w:rsid w:val="004C274B"/>
    <w:rsid w:val="004C2785"/>
    <w:rsid w:val="004C2ADC"/>
    <w:rsid w:val="004C2B25"/>
    <w:rsid w:val="004C2CF7"/>
    <w:rsid w:val="004C2D79"/>
    <w:rsid w:val="004C2DA6"/>
    <w:rsid w:val="004C2DCE"/>
    <w:rsid w:val="004C2E88"/>
    <w:rsid w:val="004C2EF1"/>
    <w:rsid w:val="004C321A"/>
    <w:rsid w:val="004C3331"/>
    <w:rsid w:val="004C3440"/>
    <w:rsid w:val="004C351B"/>
    <w:rsid w:val="004C35C8"/>
    <w:rsid w:val="004C36B2"/>
    <w:rsid w:val="004C3746"/>
    <w:rsid w:val="004C375E"/>
    <w:rsid w:val="004C37A7"/>
    <w:rsid w:val="004C38A8"/>
    <w:rsid w:val="004C39D9"/>
    <w:rsid w:val="004C3A9C"/>
    <w:rsid w:val="004C3AFD"/>
    <w:rsid w:val="004C3C07"/>
    <w:rsid w:val="004C3D59"/>
    <w:rsid w:val="004C404A"/>
    <w:rsid w:val="004C4117"/>
    <w:rsid w:val="004C4365"/>
    <w:rsid w:val="004C492E"/>
    <w:rsid w:val="004C4948"/>
    <w:rsid w:val="004C4AD9"/>
    <w:rsid w:val="004C4DF6"/>
    <w:rsid w:val="004C4E8C"/>
    <w:rsid w:val="004C52D7"/>
    <w:rsid w:val="004C5B39"/>
    <w:rsid w:val="004C5B86"/>
    <w:rsid w:val="004C5DB1"/>
    <w:rsid w:val="004C5E9E"/>
    <w:rsid w:val="004C5F49"/>
    <w:rsid w:val="004C5FEA"/>
    <w:rsid w:val="004C632B"/>
    <w:rsid w:val="004C6518"/>
    <w:rsid w:val="004C65B1"/>
    <w:rsid w:val="004C67C2"/>
    <w:rsid w:val="004C6873"/>
    <w:rsid w:val="004C687A"/>
    <w:rsid w:val="004C68B4"/>
    <w:rsid w:val="004C6944"/>
    <w:rsid w:val="004C6960"/>
    <w:rsid w:val="004C69EB"/>
    <w:rsid w:val="004C6CF3"/>
    <w:rsid w:val="004C6D88"/>
    <w:rsid w:val="004C6D99"/>
    <w:rsid w:val="004C6E43"/>
    <w:rsid w:val="004C6E67"/>
    <w:rsid w:val="004C6F99"/>
    <w:rsid w:val="004C71F1"/>
    <w:rsid w:val="004C725D"/>
    <w:rsid w:val="004C7464"/>
    <w:rsid w:val="004C7A27"/>
    <w:rsid w:val="004C7AC9"/>
    <w:rsid w:val="004C7F76"/>
    <w:rsid w:val="004C7F81"/>
    <w:rsid w:val="004D00E2"/>
    <w:rsid w:val="004D0384"/>
    <w:rsid w:val="004D0399"/>
    <w:rsid w:val="004D0505"/>
    <w:rsid w:val="004D05B1"/>
    <w:rsid w:val="004D0722"/>
    <w:rsid w:val="004D07A5"/>
    <w:rsid w:val="004D09D7"/>
    <w:rsid w:val="004D0AE3"/>
    <w:rsid w:val="004D0CEE"/>
    <w:rsid w:val="004D10AC"/>
    <w:rsid w:val="004D1118"/>
    <w:rsid w:val="004D1449"/>
    <w:rsid w:val="004D166F"/>
    <w:rsid w:val="004D17C4"/>
    <w:rsid w:val="004D1A3D"/>
    <w:rsid w:val="004D1D62"/>
    <w:rsid w:val="004D1E1D"/>
    <w:rsid w:val="004D1E8C"/>
    <w:rsid w:val="004D1FE8"/>
    <w:rsid w:val="004D214D"/>
    <w:rsid w:val="004D233E"/>
    <w:rsid w:val="004D23C9"/>
    <w:rsid w:val="004D24E2"/>
    <w:rsid w:val="004D24EB"/>
    <w:rsid w:val="004D26B9"/>
    <w:rsid w:val="004D27C6"/>
    <w:rsid w:val="004D2B37"/>
    <w:rsid w:val="004D2C96"/>
    <w:rsid w:val="004D2F63"/>
    <w:rsid w:val="004D2F6D"/>
    <w:rsid w:val="004D30E3"/>
    <w:rsid w:val="004D3125"/>
    <w:rsid w:val="004D317B"/>
    <w:rsid w:val="004D3303"/>
    <w:rsid w:val="004D35B8"/>
    <w:rsid w:val="004D35FE"/>
    <w:rsid w:val="004D3616"/>
    <w:rsid w:val="004D376D"/>
    <w:rsid w:val="004D3C6B"/>
    <w:rsid w:val="004D3D99"/>
    <w:rsid w:val="004D3DE9"/>
    <w:rsid w:val="004D4140"/>
    <w:rsid w:val="004D4155"/>
    <w:rsid w:val="004D438A"/>
    <w:rsid w:val="004D456B"/>
    <w:rsid w:val="004D46AD"/>
    <w:rsid w:val="004D48A6"/>
    <w:rsid w:val="004D4946"/>
    <w:rsid w:val="004D4A69"/>
    <w:rsid w:val="004D51F4"/>
    <w:rsid w:val="004D5575"/>
    <w:rsid w:val="004D5676"/>
    <w:rsid w:val="004D5A81"/>
    <w:rsid w:val="004D5BB5"/>
    <w:rsid w:val="004D5BE7"/>
    <w:rsid w:val="004D5DC1"/>
    <w:rsid w:val="004D5F12"/>
    <w:rsid w:val="004D5F6E"/>
    <w:rsid w:val="004D61E3"/>
    <w:rsid w:val="004D653F"/>
    <w:rsid w:val="004D65EF"/>
    <w:rsid w:val="004D6760"/>
    <w:rsid w:val="004D6887"/>
    <w:rsid w:val="004D6A74"/>
    <w:rsid w:val="004D6C0B"/>
    <w:rsid w:val="004D6C45"/>
    <w:rsid w:val="004D6D0F"/>
    <w:rsid w:val="004D6DC7"/>
    <w:rsid w:val="004D6E51"/>
    <w:rsid w:val="004D7075"/>
    <w:rsid w:val="004D729C"/>
    <w:rsid w:val="004D745E"/>
    <w:rsid w:val="004D7491"/>
    <w:rsid w:val="004D783F"/>
    <w:rsid w:val="004D7938"/>
    <w:rsid w:val="004D7ABE"/>
    <w:rsid w:val="004D7AD1"/>
    <w:rsid w:val="004E0552"/>
    <w:rsid w:val="004E09DE"/>
    <w:rsid w:val="004E0A3F"/>
    <w:rsid w:val="004E0A9D"/>
    <w:rsid w:val="004E0C07"/>
    <w:rsid w:val="004E0C52"/>
    <w:rsid w:val="004E0D61"/>
    <w:rsid w:val="004E0DA2"/>
    <w:rsid w:val="004E1272"/>
    <w:rsid w:val="004E1333"/>
    <w:rsid w:val="004E14C8"/>
    <w:rsid w:val="004E14FC"/>
    <w:rsid w:val="004E160C"/>
    <w:rsid w:val="004E1779"/>
    <w:rsid w:val="004E1786"/>
    <w:rsid w:val="004E18A6"/>
    <w:rsid w:val="004E191E"/>
    <w:rsid w:val="004E1921"/>
    <w:rsid w:val="004E1938"/>
    <w:rsid w:val="004E19CE"/>
    <w:rsid w:val="004E19EA"/>
    <w:rsid w:val="004E1CE4"/>
    <w:rsid w:val="004E1DB0"/>
    <w:rsid w:val="004E1E81"/>
    <w:rsid w:val="004E20D7"/>
    <w:rsid w:val="004E2173"/>
    <w:rsid w:val="004E22BD"/>
    <w:rsid w:val="004E26E0"/>
    <w:rsid w:val="004E272D"/>
    <w:rsid w:val="004E29D5"/>
    <w:rsid w:val="004E2A38"/>
    <w:rsid w:val="004E2B3A"/>
    <w:rsid w:val="004E2BF9"/>
    <w:rsid w:val="004E2DCC"/>
    <w:rsid w:val="004E2F3D"/>
    <w:rsid w:val="004E2FC6"/>
    <w:rsid w:val="004E31DA"/>
    <w:rsid w:val="004E3312"/>
    <w:rsid w:val="004E35FA"/>
    <w:rsid w:val="004E3629"/>
    <w:rsid w:val="004E365E"/>
    <w:rsid w:val="004E3809"/>
    <w:rsid w:val="004E38F1"/>
    <w:rsid w:val="004E3CE3"/>
    <w:rsid w:val="004E3D50"/>
    <w:rsid w:val="004E3E36"/>
    <w:rsid w:val="004E4028"/>
    <w:rsid w:val="004E4183"/>
    <w:rsid w:val="004E4202"/>
    <w:rsid w:val="004E4404"/>
    <w:rsid w:val="004E4650"/>
    <w:rsid w:val="004E48B2"/>
    <w:rsid w:val="004E4BDD"/>
    <w:rsid w:val="004E4E79"/>
    <w:rsid w:val="004E4F55"/>
    <w:rsid w:val="004E5041"/>
    <w:rsid w:val="004E5183"/>
    <w:rsid w:val="004E57BA"/>
    <w:rsid w:val="004E57C4"/>
    <w:rsid w:val="004E57EE"/>
    <w:rsid w:val="004E5891"/>
    <w:rsid w:val="004E58B4"/>
    <w:rsid w:val="004E5915"/>
    <w:rsid w:val="004E59C0"/>
    <w:rsid w:val="004E5B16"/>
    <w:rsid w:val="004E5C02"/>
    <w:rsid w:val="004E5C05"/>
    <w:rsid w:val="004E6095"/>
    <w:rsid w:val="004E622C"/>
    <w:rsid w:val="004E6527"/>
    <w:rsid w:val="004E66D7"/>
    <w:rsid w:val="004E67FE"/>
    <w:rsid w:val="004E6B95"/>
    <w:rsid w:val="004E6C97"/>
    <w:rsid w:val="004E6CF2"/>
    <w:rsid w:val="004E71CC"/>
    <w:rsid w:val="004E748D"/>
    <w:rsid w:val="004E75F4"/>
    <w:rsid w:val="004F0147"/>
    <w:rsid w:val="004F03F2"/>
    <w:rsid w:val="004F0454"/>
    <w:rsid w:val="004F0BC6"/>
    <w:rsid w:val="004F0C2E"/>
    <w:rsid w:val="004F0CFB"/>
    <w:rsid w:val="004F0F13"/>
    <w:rsid w:val="004F0F9A"/>
    <w:rsid w:val="004F1034"/>
    <w:rsid w:val="004F10FD"/>
    <w:rsid w:val="004F1377"/>
    <w:rsid w:val="004F152B"/>
    <w:rsid w:val="004F157A"/>
    <w:rsid w:val="004F171A"/>
    <w:rsid w:val="004F17A9"/>
    <w:rsid w:val="004F1888"/>
    <w:rsid w:val="004F18AF"/>
    <w:rsid w:val="004F1A7A"/>
    <w:rsid w:val="004F1AFC"/>
    <w:rsid w:val="004F1C83"/>
    <w:rsid w:val="004F1F2E"/>
    <w:rsid w:val="004F1FCF"/>
    <w:rsid w:val="004F21CA"/>
    <w:rsid w:val="004F21DC"/>
    <w:rsid w:val="004F2239"/>
    <w:rsid w:val="004F25B9"/>
    <w:rsid w:val="004F25C4"/>
    <w:rsid w:val="004F276F"/>
    <w:rsid w:val="004F27DE"/>
    <w:rsid w:val="004F27ED"/>
    <w:rsid w:val="004F2828"/>
    <w:rsid w:val="004F2DC6"/>
    <w:rsid w:val="004F3309"/>
    <w:rsid w:val="004F33F9"/>
    <w:rsid w:val="004F34BD"/>
    <w:rsid w:val="004F356C"/>
    <w:rsid w:val="004F35FC"/>
    <w:rsid w:val="004F37BD"/>
    <w:rsid w:val="004F397C"/>
    <w:rsid w:val="004F3A59"/>
    <w:rsid w:val="004F3BBE"/>
    <w:rsid w:val="004F3C00"/>
    <w:rsid w:val="004F3FDF"/>
    <w:rsid w:val="004F4169"/>
    <w:rsid w:val="004F41B6"/>
    <w:rsid w:val="004F4318"/>
    <w:rsid w:val="004F433A"/>
    <w:rsid w:val="004F44B6"/>
    <w:rsid w:val="004F453E"/>
    <w:rsid w:val="004F46AA"/>
    <w:rsid w:val="004F46B1"/>
    <w:rsid w:val="004F46B8"/>
    <w:rsid w:val="004F46CE"/>
    <w:rsid w:val="004F46DD"/>
    <w:rsid w:val="004F474B"/>
    <w:rsid w:val="004F48CC"/>
    <w:rsid w:val="004F48D1"/>
    <w:rsid w:val="004F4AA6"/>
    <w:rsid w:val="004F4C96"/>
    <w:rsid w:val="004F5015"/>
    <w:rsid w:val="004F520E"/>
    <w:rsid w:val="004F5230"/>
    <w:rsid w:val="004F5246"/>
    <w:rsid w:val="004F5571"/>
    <w:rsid w:val="004F55A4"/>
    <w:rsid w:val="004F55B9"/>
    <w:rsid w:val="004F56CA"/>
    <w:rsid w:val="004F5AAF"/>
    <w:rsid w:val="004F5C2C"/>
    <w:rsid w:val="004F6116"/>
    <w:rsid w:val="004F61AD"/>
    <w:rsid w:val="004F64D6"/>
    <w:rsid w:val="004F6743"/>
    <w:rsid w:val="004F6787"/>
    <w:rsid w:val="004F688B"/>
    <w:rsid w:val="004F694D"/>
    <w:rsid w:val="004F6C52"/>
    <w:rsid w:val="004F6DCF"/>
    <w:rsid w:val="004F7058"/>
    <w:rsid w:val="004F716B"/>
    <w:rsid w:val="004F71C7"/>
    <w:rsid w:val="004F73E8"/>
    <w:rsid w:val="004F74B9"/>
    <w:rsid w:val="004F75B8"/>
    <w:rsid w:val="004F7631"/>
    <w:rsid w:val="004F76C6"/>
    <w:rsid w:val="004F76FD"/>
    <w:rsid w:val="004F78AF"/>
    <w:rsid w:val="004F7C26"/>
    <w:rsid w:val="004F7E12"/>
    <w:rsid w:val="004F7F1F"/>
    <w:rsid w:val="0050012D"/>
    <w:rsid w:val="0050027F"/>
    <w:rsid w:val="00500317"/>
    <w:rsid w:val="00500322"/>
    <w:rsid w:val="005006AF"/>
    <w:rsid w:val="005006DA"/>
    <w:rsid w:val="005007E0"/>
    <w:rsid w:val="005008D1"/>
    <w:rsid w:val="00500A33"/>
    <w:rsid w:val="00500A43"/>
    <w:rsid w:val="00500E85"/>
    <w:rsid w:val="00500EAC"/>
    <w:rsid w:val="0050111A"/>
    <w:rsid w:val="00501182"/>
    <w:rsid w:val="0050125D"/>
    <w:rsid w:val="005012AE"/>
    <w:rsid w:val="005012E2"/>
    <w:rsid w:val="0050145A"/>
    <w:rsid w:val="00501705"/>
    <w:rsid w:val="005017A1"/>
    <w:rsid w:val="00501807"/>
    <w:rsid w:val="0050183B"/>
    <w:rsid w:val="00501896"/>
    <w:rsid w:val="00501A82"/>
    <w:rsid w:val="00501B13"/>
    <w:rsid w:val="00501BD2"/>
    <w:rsid w:val="00501C20"/>
    <w:rsid w:val="00501D77"/>
    <w:rsid w:val="00501D83"/>
    <w:rsid w:val="00501EF3"/>
    <w:rsid w:val="00501F0D"/>
    <w:rsid w:val="00502078"/>
    <w:rsid w:val="00502731"/>
    <w:rsid w:val="00502823"/>
    <w:rsid w:val="00502844"/>
    <w:rsid w:val="00502AA2"/>
    <w:rsid w:val="00502ABA"/>
    <w:rsid w:val="00502BA2"/>
    <w:rsid w:val="00502BB3"/>
    <w:rsid w:val="00502F78"/>
    <w:rsid w:val="005030AD"/>
    <w:rsid w:val="005032D2"/>
    <w:rsid w:val="00503496"/>
    <w:rsid w:val="00503582"/>
    <w:rsid w:val="0050359A"/>
    <w:rsid w:val="0050367B"/>
    <w:rsid w:val="005037D1"/>
    <w:rsid w:val="00503A55"/>
    <w:rsid w:val="00503BD8"/>
    <w:rsid w:val="00503C75"/>
    <w:rsid w:val="00503D36"/>
    <w:rsid w:val="005040A1"/>
    <w:rsid w:val="005041E9"/>
    <w:rsid w:val="00504244"/>
    <w:rsid w:val="0050436D"/>
    <w:rsid w:val="0050436E"/>
    <w:rsid w:val="005045C1"/>
    <w:rsid w:val="00504935"/>
    <w:rsid w:val="00504997"/>
    <w:rsid w:val="00504A95"/>
    <w:rsid w:val="00504AE2"/>
    <w:rsid w:val="00504D49"/>
    <w:rsid w:val="00504DAB"/>
    <w:rsid w:val="0050503F"/>
    <w:rsid w:val="00505069"/>
    <w:rsid w:val="00505113"/>
    <w:rsid w:val="00505114"/>
    <w:rsid w:val="00505514"/>
    <w:rsid w:val="00505616"/>
    <w:rsid w:val="00505F0B"/>
    <w:rsid w:val="00505FD2"/>
    <w:rsid w:val="005062B0"/>
    <w:rsid w:val="005063C1"/>
    <w:rsid w:val="0050642A"/>
    <w:rsid w:val="00506565"/>
    <w:rsid w:val="0050668B"/>
    <w:rsid w:val="00506768"/>
    <w:rsid w:val="005067B0"/>
    <w:rsid w:val="00506848"/>
    <w:rsid w:val="00506BB6"/>
    <w:rsid w:val="00507039"/>
    <w:rsid w:val="0050718F"/>
    <w:rsid w:val="00507230"/>
    <w:rsid w:val="005072F0"/>
    <w:rsid w:val="0050753C"/>
    <w:rsid w:val="005075BF"/>
    <w:rsid w:val="00507663"/>
    <w:rsid w:val="00507832"/>
    <w:rsid w:val="0050784D"/>
    <w:rsid w:val="0050791A"/>
    <w:rsid w:val="00507A2E"/>
    <w:rsid w:val="00507BB0"/>
    <w:rsid w:val="00507C5C"/>
    <w:rsid w:val="00507C92"/>
    <w:rsid w:val="00507D92"/>
    <w:rsid w:val="00507E2B"/>
    <w:rsid w:val="00507ED6"/>
    <w:rsid w:val="00510068"/>
    <w:rsid w:val="0051008C"/>
    <w:rsid w:val="00510096"/>
    <w:rsid w:val="005102A6"/>
    <w:rsid w:val="00510674"/>
    <w:rsid w:val="0051071A"/>
    <w:rsid w:val="00510A2D"/>
    <w:rsid w:val="00510C3D"/>
    <w:rsid w:val="00510C81"/>
    <w:rsid w:val="00510C82"/>
    <w:rsid w:val="00510D6F"/>
    <w:rsid w:val="00510F27"/>
    <w:rsid w:val="00510FD9"/>
    <w:rsid w:val="005110AB"/>
    <w:rsid w:val="00511125"/>
    <w:rsid w:val="005111BF"/>
    <w:rsid w:val="005113D5"/>
    <w:rsid w:val="00511578"/>
    <w:rsid w:val="005115EC"/>
    <w:rsid w:val="00511654"/>
    <w:rsid w:val="00511693"/>
    <w:rsid w:val="005118ED"/>
    <w:rsid w:val="005119A4"/>
    <w:rsid w:val="005119B0"/>
    <w:rsid w:val="00511FC0"/>
    <w:rsid w:val="00512097"/>
    <w:rsid w:val="00512201"/>
    <w:rsid w:val="005122A9"/>
    <w:rsid w:val="005123B4"/>
    <w:rsid w:val="00512685"/>
    <w:rsid w:val="0051286E"/>
    <w:rsid w:val="00512A6D"/>
    <w:rsid w:val="00512B1A"/>
    <w:rsid w:val="00512CCD"/>
    <w:rsid w:val="00512F56"/>
    <w:rsid w:val="0051307D"/>
    <w:rsid w:val="0051362E"/>
    <w:rsid w:val="00513915"/>
    <w:rsid w:val="00513972"/>
    <w:rsid w:val="00513AC2"/>
    <w:rsid w:val="00513CB9"/>
    <w:rsid w:val="00513D3D"/>
    <w:rsid w:val="00513DD0"/>
    <w:rsid w:val="00513E6C"/>
    <w:rsid w:val="00513E97"/>
    <w:rsid w:val="0051405E"/>
    <w:rsid w:val="005140DE"/>
    <w:rsid w:val="005140ED"/>
    <w:rsid w:val="005140F9"/>
    <w:rsid w:val="005141C7"/>
    <w:rsid w:val="005141E9"/>
    <w:rsid w:val="005142DB"/>
    <w:rsid w:val="0051464C"/>
    <w:rsid w:val="005148FE"/>
    <w:rsid w:val="005149A6"/>
    <w:rsid w:val="00514CCB"/>
    <w:rsid w:val="00514EAB"/>
    <w:rsid w:val="0051501B"/>
    <w:rsid w:val="00515132"/>
    <w:rsid w:val="0051518A"/>
    <w:rsid w:val="00515291"/>
    <w:rsid w:val="005155FE"/>
    <w:rsid w:val="00515C95"/>
    <w:rsid w:val="00515F2B"/>
    <w:rsid w:val="00515F87"/>
    <w:rsid w:val="0051601B"/>
    <w:rsid w:val="005164D4"/>
    <w:rsid w:val="00516729"/>
    <w:rsid w:val="00516AE3"/>
    <w:rsid w:val="00516DA0"/>
    <w:rsid w:val="00516E20"/>
    <w:rsid w:val="00516F0D"/>
    <w:rsid w:val="00517168"/>
    <w:rsid w:val="00517277"/>
    <w:rsid w:val="005173E7"/>
    <w:rsid w:val="0051748A"/>
    <w:rsid w:val="005175A0"/>
    <w:rsid w:val="005176AD"/>
    <w:rsid w:val="00517A80"/>
    <w:rsid w:val="00517C23"/>
    <w:rsid w:val="00517E9F"/>
    <w:rsid w:val="005201BC"/>
    <w:rsid w:val="005201D4"/>
    <w:rsid w:val="00520451"/>
    <w:rsid w:val="005205C7"/>
    <w:rsid w:val="005206A3"/>
    <w:rsid w:val="0052091B"/>
    <w:rsid w:val="00520AEF"/>
    <w:rsid w:val="00520C5D"/>
    <w:rsid w:val="00520E51"/>
    <w:rsid w:val="00521033"/>
    <w:rsid w:val="005211FE"/>
    <w:rsid w:val="00521276"/>
    <w:rsid w:val="005216EF"/>
    <w:rsid w:val="00521945"/>
    <w:rsid w:val="00521B14"/>
    <w:rsid w:val="00521CC0"/>
    <w:rsid w:val="00521D18"/>
    <w:rsid w:val="00521E25"/>
    <w:rsid w:val="00521F43"/>
    <w:rsid w:val="0052229B"/>
    <w:rsid w:val="00522400"/>
    <w:rsid w:val="0052264A"/>
    <w:rsid w:val="00522A65"/>
    <w:rsid w:val="00522E56"/>
    <w:rsid w:val="00522F68"/>
    <w:rsid w:val="00523121"/>
    <w:rsid w:val="00523167"/>
    <w:rsid w:val="005233C9"/>
    <w:rsid w:val="005234EB"/>
    <w:rsid w:val="00523958"/>
    <w:rsid w:val="00523B5E"/>
    <w:rsid w:val="00523D64"/>
    <w:rsid w:val="00523F69"/>
    <w:rsid w:val="0052403E"/>
    <w:rsid w:val="00524062"/>
    <w:rsid w:val="00524280"/>
    <w:rsid w:val="00524413"/>
    <w:rsid w:val="0052465E"/>
    <w:rsid w:val="0052491F"/>
    <w:rsid w:val="00524934"/>
    <w:rsid w:val="0052507E"/>
    <w:rsid w:val="005251EF"/>
    <w:rsid w:val="0052525D"/>
    <w:rsid w:val="0052545B"/>
    <w:rsid w:val="00525507"/>
    <w:rsid w:val="005255B3"/>
    <w:rsid w:val="005256D4"/>
    <w:rsid w:val="00525966"/>
    <w:rsid w:val="00525D84"/>
    <w:rsid w:val="00525E18"/>
    <w:rsid w:val="00525E53"/>
    <w:rsid w:val="005260FD"/>
    <w:rsid w:val="00526132"/>
    <w:rsid w:val="0052629E"/>
    <w:rsid w:val="0052631E"/>
    <w:rsid w:val="005263D6"/>
    <w:rsid w:val="00526662"/>
    <w:rsid w:val="0052667A"/>
    <w:rsid w:val="0052672E"/>
    <w:rsid w:val="0052688A"/>
    <w:rsid w:val="00526B89"/>
    <w:rsid w:val="00526D20"/>
    <w:rsid w:val="00526DA9"/>
    <w:rsid w:val="00526E59"/>
    <w:rsid w:val="00526F05"/>
    <w:rsid w:val="0052715E"/>
    <w:rsid w:val="00527343"/>
    <w:rsid w:val="005273DB"/>
    <w:rsid w:val="00527471"/>
    <w:rsid w:val="005274E2"/>
    <w:rsid w:val="00527542"/>
    <w:rsid w:val="005279C8"/>
    <w:rsid w:val="00527A17"/>
    <w:rsid w:val="00527A5E"/>
    <w:rsid w:val="00527EC0"/>
    <w:rsid w:val="005301B1"/>
    <w:rsid w:val="00530A9B"/>
    <w:rsid w:val="00530B9E"/>
    <w:rsid w:val="00530D6C"/>
    <w:rsid w:val="00530E1A"/>
    <w:rsid w:val="00531306"/>
    <w:rsid w:val="00531359"/>
    <w:rsid w:val="0053144A"/>
    <w:rsid w:val="00531466"/>
    <w:rsid w:val="00531595"/>
    <w:rsid w:val="00531761"/>
    <w:rsid w:val="005317AF"/>
    <w:rsid w:val="00531990"/>
    <w:rsid w:val="00531A15"/>
    <w:rsid w:val="00531D7B"/>
    <w:rsid w:val="00531E32"/>
    <w:rsid w:val="00531F5D"/>
    <w:rsid w:val="0053203B"/>
    <w:rsid w:val="005320F0"/>
    <w:rsid w:val="005321D0"/>
    <w:rsid w:val="005321EE"/>
    <w:rsid w:val="0053241E"/>
    <w:rsid w:val="00532CC5"/>
    <w:rsid w:val="00532E10"/>
    <w:rsid w:val="00532E4F"/>
    <w:rsid w:val="00532EF4"/>
    <w:rsid w:val="00532FA6"/>
    <w:rsid w:val="00533257"/>
    <w:rsid w:val="0053329D"/>
    <w:rsid w:val="00533399"/>
    <w:rsid w:val="0053355F"/>
    <w:rsid w:val="00533706"/>
    <w:rsid w:val="005337A8"/>
    <w:rsid w:val="005339F4"/>
    <w:rsid w:val="00533BD4"/>
    <w:rsid w:val="00533C74"/>
    <w:rsid w:val="00533D8C"/>
    <w:rsid w:val="00533F56"/>
    <w:rsid w:val="00533FF8"/>
    <w:rsid w:val="00534148"/>
    <w:rsid w:val="005342D4"/>
    <w:rsid w:val="00534402"/>
    <w:rsid w:val="00534523"/>
    <w:rsid w:val="0053452A"/>
    <w:rsid w:val="005345AE"/>
    <w:rsid w:val="00534CAD"/>
    <w:rsid w:val="00534D5D"/>
    <w:rsid w:val="00534FC2"/>
    <w:rsid w:val="005352F9"/>
    <w:rsid w:val="005353BC"/>
    <w:rsid w:val="0053555F"/>
    <w:rsid w:val="0053556E"/>
    <w:rsid w:val="00535ABF"/>
    <w:rsid w:val="00535B59"/>
    <w:rsid w:val="00535E13"/>
    <w:rsid w:val="00535F89"/>
    <w:rsid w:val="005360F6"/>
    <w:rsid w:val="005361BF"/>
    <w:rsid w:val="005367C0"/>
    <w:rsid w:val="00536877"/>
    <w:rsid w:val="005368AB"/>
    <w:rsid w:val="005369C1"/>
    <w:rsid w:val="00536D92"/>
    <w:rsid w:val="00536F0C"/>
    <w:rsid w:val="00537082"/>
    <w:rsid w:val="0053710C"/>
    <w:rsid w:val="0053726F"/>
    <w:rsid w:val="005372EC"/>
    <w:rsid w:val="005373DA"/>
    <w:rsid w:val="00537657"/>
    <w:rsid w:val="00537BD2"/>
    <w:rsid w:val="00537D70"/>
    <w:rsid w:val="00540046"/>
    <w:rsid w:val="00540076"/>
    <w:rsid w:val="005400C8"/>
    <w:rsid w:val="005402F0"/>
    <w:rsid w:val="005403C0"/>
    <w:rsid w:val="0054046B"/>
    <w:rsid w:val="005404BB"/>
    <w:rsid w:val="00540932"/>
    <w:rsid w:val="005409B8"/>
    <w:rsid w:val="00540A1F"/>
    <w:rsid w:val="00540A90"/>
    <w:rsid w:val="00540E91"/>
    <w:rsid w:val="00540F05"/>
    <w:rsid w:val="00541261"/>
    <w:rsid w:val="00541336"/>
    <w:rsid w:val="00541399"/>
    <w:rsid w:val="00541498"/>
    <w:rsid w:val="00541504"/>
    <w:rsid w:val="0054151F"/>
    <w:rsid w:val="00541B6C"/>
    <w:rsid w:val="00541BDF"/>
    <w:rsid w:val="005422F4"/>
    <w:rsid w:val="005426DD"/>
    <w:rsid w:val="00542707"/>
    <w:rsid w:val="005430E7"/>
    <w:rsid w:val="00543197"/>
    <w:rsid w:val="005434B2"/>
    <w:rsid w:val="0054357F"/>
    <w:rsid w:val="0054374E"/>
    <w:rsid w:val="0054388D"/>
    <w:rsid w:val="00543B29"/>
    <w:rsid w:val="00543BB8"/>
    <w:rsid w:val="00543BFE"/>
    <w:rsid w:val="00543D0B"/>
    <w:rsid w:val="00543D3E"/>
    <w:rsid w:val="00543E44"/>
    <w:rsid w:val="00543EA3"/>
    <w:rsid w:val="00543EC8"/>
    <w:rsid w:val="00543F84"/>
    <w:rsid w:val="00543FDE"/>
    <w:rsid w:val="0054411E"/>
    <w:rsid w:val="00544470"/>
    <w:rsid w:val="005448CD"/>
    <w:rsid w:val="00544CE2"/>
    <w:rsid w:val="00544DF6"/>
    <w:rsid w:val="00544F8A"/>
    <w:rsid w:val="00544FF4"/>
    <w:rsid w:val="0054533E"/>
    <w:rsid w:val="0054547A"/>
    <w:rsid w:val="005457AE"/>
    <w:rsid w:val="00545805"/>
    <w:rsid w:val="005458F5"/>
    <w:rsid w:val="00545946"/>
    <w:rsid w:val="00545966"/>
    <w:rsid w:val="00545B79"/>
    <w:rsid w:val="00545D4D"/>
    <w:rsid w:val="00545D75"/>
    <w:rsid w:val="00545E1B"/>
    <w:rsid w:val="00545FA6"/>
    <w:rsid w:val="005460B8"/>
    <w:rsid w:val="005461B8"/>
    <w:rsid w:val="005461F6"/>
    <w:rsid w:val="0054624A"/>
    <w:rsid w:val="005463FE"/>
    <w:rsid w:val="00546402"/>
    <w:rsid w:val="0054646E"/>
    <w:rsid w:val="0054660E"/>
    <w:rsid w:val="0054673B"/>
    <w:rsid w:val="00546A16"/>
    <w:rsid w:val="00546B85"/>
    <w:rsid w:val="00546D23"/>
    <w:rsid w:val="00546D5D"/>
    <w:rsid w:val="00546DC7"/>
    <w:rsid w:val="00546E02"/>
    <w:rsid w:val="00546F71"/>
    <w:rsid w:val="00547024"/>
    <w:rsid w:val="005472CA"/>
    <w:rsid w:val="005472FF"/>
    <w:rsid w:val="0054756F"/>
    <w:rsid w:val="00547768"/>
    <w:rsid w:val="005477AB"/>
    <w:rsid w:val="0054785F"/>
    <w:rsid w:val="00547A89"/>
    <w:rsid w:val="00547D22"/>
    <w:rsid w:val="00547D65"/>
    <w:rsid w:val="00547D81"/>
    <w:rsid w:val="00547DA8"/>
    <w:rsid w:val="00550192"/>
    <w:rsid w:val="0055021D"/>
    <w:rsid w:val="00550712"/>
    <w:rsid w:val="005509AD"/>
    <w:rsid w:val="00550BA0"/>
    <w:rsid w:val="00550C65"/>
    <w:rsid w:val="00551310"/>
    <w:rsid w:val="00551884"/>
    <w:rsid w:val="005518B0"/>
    <w:rsid w:val="005519F9"/>
    <w:rsid w:val="00551CC8"/>
    <w:rsid w:val="00551E4F"/>
    <w:rsid w:val="00551F50"/>
    <w:rsid w:val="00551FCA"/>
    <w:rsid w:val="00552045"/>
    <w:rsid w:val="0055216B"/>
    <w:rsid w:val="005522EF"/>
    <w:rsid w:val="0055275B"/>
    <w:rsid w:val="00552C01"/>
    <w:rsid w:val="00552DEC"/>
    <w:rsid w:val="00552E77"/>
    <w:rsid w:val="0055315D"/>
    <w:rsid w:val="0055328E"/>
    <w:rsid w:val="005534DF"/>
    <w:rsid w:val="00553644"/>
    <w:rsid w:val="00553A56"/>
    <w:rsid w:val="00553B64"/>
    <w:rsid w:val="00553BF4"/>
    <w:rsid w:val="00553CE0"/>
    <w:rsid w:val="00553F4C"/>
    <w:rsid w:val="005542E2"/>
    <w:rsid w:val="00554398"/>
    <w:rsid w:val="005543D6"/>
    <w:rsid w:val="005543DD"/>
    <w:rsid w:val="005544A9"/>
    <w:rsid w:val="0055459E"/>
    <w:rsid w:val="0055468A"/>
    <w:rsid w:val="0055469C"/>
    <w:rsid w:val="00554871"/>
    <w:rsid w:val="00554879"/>
    <w:rsid w:val="00554C81"/>
    <w:rsid w:val="00554DCD"/>
    <w:rsid w:val="00554E8C"/>
    <w:rsid w:val="00554F41"/>
    <w:rsid w:val="0055538B"/>
    <w:rsid w:val="00555552"/>
    <w:rsid w:val="005555C0"/>
    <w:rsid w:val="00555A10"/>
    <w:rsid w:val="00555B86"/>
    <w:rsid w:val="00555C3C"/>
    <w:rsid w:val="00555C80"/>
    <w:rsid w:val="00555D6B"/>
    <w:rsid w:val="00555EA3"/>
    <w:rsid w:val="00556024"/>
    <w:rsid w:val="005562FE"/>
    <w:rsid w:val="00556442"/>
    <w:rsid w:val="00556448"/>
    <w:rsid w:val="00556691"/>
    <w:rsid w:val="0055689A"/>
    <w:rsid w:val="005569A3"/>
    <w:rsid w:val="00556B51"/>
    <w:rsid w:val="00556D02"/>
    <w:rsid w:val="00556DD4"/>
    <w:rsid w:val="00556E50"/>
    <w:rsid w:val="00556F24"/>
    <w:rsid w:val="005570B5"/>
    <w:rsid w:val="00557104"/>
    <w:rsid w:val="00557219"/>
    <w:rsid w:val="0055742D"/>
    <w:rsid w:val="00557491"/>
    <w:rsid w:val="005577C1"/>
    <w:rsid w:val="005578FF"/>
    <w:rsid w:val="00557995"/>
    <w:rsid w:val="00557A10"/>
    <w:rsid w:val="00557FD2"/>
    <w:rsid w:val="0056016E"/>
    <w:rsid w:val="0056022A"/>
    <w:rsid w:val="00560258"/>
    <w:rsid w:val="0056048F"/>
    <w:rsid w:val="00560649"/>
    <w:rsid w:val="005607C6"/>
    <w:rsid w:val="005608D0"/>
    <w:rsid w:val="00560B7C"/>
    <w:rsid w:val="00560F3C"/>
    <w:rsid w:val="00560F86"/>
    <w:rsid w:val="00560FBE"/>
    <w:rsid w:val="005610E4"/>
    <w:rsid w:val="0056122D"/>
    <w:rsid w:val="0056125F"/>
    <w:rsid w:val="00561326"/>
    <w:rsid w:val="005613B8"/>
    <w:rsid w:val="00561516"/>
    <w:rsid w:val="0056177D"/>
    <w:rsid w:val="00561A06"/>
    <w:rsid w:val="00561B8F"/>
    <w:rsid w:val="00561CE0"/>
    <w:rsid w:val="00561D82"/>
    <w:rsid w:val="00561F73"/>
    <w:rsid w:val="00562284"/>
    <w:rsid w:val="00562606"/>
    <w:rsid w:val="00562AC1"/>
    <w:rsid w:val="00562AD5"/>
    <w:rsid w:val="00562CE8"/>
    <w:rsid w:val="00562F28"/>
    <w:rsid w:val="005631EF"/>
    <w:rsid w:val="0056329F"/>
    <w:rsid w:val="005633A7"/>
    <w:rsid w:val="005633BC"/>
    <w:rsid w:val="00563560"/>
    <w:rsid w:val="005636B4"/>
    <w:rsid w:val="00563845"/>
    <w:rsid w:val="00563B72"/>
    <w:rsid w:val="00563E5F"/>
    <w:rsid w:val="00563F2E"/>
    <w:rsid w:val="00563FE9"/>
    <w:rsid w:val="0056406F"/>
    <w:rsid w:val="00564228"/>
    <w:rsid w:val="0056430A"/>
    <w:rsid w:val="00564398"/>
    <w:rsid w:val="005644F5"/>
    <w:rsid w:val="00564E36"/>
    <w:rsid w:val="00564F23"/>
    <w:rsid w:val="005651BA"/>
    <w:rsid w:val="0056539B"/>
    <w:rsid w:val="005654F1"/>
    <w:rsid w:val="005655F3"/>
    <w:rsid w:val="0056565C"/>
    <w:rsid w:val="0056572F"/>
    <w:rsid w:val="0056580B"/>
    <w:rsid w:val="005659F5"/>
    <w:rsid w:val="00565AC7"/>
    <w:rsid w:val="00565B02"/>
    <w:rsid w:val="00565BB0"/>
    <w:rsid w:val="00566026"/>
    <w:rsid w:val="005665AA"/>
    <w:rsid w:val="005665B0"/>
    <w:rsid w:val="005666D6"/>
    <w:rsid w:val="00566AD1"/>
    <w:rsid w:val="005670D0"/>
    <w:rsid w:val="00567180"/>
    <w:rsid w:val="00567565"/>
    <w:rsid w:val="00567639"/>
    <w:rsid w:val="005676B5"/>
    <w:rsid w:val="005676BD"/>
    <w:rsid w:val="005677AC"/>
    <w:rsid w:val="005678F7"/>
    <w:rsid w:val="005679C2"/>
    <w:rsid w:val="00567CB5"/>
    <w:rsid w:val="00567CCD"/>
    <w:rsid w:val="0057017F"/>
    <w:rsid w:val="005701B6"/>
    <w:rsid w:val="005702BA"/>
    <w:rsid w:val="00570321"/>
    <w:rsid w:val="00570422"/>
    <w:rsid w:val="0057054C"/>
    <w:rsid w:val="00570590"/>
    <w:rsid w:val="005705AE"/>
    <w:rsid w:val="00570756"/>
    <w:rsid w:val="00570B3F"/>
    <w:rsid w:val="00570B69"/>
    <w:rsid w:val="00570B71"/>
    <w:rsid w:val="00570DC9"/>
    <w:rsid w:val="00570FE8"/>
    <w:rsid w:val="0057116E"/>
    <w:rsid w:val="005712C8"/>
    <w:rsid w:val="0057138D"/>
    <w:rsid w:val="005717BA"/>
    <w:rsid w:val="005718E1"/>
    <w:rsid w:val="0057193B"/>
    <w:rsid w:val="005719DE"/>
    <w:rsid w:val="00571AC4"/>
    <w:rsid w:val="00571E41"/>
    <w:rsid w:val="00572010"/>
    <w:rsid w:val="00572212"/>
    <w:rsid w:val="005723A9"/>
    <w:rsid w:val="0057248A"/>
    <w:rsid w:val="005725DA"/>
    <w:rsid w:val="00572745"/>
    <w:rsid w:val="00572883"/>
    <w:rsid w:val="005729EA"/>
    <w:rsid w:val="00572A44"/>
    <w:rsid w:val="00572CCD"/>
    <w:rsid w:val="00572DD9"/>
    <w:rsid w:val="00572EF2"/>
    <w:rsid w:val="00573192"/>
    <w:rsid w:val="00573278"/>
    <w:rsid w:val="005732B6"/>
    <w:rsid w:val="0057335C"/>
    <w:rsid w:val="00573479"/>
    <w:rsid w:val="0057368F"/>
    <w:rsid w:val="005738B2"/>
    <w:rsid w:val="00573A74"/>
    <w:rsid w:val="00573AD3"/>
    <w:rsid w:val="00573D16"/>
    <w:rsid w:val="005740F4"/>
    <w:rsid w:val="005743D3"/>
    <w:rsid w:val="00574591"/>
    <w:rsid w:val="00574592"/>
    <w:rsid w:val="005745D9"/>
    <w:rsid w:val="00574705"/>
    <w:rsid w:val="0057480C"/>
    <w:rsid w:val="0057497F"/>
    <w:rsid w:val="005749C6"/>
    <w:rsid w:val="00574C2E"/>
    <w:rsid w:val="00574F28"/>
    <w:rsid w:val="0057524A"/>
    <w:rsid w:val="00575A18"/>
    <w:rsid w:val="00575A59"/>
    <w:rsid w:val="00575C00"/>
    <w:rsid w:val="00575FC5"/>
    <w:rsid w:val="00575FFC"/>
    <w:rsid w:val="00576015"/>
    <w:rsid w:val="00576446"/>
    <w:rsid w:val="00576510"/>
    <w:rsid w:val="005766CF"/>
    <w:rsid w:val="00576785"/>
    <w:rsid w:val="00576D8D"/>
    <w:rsid w:val="00576DB0"/>
    <w:rsid w:val="00576EF4"/>
    <w:rsid w:val="0057713C"/>
    <w:rsid w:val="005775D3"/>
    <w:rsid w:val="005776A2"/>
    <w:rsid w:val="0057785F"/>
    <w:rsid w:val="005778D4"/>
    <w:rsid w:val="00577978"/>
    <w:rsid w:val="005779DD"/>
    <w:rsid w:val="00577C21"/>
    <w:rsid w:val="00577C42"/>
    <w:rsid w:val="00577C95"/>
    <w:rsid w:val="00577EFC"/>
    <w:rsid w:val="00577F65"/>
    <w:rsid w:val="005800AC"/>
    <w:rsid w:val="005801AB"/>
    <w:rsid w:val="005801DD"/>
    <w:rsid w:val="005802F2"/>
    <w:rsid w:val="00580385"/>
    <w:rsid w:val="005803DE"/>
    <w:rsid w:val="0058041A"/>
    <w:rsid w:val="00580618"/>
    <w:rsid w:val="00580751"/>
    <w:rsid w:val="00580858"/>
    <w:rsid w:val="00580886"/>
    <w:rsid w:val="00580982"/>
    <w:rsid w:val="00580A3E"/>
    <w:rsid w:val="00580B25"/>
    <w:rsid w:val="00580C9F"/>
    <w:rsid w:val="00580FCE"/>
    <w:rsid w:val="00581103"/>
    <w:rsid w:val="0058116C"/>
    <w:rsid w:val="005813AD"/>
    <w:rsid w:val="0058143A"/>
    <w:rsid w:val="0058149A"/>
    <w:rsid w:val="00581692"/>
    <w:rsid w:val="00581840"/>
    <w:rsid w:val="00581892"/>
    <w:rsid w:val="00581967"/>
    <w:rsid w:val="00581976"/>
    <w:rsid w:val="0058198D"/>
    <w:rsid w:val="00581AAF"/>
    <w:rsid w:val="00581AE7"/>
    <w:rsid w:val="005823EB"/>
    <w:rsid w:val="005824D5"/>
    <w:rsid w:val="00582832"/>
    <w:rsid w:val="00582AAA"/>
    <w:rsid w:val="00582C40"/>
    <w:rsid w:val="00582C41"/>
    <w:rsid w:val="00582C69"/>
    <w:rsid w:val="00582DED"/>
    <w:rsid w:val="00582FC5"/>
    <w:rsid w:val="00582FF2"/>
    <w:rsid w:val="00583463"/>
    <w:rsid w:val="00583C9D"/>
    <w:rsid w:val="00583DD2"/>
    <w:rsid w:val="00583E42"/>
    <w:rsid w:val="00583E96"/>
    <w:rsid w:val="00583ECE"/>
    <w:rsid w:val="00584394"/>
    <w:rsid w:val="005844BE"/>
    <w:rsid w:val="005844C3"/>
    <w:rsid w:val="005845BA"/>
    <w:rsid w:val="005845E8"/>
    <w:rsid w:val="00584660"/>
    <w:rsid w:val="005847C2"/>
    <w:rsid w:val="00584832"/>
    <w:rsid w:val="00584971"/>
    <w:rsid w:val="00584C26"/>
    <w:rsid w:val="00584D04"/>
    <w:rsid w:val="00585212"/>
    <w:rsid w:val="00585520"/>
    <w:rsid w:val="00585741"/>
    <w:rsid w:val="005857A4"/>
    <w:rsid w:val="00585820"/>
    <w:rsid w:val="00585972"/>
    <w:rsid w:val="00586510"/>
    <w:rsid w:val="005865F9"/>
    <w:rsid w:val="0058676D"/>
    <w:rsid w:val="005867E7"/>
    <w:rsid w:val="00586B12"/>
    <w:rsid w:val="00586C7B"/>
    <w:rsid w:val="00586CF2"/>
    <w:rsid w:val="00586E9C"/>
    <w:rsid w:val="00586F63"/>
    <w:rsid w:val="0058730A"/>
    <w:rsid w:val="00587317"/>
    <w:rsid w:val="005873E1"/>
    <w:rsid w:val="00587552"/>
    <w:rsid w:val="0058760B"/>
    <w:rsid w:val="00587770"/>
    <w:rsid w:val="00587778"/>
    <w:rsid w:val="00587831"/>
    <w:rsid w:val="0058793B"/>
    <w:rsid w:val="00587CFF"/>
    <w:rsid w:val="00587DD6"/>
    <w:rsid w:val="00587F61"/>
    <w:rsid w:val="005900EB"/>
    <w:rsid w:val="00590490"/>
    <w:rsid w:val="00590584"/>
    <w:rsid w:val="00590625"/>
    <w:rsid w:val="00590852"/>
    <w:rsid w:val="00590A8A"/>
    <w:rsid w:val="00590AAF"/>
    <w:rsid w:val="00590E63"/>
    <w:rsid w:val="00590E82"/>
    <w:rsid w:val="00591050"/>
    <w:rsid w:val="00591298"/>
    <w:rsid w:val="0059133A"/>
    <w:rsid w:val="005918C3"/>
    <w:rsid w:val="00591BCE"/>
    <w:rsid w:val="00591E3C"/>
    <w:rsid w:val="00591E4F"/>
    <w:rsid w:val="0059241A"/>
    <w:rsid w:val="0059241D"/>
    <w:rsid w:val="005925CB"/>
    <w:rsid w:val="00592656"/>
    <w:rsid w:val="0059271E"/>
    <w:rsid w:val="00592DC3"/>
    <w:rsid w:val="00593863"/>
    <w:rsid w:val="0059391B"/>
    <w:rsid w:val="00593984"/>
    <w:rsid w:val="00593B9D"/>
    <w:rsid w:val="00593DE4"/>
    <w:rsid w:val="0059403D"/>
    <w:rsid w:val="00594109"/>
    <w:rsid w:val="00594318"/>
    <w:rsid w:val="00594323"/>
    <w:rsid w:val="005943FF"/>
    <w:rsid w:val="00594463"/>
    <w:rsid w:val="00594490"/>
    <w:rsid w:val="005944E2"/>
    <w:rsid w:val="005945B5"/>
    <w:rsid w:val="00594693"/>
    <w:rsid w:val="00594780"/>
    <w:rsid w:val="005949A5"/>
    <w:rsid w:val="00594A22"/>
    <w:rsid w:val="00595007"/>
    <w:rsid w:val="0059521E"/>
    <w:rsid w:val="00595486"/>
    <w:rsid w:val="00595527"/>
    <w:rsid w:val="00595573"/>
    <w:rsid w:val="005955D3"/>
    <w:rsid w:val="00595600"/>
    <w:rsid w:val="0059577E"/>
    <w:rsid w:val="00595A88"/>
    <w:rsid w:val="00595ACB"/>
    <w:rsid w:val="0059608B"/>
    <w:rsid w:val="00596417"/>
    <w:rsid w:val="005964DF"/>
    <w:rsid w:val="005964F6"/>
    <w:rsid w:val="0059673D"/>
    <w:rsid w:val="0059680C"/>
    <w:rsid w:val="00596A95"/>
    <w:rsid w:val="00596AE2"/>
    <w:rsid w:val="00596BD2"/>
    <w:rsid w:val="00596D08"/>
    <w:rsid w:val="00596F6E"/>
    <w:rsid w:val="005970AC"/>
    <w:rsid w:val="005972FC"/>
    <w:rsid w:val="00597555"/>
    <w:rsid w:val="005975D0"/>
    <w:rsid w:val="00597609"/>
    <w:rsid w:val="0059788E"/>
    <w:rsid w:val="00597CCA"/>
    <w:rsid w:val="00597F6F"/>
    <w:rsid w:val="00597F85"/>
    <w:rsid w:val="005A02F8"/>
    <w:rsid w:val="005A043E"/>
    <w:rsid w:val="005A0475"/>
    <w:rsid w:val="005A0504"/>
    <w:rsid w:val="005A051A"/>
    <w:rsid w:val="005A0566"/>
    <w:rsid w:val="005A07D5"/>
    <w:rsid w:val="005A08A6"/>
    <w:rsid w:val="005A0B2D"/>
    <w:rsid w:val="005A0B40"/>
    <w:rsid w:val="005A0B94"/>
    <w:rsid w:val="005A0C9F"/>
    <w:rsid w:val="005A0D53"/>
    <w:rsid w:val="005A0DE7"/>
    <w:rsid w:val="005A0DED"/>
    <w:rsid w:val="005A0E9D"/>
    <w:rsid w:val="005A0F06"/>
    <w:rsid w:val="005A0F6D"/>
    <w:rsid w:val="005A105C"/>
    <w:rsid w:val="005A14B8"/>
    <w:rsid w:val="005A194A"/>
    <w:rsid w:val="005A1A7D"/>
    <w:rsid w:val="005A1E8F"/>
    <w:rsid w:val="005A1F04"/>
    <w:rsid w:val="005A2044"/>
    <w:rsid w:val="005A20A6"/>
    <w:rsid w:val="005A21FF"/>
    <w:rsid w:val="005A22B3"/>
    <w:rsid w:val="005A22D1"/>
    <w:rsid w:val="005A2343"/>
    <w:rsid w:val="005A248A"/>
    <w:rsid w:val="005A25BC"/>
    <w:rsid w:val="005A28FC"/>
    <w:rsid w:val="005A2995"/>
    <w:rsid w:val="005A2AED"/>
    <w:rsid w:val="005A2B50"/>
    <w:rsid w:val="005A2DF6"/>
    <w:rsid w:val="005A2EDA"/>
    <w:rsid w:val="005A2F12"/>
    <w:rsid w:val="005A2FC5"/>
    <w:rsid w:val="005A322C"/>
    <w:rsid w:val="005A332A"/>
    <w:rsid w:val="005A3363"/>
    <w:rsid w:val="005A33AB"/>
    <w:rsid w:val="005A33DD"/>
    <w:rsid w:val="005A3574"/>
    <w:rsid w:val="005A3946"/>
    <w:rsid w:val="005A3997"/>
    <w:rsid w:val="005A3CAE"/>
    <w:rsid w:val="005A3D55"/>
    <w:rsid w:val="005A3D96"/>
    <w:rsid w:val="005A403A"/>
    <w:rsid w:val="005A434A"/>
    <w:rsid w:val="005A43A4"/>
    <w:rsid w:val="005A447D"/>
    <w:rsid w:val="005A4914"/>
    <w:rsid w:val="005A4AB9"/>
    <w:rsid w:val="005A4BB5"/>
    <w:rsid w:val="005A4FCA"/>
    <w:rsid w:val="005A5292"/>
    <w:rsid w:val="005A533E"/>
    <w:rsid w:val="005A5AB6"/>
    <w:rsid w:val="005A5B2D"/>
    <w:rsid w:val="005A5E06"/>
    <w:rsid w:val="005A5E5D"/>
    <w:rsid w:val="005A5F15"/>
    <w:rsid w:val="005A642C"/>
    <w:rsid w:val="005A6539"/>
    <w:rsid w:val="005A66C8"/>
    <w:rsid w:val="005A68A2"/>
    <w:rsid w:val="005A696C"/>
    <w:rsid w:val="005A6B4E"/>
    <w:rsid w:val="005A6C5B"/>
    <w:rsid w:val="005A6D9C"/>
    <w:rsid w:val="005A6F5E"/>
    <w:rsid w:val="005A731E"/>
    <w:rsid w:val="005A76B0"/>
    <w:rsid w:val="005A77A6"/>
    <w:rsid w:val="005A796B"/>
    <w:rsid w:val="005A79F1"/>
    <w:rsid w:val="005A7B37"/>
    <w:rsid w:val="005A7C01"/>
    <w:rsid w:val="005B0216"/>
    <w:rsid w:val="005B0225"/>
    <w:rsid w:val="005B03C3"/>
    <w:rsid w:val="005B0427"/>
    <w:rsid w:val="005B0556"/>
    <w:rsid w:val="005B060E"/>
    <w:rsid w:val="005B09E2"/>
    <w:rsid w:val="005B0AB0"/>
    <w:rsid w:val="005B0AF3"/>
    <w:rsid w:val="005B0B90"/>
    <w:rsid w:val="005B0DDB"/>
    <w:rsid w:val="005B0E24"/>
    <w:rsid w:val="005B107A"/>
    <w:rsid w:val="005B1111"/>
    <w:rsid w:val="005B1206"/>
    <w:rsid w:val="005B15AF"/>
    <w:rsid w:val="005B171A"/>
    <w:rsid w:val="005B179D"/>
    <w:rsid w:val="005B184E"/>
    <w:rsid w:val="005B194A"/>
    <w:rsid w:val="005B1961"/>
    <w:rsid w:val="005B1A02"/>
    <w:rsid w:val="005B1A99"/>
    <w:rsid w:val="005B1B2B"/>
    <w:rsid w:val="005B1F38"/>
    <w:rsid w:val="005B1F4F"/>
    <w:rsid w:val="005B1F6F"/>
    <w:rsid w:val="005B241C"/>
    <w:rsid w:val="005B2525"/>
    <w:rsid w:val="005B258A"/>
    <w:rsid w:val="005B27D0"/>
    <w:rsid w:val="005B294A"/>
    <w:rsid w:val="005B29F8"/>
    <w:rsid w:val="005B2A5F"/>
    <w:rsid w:val="005B2AAB"/>
    <w:rsid w:val="005B2BBC"/>
    <w:rsid w:val="005B2C79"/>
    <w:rsid w:val="005B2C99"/>
    <w:rsid w:val="005B2DE2"/>
    <w:rsid w:val="005B2EB8"/>
    <w:rsid w:val="005B3260"/>
    <w:rsid w:val="005B33B0"/>
    <w:rsid w:val="005B34A3"/>
    <w:rsid w:val="005B34EC"/>
    <w:rsid w:val="005B353D"/>
    <w:rsid w:val="005B395A"/>
    <w:rsid w:val="005B3BB5"/>
    <w:rsid w:val="005B3DA3"/>
    <w:rsid w:val="005B3EB2"/>
    <w:rsid w:val="005B3F0A"/>
    <w:rsid w:val="005B43D0"/>
    <w:rsid w:val="005B4776"/>
    <w:rsid w:val="005B47A6"/>
    <w:rsid w:val="005B4A4B"/>
    <w:rsid w:val="005B4B6E"/>
    <w:rsid w:val="005B4D58"/>
    <w:rsid w:val="005B4D6A"/>
    <w:rsid w:val="005B4F40"/>
    <w:rsid w:val="005B50B6"/>
    <w:rsid w:val="005B512B"/>
    <w:rsid w:val="005B518D"/>
    <w:rsid w:val="005B5380"/>
    <w:rsid w:val="005B53F3"/>
    <w:rsid w:val="005B5453"/>
    <w:rsid w:val="005B54E6"/>
    <w:rsid w:val="005B56ED"/>
    <w:rsid w:val="005B575B"/>
    <w:rsid w:val="005B5939"/>
    <w:rsid w:val="005B5E8F"/>
    <w:rsid w:val="005B60C3"/>
    <w:rsid w:val="005B62A7"/>
    <w:rsid w:val="005B62D3"/>
    <w:rsid w:val="005B65AD"/>
    <w:rsid w:val="005B697D"/>
    <w:rsid w:val="005B699B"/>
    <w:rsid w:val="005B6C3D"/>
    <w:rsid w:val="005B6D80"/>
    <w:rsid w:val="005B6DA8"/>
    <w:rsid w:val="005B6F10"/>
    <w:rsid w:val="005B6F5A"/>
    <w:rsid w:val="005B7070"/>
    <w:rsid w:val="005B714A"/>
    <w:rsid w:val="005B717A"/>
    <w:rsid w:val="005B7455"/>
    <w:rsid w:val="005B7686"/>
    <w:rsid w:val="005B78A7"/>
    <w:rsid w:val="005B7B32"/>
    <w:rsid w:val="005B7B76"/>
    <w:rsid w:val="005B7E58"/>
    <w:rsid w:val="005B7F80"/>
    <w:rsid w:val="005C0045"/>
    <w:rsid w:val="005C00D6"/>
    <w:rsid w:val="005C04AF"/>
    <w:rsid w:val="005C088F"/>
    <w:rsid w:val="005C0C7A"/>
    <w:rsid w:val="005C0F63"/>
    <w:rsid w:val="005C1182"/>
    <w:rsid w:val="005C13BB"/>
    <w:rsid w:val="005C148D"/>
    <w:rsid w:val="005C1790"/>
    <w:rsid w:val="005C1858"/>
    <w:rsid w:val="005C1943"/>
    <w:rsid w:val="005C1BFF"/>
    <w:rsid w:val="005C1C4A"/>
    <w:rsid w:val="005C1EAF"/>
    <w:rsid w:val="005C2188"/>
    <w:rsid w:val="005C2213"/>
    <w:rsid w:val="005C276D"/>
    <w:rsid w:val="005C27D7"/>
    <w:rsid w:val="005C28A4"/>
    <w:rsid w:val="005C28E0"/>
    <w:rsid w:val="005C2A43"/>
    <w:rsid w:val="005C2B42"/>
    <w:rsid w:val="005C2BA7"/>
    <w:rsid w:val="005C2CA8"/>
    <w:rsid w:val="005C2DB2"/>
    <w:rsid w:val="005C3069"/>
    <w:rsid w:val="005C328E"/>
    <w:rsid w:val="005C331B"/>
    <w:rsid w:val="005C334A"/>
    <w:rsid w:val="005C3519"/>
    <w:rsid w:val="005C397B"/>
    <w:rsid w:val="005C39AA"/>
    <w:rsid w:val="005C3A3D"/>
    <w:rsid w:val="005C3BD2"/>
    <w:rsid w:val="005C3CA4"/>
    <w:rsid w:val="005C3CEE"/>
    <w:rsid w:val="005C3E96"/>
    <w:rsid w:val="005C40C6"/>
    <w:rsid w:val="005C4183"/>
    <w:rsid w:val="005C41CB"/>
    <w:rsid w:val="005C42AE"/>
    <w:rsid w:val="005C42D8"/>
    <w:rsid w:val="005C43AA"/>
    <w:rsid w:val="005C44E6"/>
    <w:rsid w:val="005C45B1"/>
    <w:rsid w:val="005C46F8"/>
    <w:rsid w:val="005C4842"/>
    <w:rsid w:val="005C4DCE"/>
    <w:rsid w:val="005C5017"/>
    <w:rsid w:val="005C50AA"/>
    <w:rsid w:val="005C523B"/>
    <w:rsid w:val="005C5303"/>
    <w:rsid w:val="005C5490"/>
    <w:rsid w:val="005C5661"/>
    <w:rsid w:val="005C59FD"/>
    <w:rsid w:val="005C5AD2"/>
    <w:rsid w:val="005C5EC7"/>
    <w:rsid w:val="005C63D9"/>
    <w:rsid w:val="005C641F"/>
    <w:rsid w:val="005C64AF"/>
    <w:rsid w:val="005C674C"/>
    <w:rsid w:val="005C687B"/>
    <w:rsid w:val="005C68BC"/>
    <w:rsid w:val="005C69B1"/>
    <w:rsid w:val="005C6C35"/>
    <w:rsid w:val="005C6CC4"/>
    <w:rsid w:val="005C6DE8"/>
    <w:rsid w:val="005C6E36"/>
    <w:rsid w:val="005C6E3C"/>
    <w:rsid w:val="005C71FD"/>
    <w:rsid w:val="005C73C7"/>
    <w:rsid w:val="005C7520"/>
    <w:rsid w:val="005C7655"/>
    <w:rsid w:val="005C7670"/>
    <w:rsid w:val="005C7954"/>
    <w:rsid w:val="005C7BCE"/>
    <w:rsid w:val="005C7BED"/>
    <w:rsid w:val="005C7C79"/>
    <w:rsid w:val="005C7F24"/>
    <w:rsid w:val="005D03AB"/>
    <w:rsid w:val="005D061A"/>
    <w:rsid w:val="005D06FF"/>
    <w:rsid w:val="005D079D"/>
    <w:rsid w:val="005D08D1"/>
    <w:rsid w:val="005D0A34"/>
    <w:rsid w:val="005D0D8D"/>
    <w:rsid w:val="005D0DEF"/>
    <w:rsid w:val="005D0E23"/>
    <w:rsid w:val="005D0E26"/>
    <w:rsid w:val="005D0F15"/>
    <w:rsid w:val="005D10BE"/>
    <w:rsid w:val="005D1143"/>
    <w:rsid w:val="005D12E0"/>
    <w:rsid w:val="005D1445"/>
    <w:rsid w:val="005D181D"/>
    <w:rsid w:val="005D1837"/>
    <w:rsid w:val="005D194D"/>
    <w:rsid w:val="005D1AA0"/>
    <w:rsid w:val="005D1C01"/>
    <w:rsid w:val="005D1CDC"/>
    <w:rsid w:val="005D2087"/>
    <w:rsid w:val="005D22DA"/>
    <w:rsid w:val="005D243A"/>
    <w:rsid w:val="005D2887"/>
    <w:rsid w:val="005D2B16"/>
    <w:rsid w:val="005D2B4F"/>
    <w:rsid w:val="005D2C28"/>
    <w:rsid w:val="005D2D7A"/>
    <w:rsid w:val="005D2DDF"/>
    <w:rsid w:val="005D2EAC"/>
    <w:rsid w:val="005D3015"/>
    <w:rsid w:val="005D3074"/>
    <w:rsid w:val="005D3182"/>
    <w:rsid w:val="005D3262"/>
    <w:rsid w:val="005D36ED"/>
    <w:rsid w:val="005D3CB2"/>
    <w:rsid w:val="005D3D90"/>
    <w:rsid w:val="005D3F0D"/>
    <w:rsid w:val="005D3FD4"/>
    <w:rsid w:val="005D40AD"/>
    <w:rsid w:val="005D4324"/>
    <w:rsid w:val="005D4456"/>
    <w:rsid w:val="005D44B0"/>
    <w:rsid w:val="005D4824"/>
    <w:rsid w:val="005D4943"/>
    <w:rsid w:val="005D496A"/>
    <w:rsid w:val="005D4A8F"/>
    <w:rsid w:val="005D4AF0"/>
    <w:rsid w:val="005D4B59"/>
    <w:rsid w:val="005D4FE5"/>
    <w:rsid w:val="005D5052"/>
    <w:rsid w:val="005D5078"/>
    <w:rsid w:val="005D50B6"/>
    <w:rsid w:val="005D521B"/>
    <w:rsid w:val="005D5240"/>
    <w:rsid w:val="005D527C"/>
    <w:rsid w:val="005D532F"/>
    <w:rsid w:val="005D543D"/>
    <w:rsid w:val="005D54C4"/>
    <w:rsid w:val="005D55C3"/>
    <w:rsid w:val="005D56D8"/>
    <w:rsid w:val="005D57A4"/>
    <w:rsid w:val="005D581D"/>
    <w:rsid w:val="005D58DD"/>
    <w:rsid w:val="005D5C24"/>
    <w:rsid w:val="005D5E1F"/>
    <w:rsid w:val="005D643A"/>
    <w:rsid w:val="005D65A5"/>
    <w:rsid w:val="005D677F"/>
    <w:rsid w:val="005D67D2"/>
    <w:rsid w:val="005D6868"/>
    <w:rsid w:val="005D6886"/>
    <w:rsid w:val="005D6962"/>
    <w:rsid w:val="005D6B3E"/>
    <w:rsid w:val="005D6BB5"/>
    <w:rsid w:val="005D6C51"/>
    <w:rsid w:val="005D6E2F"/>
    <w:rsid w:val="005D6F5F"/>
    <w:rsid w:val="005D7050"/>
    <w:rsid w:val="005D712B"/>
    <w:rsid w:val="005D743D"/>
    <w:rsid w:val="005D74C2"/>
    <w:rsid w:val="005D7552"/>
    <w:rsid w:val="005D76CE"/>
    <w:rsid w:val="005D77E9"/>
    <w:rsid w:val="005D7D55"/>
    <w:rsid w:val="005D7FC6"/>
    <w:rsid w:val="005E01D7"/>
    <w:rsid w:val="005E05E0"/>
    <w:rsid w:val="005E07DD"/>
    <w:rsid w:val="005E099D"/>
    <w:rsid w:val="005E0AD4"/>
    <w:rsid w:val="005E0BDB"/>
    <w:rsid w:val="005E1170"/>
    <w:rsid w:val="005E1214"/>
    <w:rsid w:val="005E12D2"/>
    <w:rsid w:val="005E1674"/>
    <w:rsid w:val="005E169B"/>
    <w:rsid w:val="005E17FD"/>
    <w:rsid w:val="005E1A3E"/>
    <w:rsid w:val="005E1C40"/>
    <w:rsid w:val="005E1D74"/>
    <w:rsid w:val="005E1F0B"/>
    <w:rsid w:val="005E225C"/>
    <w:rsid w:val="005E26D4"/>
    <w:rsid w:val="005E27A1"/>
    <w:rsid w:val="005E27AE"/>
    <w:rsid w:val="005E28E3"/>
    <w:rsid w:val="005E2929"/>
    <w:rsid w:val="005E2BE6"/>
    <w:rsid w:val="005E301E"/>
    <w:rsid w:val="005E3217"/>
    <w:rsid w:val="005E32D0"/>
    <w:rsid w:val="005E347B"/>
    <w:rsid w:val="005E36EC"/>
    <w:rsid w:val="005E36EE"/>
    <w:rsid w:val="005E3895"/>
    <w:rsid w:val="005E38AB"/>
    <w:rsid w:val="005E3B5B"/>
    <w:rsid w:val="005E3DCB"/>
    <w:rsid w:val="005E3E32"/>
    <w:rsid w:val="005E3F4C"/>
    <w:rsid w:val="005E3FA9"/>
    <w:rsid w:val="005E4033"/>
    <w:rsid w:val="005E4187"/>
    <w:rsid w:val="005E423F"/>
    <w:rsid w:val="005E4302"/>
    <w:rsid w:val="005E449F"/>
    <w:rsid w:val="005E44B1"/>
    <w:rsid w:val="005E44CD"/>
    <w:rsid w:val="005E469A"/>
    <w:rsid w:val="005E47F4"/>
    <w:rsid w:val="005E4862"/>
    <w:rsid w:val="005E489C"/>
    <w:rsid w:val="005E4E47"/>
    <w:rsid w:val="005E4EBF"/>
    <w:rsid w:val="005E4F82"/>
    <w:rsid w:val="005E4FD4"/>
    <w:rsid w:val="005E5022"/>
    <w:rsid w:val="005E50D8"/>
    <w:rsid w:val="005E5105"/>
    <w:rsid w:val="005E519A"/>
    <w:rsid w:val="005E531B"/>
    <w:rsid w:val="005E53E0"/>
    <w:rsid w:val="005E5540"/>
    <w:rsid w:val="005E58DC"/>
    <w:rsid w:val="005E5BC8"/>
    <w:rsid w:val="005E5CD9"/>
    <w:rsid w:val="005E608D"/>
    <w:rsid w:val="005E643E"/>
    <w:rsid w:val="005E64DC"/>
    <w:rsid w:val="005E6686"/>
    <w:rsid w:val="005E67A9"/>
    <w:rsid w:val="005E680D"/>
    <w:rsid w:val="005E6899"/>
    <w:rsid w:val="005E697E"/>
    <w:rsid w:val="005E6A50"/>
    <w:rsid w:val="005E6A53"/>
    <w:rsid w:val="005E6AE1"/>
    <w:rsid w:val="005E6C2B"/>
    <w:rsid w:val="005E6DCF"/>
    <w:rsid w:val="005E7152"/>
    <w:rsid w:val="005E72E5"/>
    <w:rsid w:val="005E75DB"/>
    <w:rsid w:val="005E767D"/>
    <w:rsid w:val="005E7764"/>
    <w:rsid w:val="005E7E5B"/>
    <w:rsid w:val="005F019E"/>
    <w:rsid w:val="005F02BA"/>
    <w:rsid w:val="005F0394"/>
    <w:rsid w:val="005F03D7"/>
    <w:rsid w:val="005F075B"/>
    <w:rsid w:val="005F0A39"/>
    <w:rsid w:val="005F0B74"/>
    <w:rsid w:val="005F0B7C"/>
    <w:rsid w:val="005F0CCD"/>
    <w:rsid w:val="005F0EB1"/>
    <w:rsid w:val="005F0FE5"/>
    <w:rsid w:val="005F10C3"/>
    <w:rsid w:val="005F113F"/>
    <w:rsid w:val="005F127D"/>
    <w:rsid w:val="005F12D8"/>
    <w:rsid w:val="005F15E0"/>
    <w:rsid w:val="005F1881"/>
    <w:rsid w:val="005F19BB"/>
    <w:rsid w:val="005F1A0D"/>
    <w:rsid w:val="005F1A0F"/>
    <w:rsid w:val="005F1A8B"/>
    <w:rsid w:val="005F1EC5"/>
    <w:rsid w:val="005F1F01"/>
    <w:rsid w:val="005F1F7A"/>
    <w:rsid w:val="005F21F6"/>
    <w:rsid w:val="005F26A3"/>
    <w:rsid w:val="005F28DE"/>
    <w:rsid w:val="005F291B"/>
    <w:rsid w:val="005F2968"/>
    <w:rsid w:val="005F2ADB"/>
    <w:rsid w:val="005F2CB0"/>
    <w:rsid w:val="005F3014"/>
    <w:rsid w:val="005F31BF"/>
    <w:rsid w:val="005F329B"/>
    <w:rsid w:val="005F337B"/>
    <w:rsid w:val="005F3402"/>
    <w:rsid w:val="005F34D0"/>
    <w:rsid w:val="005F35AE"/>
    <w:rsid w:val="005F37D9"/>
    <w:rsid w:val="005F3B15"/>
    <w:rsid w:val="005F3D48"/>
    <w:rsid w:val="005F3DD1"/>
    <w:rsid w:val="005F408C"/>
    <w:rsid w:val="005F40B8"/>
    <w:rsid w:val="005F42CF"/>
    <w:rsid w:val="005F433E"/>
    <w:rsid w:val="005F4488"/>
    <w:rsid w:val="005F45C7"/>
    <w:rsid w:val="005F45E9"/>
    <w:rsid w:val="005F4762"/>
    <w:rsid w:val="005F47D1"/>
    <w:rsid w:val="005F4803"/>
    <w:rsid w:val="005F48A2"/>
    <w:rsid w:val="005F4F52"/>
    <w:rsid w:val="005F515D"/>
    <w:rsid w:val="005F526E"/>
    <w:rsid w:val="005F527B"/>
    <w:rsid w:val="005F545B"/>
    <w:rsid w:val="005F57D4"/>
    <w:rsid w:val="005F594D"/>
    <w:rsid w:val="005F5A23"/>
    <w:rsid w:val="005F5D9E"/>
    <w:rsid w:val="005F604B"/>
    <w:rsid w:val="005F60A0"/>
    <w:rsid w:val="005F60F8"/>
    <w:rsid w:val="005F6387"/>
    <w:rsid w:val="005F6508"/>
    <w:rsid w:val="005F6603"/>
    <w:rsid w:val="005F66C4"/>
    <w:rsid w:val="005F6787"/>
    <w:rsid w:val="005F6A8B"/>
    <w:rsid w:val="005F6B9D"/>
    <w:rsid w:val="005F6CF5"/>
    <w:rsid w:val="005F705D"/>
    <w:rsid w:val="005F71C5"/>
    <w:rsid w:val="005F721D"/>
    <w:rsid w:val="005F7658"/>
    <w:rsid w:val="005F7755"/>
    <w:rsid w:val="005F7870"/>
    <w:rsid w:val="005F78AD"/>
    <w:rsid w:val="005F79CC"/>
    <w:rsid w:val="005F7A38"/>
    <w:rsid w:val="005F7B5D"/>
    <w:rsid w:val="005F7B92"/>
    <w:rsid w:val="005F7BDD"/>
    <w:rsid w:val="005F7C51"/>
    <w:rsid w:val="005F7CBF"/>
    <w:rsid w:val="00600099"/>
    <w:rsid w:val="00600148"/>
    <w:rsid w:val="006001C9"/>
    <w:rsid w:val="00600215"/>
    <w:rsid w:val="0060022A"/>
    <w:rsid w:val="006003FB"/>
    <w:rsid w:val="00600450"/>
    <w:rsid w:val="0060045A"/>
    <w:rsid w:val="006007D0"/>
    <w:rsid w:val="00600999"/>
    <w:rsid w:val="006009AA"/>
    <w:rsid w:val="00600AEF"/>
    <w:rsid w:val="00600B55"/>
    <w:rsid w:val="00600C9D"/>
    <w:rsid w:val="00601083"/>
    <w:rsid w:val="006014F0"/>
    <w:rsid w:val="006015B0"/>
    <w:rsid w:val="00601743"/>
    <w:rsid w:val="006017D5"/>
    <w:rsid w:val="00601B28"/>
    <w:rsid w:val="00601D56"/>
    <w:rsid w:val="00601FFA"/>
    <w:rsid w:val="006021AE"/>
    <w:rsid w:val="00602852"/>
    <w:rsid w:val="006028B7"/>
    <w:rsid w:val="00602917"/>
    <w:rsid w:val="0060293A"/>
    <w:rsid w:val="00602A76"/>
    <w:rsid w:val="00602B8B"/>
    <w:rsid w:val="00602C14"/>
    <w:rsid w:val="00602C89"/>
    <w:rsid w:val="00602DF7"/>
    <w:rsid w:val="00602F1C"/>
    <w:rsid w:val="00603450"/>
    <w:rsid w:val="00603529"/>
    <w:rsid w:val="00603646"/>
    <w:rsid w:val="00603B0A"/>
    <w:rsid w:val="00603B12"/>
    <w:rsid w:val="00603B60"/>
    <w:rsid w:val="00603BD1"/>
    <w:rsid w:val="00603D7B"/>
    <w:rsid w:val="00603FC1"/>
    <w:rsid w:val="0060410A"/>
    <w:rsid w:val="00604325"/>
    <w:rsid w:val="00604510"/>
    <w:rsid w:val="006045CF"/>
    <w:rsid w:val="0060490F"/>
    <w:rsid w:val="00604943"/>
    <w:rsid w:val="00604A63"/>
    <w:rsid w:val="00604B44"/>
    <w:rsid w:val="00604ED8"/>
    <w:rsid w:val="00605624"/>
    <w:rsid w:val="00605767"/>
    <w:rsid w:val="00605996"/>
    <w:rsid w:val="00605B41"/>
    <w:rsid w:val="00605B63"/>
    <w:rsid w:val="00605D27"/>
    <w:rsid w:val="00605D38"/>
    <w:rsid w:val="00605FF7"/>
    <w:rsid w:val="0060601A"/>
    <w:rsid w:val="006060E7"/>
    <w:rsid w:val="006064E7"/>
    <w:rsid w:val="006066B0"/>
    <w:rsid w:val="00606888"/>
    <w:rsid w:val="00606A58"/>
    <w:rsid w:val="00606A7A"/>
    <w:rsid w:val="00606CE2"/>
    <w:rsid w:val="00606E5A"/>
    <w:rsid w:val="00606EED"/>
    <w:rsid w:val="00606F3F"/>
    <w:rsid w:val="00606FCF"/>
    <w:rsid w:val="00606FDD"/>
    <w:rsid w:val="00607084"/>
    <w:rsid w:val="006070A1"/>
    <w:rsid w:val="00607251"/>
    <w:rsid w:val="0060745E"/>
    <w:rsid w:val="00607A82"/>
    <w:rsid w:val="00607C91"/>
    <w:rsid w:val="00607E79"/>
    <w:rsid w:val="00607F0C"/>
    <w:rsid w:val="00607F85"/>
    <w:rsid w:val="00610111"/>
    <w:rsid w:val="0061034A"/>
    <w:rsid w:val="006103F3"/>
    <w:rsid w:val="0061093F"/>
    <w:rsid w:val="006109B3"/>
    <w:rsid w:val="00610F56"/>
    <w:rsid w:val="0061101E"/>
    <w:rsid w:val="0061111C"/>
    <w:rsid w:val="006111A5"/>
    <w:rsid w:val="0061124C"/>
    <w:rsid w:val="00611793"/>
    <w:rsid w:val="006118D1"/>
    <w:rsid w:val="00611C7C"/>
    <w:rsid w:val="00611EF4"/>
    <w:rsid w:val="0061203C"/>
    <w:rsid w:val="0061232F"/>
    <w:rsid w:val="006123BC"/>
    <w:rsid w:val="00612936"/>
    <w:rsid w:val="00612A67"/>
    <w:rsid w:val="00612AB6"/>
    <w:rsid w:val="00612B2C"/>
    <w:rsid w:val="00612E02"/>
    <w:rsid w:val="00612EB5"/>
    <w:rsid w:val="00613115"/>
    <w:rsid w:val="00613239"/>
    <w:rsid w:val="0061381E"/>
    <w:rsid w:val="006138A1"/>
    <w:rsid w:val="00613990"/>
    <w:rsid w:val="00613A6B"/>
    <w:rsid w:val="0061406E"/>
    <w:rsid w:val="006142F4"/>
    <w:rsid w:val="006142FD"/>
    <w:rsid w:val="0061440B"/>
    <w:rsid w:val="006144CE"/>
    <w:rsid w:val="006145EA"/>
    <w:rsid w:val="00614795"/>
    <w:rsid w:val="00614822"/>
    <w:rsid w:val="00614880"/>
    <w:rsid w:val="006148F8"/>
    <w:rsid w:val="00614BBD"/>
    <w:rsid w:val="00614C57"/>
    <w:rsid w:val="00614CFC"/>
    <w:rsid w:val="00614DDE"/>
    <w:rsid w:val="00614EC0"/>
    <w:rsid w:val="00614FA8"/>
    <w:rsid w:val="00615032"/>
    <w:rsid w:val="00615328"/>
    <w:rsid w:val="0061534A"/>
    <w:rsid w:val="00615407"/>
    <w:rsid w:val="006157BA"/>
    <w:rsid w:val="006159CC"/>
    <w:rsid w:val="00615A3B"/>
    <w:rsid w:val="00615C19"/>
    <w:rsid w:val="00615F9B"/>
    <w:rsid w:val="00616180"/>
    <w:rsid w:val="00616332"/>
    <w:rsid w:val="00616383"/>
    <w:rsid w:val="006163D3"/>
    <w:rsid w:val="006163D7"/>
    <w:rsid w:val="0061640A"/>
    <w:rsid w:val="00616C1B"/>
    <w:rsid w:val="006171C5"/>
    <w:rsid w:val="00617301"/>
    <w:rsid w:val="00617376"/>
    <w:rsid w:val="006173D0"/>
    <w:rsid w:val="0061754A"/>
    <w:rsid w:val="006177CD"/>
    <w:rsid w:val="00617996"/>
    <w:rsid w:val="00617A6F"/>
    <w:rsid w:val="00617AEB"/>
    <w:rsid w:val="00617C1B"/>
    <w:rsid w:val="00617FA4"/>
    <w:rsid w:val="00617FFD"/>
    <w:rsid w:val="00620088"/>
    <w:rsid w:val="006201D7"/>
    <w:rsid w:val="00620243"/>
    <w:rsid w:val="0062070A"/>
    <w:rsid w:val="00620BCF"/>
    <w:rsid w:val="00620EBA"/>
    <w:rsid w:val="00620F75"/>
    <w:rsid w:val="00620F8B"/>
    <w:rsid w:val="0062114B"/>
    <w:rsid w:val="0062140D"/>
    <w:rsid w:val="006215D1"/>
    <w:rsid w:val="00621801"/>
    <w:rsid w:val="00621B2E"/>
    <w:rsid w:val="00621D57"/>
    <w:rsid w:val="00621EDD"/>
    <w:rsid w:val="00622141"/>
    <w:rsid w:val="006222AA"/>
    <w:rsid w:val="00622668"/>
    <w:rsid w:val="00622759"/>
    <w:rsid w:val="006229C0"/>
    <w:rsid w:val="00622C92"/>
    <w:rsid w:val="006230A3"/>
    <w:rsid w:val="006231F7"/>
    <w:rsid w:val="00623380"/>
    <w:rsid w:val="0062338C"/>
    <w:rsid w:val="006234A6"/>
    <w:rsid w:val="006234A7"/>
    <w:rsid w:val="00623540"/>
    <w:rsid w:val="00623587"/>
    <w:rsid w:val="006235CA"/>
    <w:rsid w:val="00623750"/>
    <w:rsid w:val="00623B1B"/>
    <w:rsid w:val="00623CDF"/>
    <w:rsid w:val="00623FAB"/>
    <w:rsid w:val="006243C9"/>
    <w:rsid w:val="006243DF"/>
    <w:rsid w:val="00624519"/>
    <w:rsid w:val="00624534"/>
    <w:rsid w:val="006245F8"/>
    <w:rsid w:val="006247DB"/>
    <w:rsid w:val="00624BFE"/>
    <w:rsid w:val="00624DF9"/>
    <w:rsid w:val="0062514F"/>
    <w:rsid w:val="006251F9"/>
    <w:rsid w:val="0062546E"/>
    <w:rsid w:val="0062555E"/>
    <w:rsid w:val="006255C4"/>
    <w:rsid w:val="00625996"/>
    <w:rsid w:val="00625A61"/>
    <w:rsid w:val="00625AE0"/>
    <w:rsid w:val="00625B96"/>
    <w:rsid w:val="00625D49"/>
    <w:rsid w:val="00625E3B"/>
    <w:rsid w:val="00625E49"/>
    <w:rsid w:val="00625E97"/>
    <w:rsid w:val="00626008"/>
    <w:rsid w:val="00626288"/>
    <w:rsid w:val="006268C9"/>
    <w:rsid w:val="00626CA4"/>
    <w:rsid w:val="00627174"/>
    <w:rsid w:val="006271DB"/>
    <w:rsid w:val="0062722C"/>
    <w:rsid w:val="00627233"/>
    <w:rsid w:val="00627288"/>
    <w:rsid w:val="00627512"/>
    <w:rsid w:val="006276D8"/>
    <w:rsid w:val="0062784E"/>
    <w:rsid w:val="00627A1B"/>
    <w:rsid w:val="00627BDD"/>
    <w:rsid w:val="00627ED2"/>
    <w:rsid w:val="00627FE9"/>
    <w:rsid w:val="006300C5"/>
    <w:rsid w:val="0063030A"/>
    <w:rsid w:val="00630312"/>
    <w:rsid w:val="00630386"/>
    <w:rsid w:val="006304EC"/>
    <w:rsid w:val="0063053F"/>
    <w:rsid w:val="00630596"/>
    <w:rsid w:val="006307C6"/>
    <w:rsid w:val="006307F7"/>
    <w:rsid w:val="00630AAA"/>
    <w:rsid w:val="00630C99"/>
    <w:rsid w:val="00630D43"/>
    <w:rsid w:val="006310AB"/>
    <w:rsid w:val="00631120"/>
    <w:rsid w:val="00631207"/>
    <w:rsid w:val="00631250"/>
    <w:rsid w:val="0063150D"/>
    <w:rsid w:val="0063154D"/>
    <w:rsid w:val="0063187C"/>
    <w:rsid w:val="006318C4"/>
    <w:rsid w:val="00631925"/>
    <w:rsid w:val="00631A1E"/>
    <w:rsid w:val="00631D71"/>
    <w:rsid w:val="00631D81"/>
    <w:rsid w:val="00631EDA"/>
    <w:rsid w:val="0063205C"/>
    <w:rsid w:val="0063228F"/>
    <w:rsid w:val="006324D8"/>
    <w:rsid w:val="00632570"/>
    <w:rsid w:val="00632679"/>
    <w:rsid w:val="006329DB"/>
    <w:rsid w:val="00632BA5"/>
    <w:rsid w:val="00632C45"/>
    <w:rsid w:val="00632CCB"/>
    <w:rsid w:val="00632D9D"/>
    <w:rsid w:val="0063317E"/>
    <w:rsid w:val="006331A7"/>
    <w:rsid w:val="006332BD"/>
    <w:rsid w:val="00633334"/>
    <w:rsid w:val="00633839"/>
    <w:rsid w:val="006338EE"/>
    <w:rsid w:val="00633914"/>
    <w:rsid w:val="00633960"/>
    <w:rsid w:val="006339A3"/>
    <w:rsid w:val="00633A93"/>
    <w:rsid w:val="00633AFE"/>
    <w:rsid w:val="00633D87"/>
    <w:rsid w:val="00633E9C"/>
    <w:rsid w:val="00634095"/>
    <w:rsid w:val="00634297"/>
    <w:rsid w:val="006344FB"/>
    <w:rsid w:val="00634599"/>
    <w:rsid w:val="006346DB"/>
    <w:rsid w:val="00634A89"/>
    <w:rsid w:val="00634ACB"/>
    <w:rsid w:val="00634F5E"/>
    <w:rsid w:val="00634F93"/>
    <w:rsid w:val="006353D1"/>
    <w:rsid w:val="006354D6"/>
    <w:rsid w:val="00635AE8"/>
    <w:rsid w:val="00635D86"/>
    <w:rsid w:val="00635E84"/>
    <w:rsid w:val="00635F5A"/>
    <w:rsid w:val="00635FA6"/>
    <w:rsid w:val="006361E3"/>
    <w:rsid w:val="0063624A"/>
    <w:rsid w:val="00636391"/>
    <w:rsid w:val="00636564"/>
    <w:rsid w:val="0063666B"/>
    <w:rsid w:val="0063667D"/>
    <w:rsid w:val="006366C3"/>
    <w:rsid w:val="0063680E"/>
    <w:rsid w:val="00636985"/>
    <w:rsid w:val="00636DB5"/>
    <w:rsid w:val="00637058"/>
    <w:rsid w:val="006370ED"/>
    <w:rsid w:val="0063713B"/>
    <w:rsid w:val="006374A7"/>
    <w:rsid w:val="00637574"/>
    <w:rsid w:val="006375B5"/>
    <w:rsid w:val="00637AC9"/>
    <w:rsid w:val="00637B1C"/>
    <w:rsid w:val="00637B26"/>
    <w:rsid w:val="00637C62"/>
    <w:rsid w:val="00637D20"/>
    <w:rsid w:val="00637D7F"/>
    <w:rsid w:val="00637EA8"/>
    <w:rsid w:val="00637F51"/>
    <w:rsid w:val="006400F9"/>
    <w:rsid w:val="00640321"/>
    <w:rsid w:val="006403CB"/>
    <w:rsid w:val="00640676"/>
    <w:rsid w:val="0064098C"/>
    <w:rsid w:val="00640A9F"/>
    <w:rsid w:val="00640AA5"/>
    <w:rsid w:val="00640ADA"/>
    <w:rsid w:val="00640C93"/>
    <w:rsid w:val="00640F6C"/>
    <w:rsid w:val="00640F97"/>
    <w:rsid w:val="006411BA"/>
    <w:rsid w:val="00641376"/>
    <w:rsid w:val="006413B2"/>
    <w:rsid w:val="00641501"/>
    <w:rsid w:val="006415CC"/>
    <w:rsid w:val="00641674"/>
    <w:rsid w:val="00641D4A"/>
    <w:rsid w:val="00641E93"/>
    <w:rsid w:val="0064205D"/>
    <w:rsid w:val="006420F2"/>
    <w:rsid w:val="00642275"/>
    <w:rsid w:val="006422A4"/>
    <w:rsid w:val="006424F1"/>
    <w:rsid w:val="006427AA"/>
    <w:rsid w:val="006429D7"/>
    <w:rsid w:val="00642BD6"/>
    <w:rsid w:val="00642D60"/>
    <w:rsid w:val="00643051"/>
    <w:rsid w:val="00643263"/>
    <w:rsid w:val="006433E0"/>
    <w:rsid w:val="0064351C"/>
    <w:rsid w:val="006438CF"/>
    <w:rsid w:val="00643FE1"/>
    <w:rsid w:val="00644285"/>
    <w:rsid w:val="006443B3"/>
    <w:rsid w:val="00644413"/>
    <w:rsid w:val="006445D0"/>
    <w:rsid w:val="0064466C"/>
    <w:rsid w:val="006448A0"/>
    <w:rsid w:val="00644A1C"/>
    <w:rsid w:val="00644A8F"/>
    <w:rsid w:val="00644DA2"/>
    <w:rsid w:val="006450CD"/>
    <w:rsid w:val="0064556E"/>
    <w:rsid w:val="006457AD"/>
    <w:rsid w:val="00645AB1"/>
    <w:rsid w:val="00645B68"/>
    <w:rsid w:val="00645C2E"/>
    <w:rsid w:val="00645CBF"/>
    <w:rsid w:val="00645E03"/>
    <w:rsid w:val="00646131"/>
    <w:rsid w:val="006462A9"/>
    <w:rsid w:val="006462CA"/>
    <w:rsid w:val="0064632D"/>
    <w:rsid w:val="0064668A"/>
    <w:rsid w:val="00646885"/>
    <w:rsid w:val="0064692D"/>
    <w:rsid w:val="00646D27"/>
    <w:rsid w:val="00647168"/>
    <w:rsid w:val="006472BB"/>
    <w:rsid w:val="006472D6"/>
    <w:rsid w:val="0064798B"/>
    <w:rsid w:val="00647E51"/>
    <w:rsid w:val="00647F5C"/>
    <w:rsid w:val="00650114"/>
    <w:rsid w:val="00650281"/>
    <w:rsid w:val="0065042A"/>
    <w:rsid w:val="00650610"/>
    <w:rsid w:val="00650661"/>
    <w:rsid w:val="00650664"/>
    <w:rsid w:val="0065066D"/>
    <w:rsid w:val="006506D3"/>
    <w:rsid w:val="006508CA"/>
    <w:rsid w:val="00650A6A"/>
    <w:rsid w:val="00650A98"/>
    <w:rsid w:val="00650D47"/>
    <w:rsid w:val="0065105A"/>
    <w:rsid w:val="006513E1"/>
    <w:rsid w:val="00651408"/>
    <w:rsid w:val="006515CB"/>
    <w:rsid w:val="00651662"/>
    <w:rsid w:val="006517B6"/>
    <w:rsid w:val="006519C2"/>
    <w:rsid w:val="00651AE4"/>
    <w:rsid w:val="00651CF7"/>
    <w:rsid w:val="00651D92"/>
    <w:rsid w:val="00651E8F"/>
    <w:rsid w:val="00651F89"/>
    <w:rsid w:val="00652050"/>
    <w:rsid w:val="006520C1"/>
    <w:rsid w:val="0065228E"/>
    <w:rsid w:val="00652297"/>
    <w:rsid w:val="006523DB"/>
    <w:rsid w:val="006523F9"/>
    <w:rsid w:val="006523FE"/>
    <w:rsid w:val="0065258A"/>
    <w:rsid w:val="00652627"/>
    <w:rsid w:val="00652718"/>
    <w:rsid w:val="00652867"/>
    <w:rsid w:val="006529D7"/>
    <w:rsid w:val="00652D97"/>
    <w:rsid w:val="00652E33"/>
    <w:rsid w:val="00652F9C"/>
    <w:rsid w:val="0065311E"/>
    <w:rsid w:val="00653204"/>
    <w:rsid w:val="0065338F"/>
    <w:rsid w:val="0065349F"/>
    <w:rsid w:val="0065360F"/>
    <w:rsid w:val="00653E09"/>
    <w:rsid w:val="00654002"/>
    <w:rsid w:val="0065400B"/>
    <w:rsid w:val="0065428B"/>
    <w:rsid w:val="0065428C"/>
    <w:rsid w:val="00654372"/>
    <w:rsid w:val="006544B9"/>
    <w:rsid w:val="006545BF"/>
    <w:rsid w:val="00654673"/>
    <w:rsid w:val="006547A3"/>
    <w:rsid w:val="0065481C"/>
    <w:rsid w:val="0065485D"/>
    <w:rsid w:val="00654AFC"/>
    <w:rsid w:val="00654D9A"/>
    <w:rsid w:val="00654EA6"/>
    <w:rsid w:val="0065539F"/>
    <w:rsid w:val="006553E0"/>
    <w:rsid w:val="006558C9"/>
    <w:rsid w:val="00655A2F"/>
    <w:rsid w:val="00655BE6"/>
    <w:rsid w:val="00655E5E"/>
    <w:rsid w:val="00656245"/>
    <w:rsid w:val="006565BC"/>
    <w:rsid w:val="006565C9"/>
    <w:rsid w:val="00656635"/>
    <w:rsid w:val="00656647"/>
    <w:rsid w:val="006566D2"/>
    <w:rsid w:val="0065674D"/>
    <w:rsid w:val="006567AC"/>
    <w:rsid w:val="00656C5A"/>
    <w:rsid w:val="00656F08"/>
    <w:rsid w:val="00656FED"/>
    <w:rsid w:val="00657011"/>
    <w:rsid w:val="006570C4"/>
    <w:rsid w:val="006570C5"/>
    <w:rsid w:val="006572A9"/>
    <w:rsid w:val="006573BF"/>
    <w:rsid w:val="00657A1C"/>
    <w:rsid w:val="00657AB8"/>
    <w:rsid w:val="00657BB7"/>
    <w:rsid w:val="00657D2D"/>
    <w:rsid w:val="00657F02"/>
    <w:rsid w:val="0066004C"/>
    <w:rsid w:val="00660079"/>
    <w:rsid w:val="00660096"/>
    <w:rsid w:val="0066017D"/>
    <w:rsid w:val="006604F9"/>
    <w:rsid w:val="0066082C"/>
    <w:rsid w:val="00660B6C"/>
    <w:rsid w:val="00660BD7"/>
    <w:rsid w:val="00660CA3"/>
    <w:rsid w:val="00660CA7"/>
    <w:rsid w:val="00660CD0"/>
    <w:rsid w:val="00660D0F"/>
    <w:rsid w:val="00660F6E"/>
    <w:rsid w:val="006611BA"/>
    <w:rsid w:val="006612B2"/>
    <w:rsid w:val="00661505"/>
    <w:rsid w:val="00661576"/>
    <w:rsid w:val="0066160A"/>
    <w:rsid w:val="00661815"/>
    <w:rsid w:val="00661892"/>
    <w:rsid w:val="00661D00"/>
    <w:rsid w:val="00661D9B"/>
    <w:rsid w:val="00661DB7"/>
    <w:rsid w:val="00661DBF"/>
    <w:rsid w:val="00661F01"/>
    <w:rsid w:val="00661F13"/>
    <w:rsid w:val="00662588"/>
    <w:rsid w:val="006626B3"/>
    <w:rsid w:val="00662840"/>
    <w:rsid w:val="006628FA"/>
    <w:rsid w:val="00662B32"/>
    <w:rsid w:val="00662C3E"/>
    <w:rsid w:val="00662C4C"/>
    <w:rsid w:val="00662EF2"/>
    <w:rsid w:val="00662F03"/>
    <w:rsid w:val="00662F4D"/>
    <w:rsid w:val="00662FD3"/>
    <w:rsid w:val="006630E9"/>
    <w:rsid w:val="006633D7"/>
    <w:rsid w:val="0066356F"/>
    <w:rsid w:val="00663598"/>
    <w:rsid w:val="00663812"/>
    <w:rsid w:val="006638C1"/>
    <w:rsid w:val="00663975"/>
    <w:rsid w:val="00663987"/>
    <w:rsid w:val="00663BEB"/>
    <w:rsid w:val="00663CE6"/>
    <w:rsid w:val="00663DF5"/>
    <w:rsid w:val="00663E04"/>
    <w:rsid w:val="00663EAD"/>
    <w:rsid w:val="00663EF5"/>
    <w:rsid w:val="00663F01"/>
    <w:rsid w:val="00663FA6"/>
    <w:rsid w:val="00664145"/>
    <w:rsid w:val="006642D3"/>
    <w:rsid w:val="0066436E"/>
    <w:rsid w:val="0066452E"/>
    <w:rsid w:val="00664734"/>
    <w:rsid w:val="006647CE"/>
    <w:rsid w:val="00664A2F"/>
    <w:rsid w:val="00664BC7"/>
    <w:rsid w:val="00664CC2"/>
    <w:rsid w:val="00665143"/>
    <w:rsid w:val="006651C5"/>
    <w:rsid w:val="00665221"/>
    <w:rsid w:val="0066526E"/>
    <w:rsid w:val="0066546D"/>
    <w:rsid w:val="00665667"/>
    <w:rsid w:val="00665B03"/>
    <w:rsid w:val="00665CF7"/>
    <w:rsid w:val="00665FAD"/>
    <w:rsid w:val="006661C6"/>
    <w:rsid w:val="0066652A"/>
    <w:rsid w:val="00666B49"/>
    <w:rsid w:val="00666B5D"/>
    <w:rsid w:val="00666B68"/>
    <w:rsid w:val="00666FEF"/>
    <w:rsid w:val="006672C6"/>
    <w:rsid w:val="00667518"/>
    <w:rsid w:val="0066754E"/>
    <w:rsid w:val="006675E2"/>
    <w:rsid w:val="00667AA4"/>
    <w:rsid w:val="00667B15"/>
    <w:rsid w:val="00667CA0"/>
    <w:rsid w:val="00667E06"/>
    <w:rsid w:val="00667E55"/>
    <w:rsid w:val="00667F2D"/>
    <w:rsid w:val="00667F87"/>
    <w:rsid w:val="00670187"/>
    <w:rsid w:val="00670753"/>
    <w:rsid w:val="006707DC"/>
    <w:rsid w:val="006709DE"/>
    <w:rsid w:val="00670C9B"/>
    <w:rsid w:val="00670D90"/>
    <w:rsid w:val="00670F19"/>
    <w:rsid w:val="00671134"/>
    <w:rsid w:val="00671375"/>
    <w:rsid w:val="00671398"/>
    <w:rsid w:val="006713A1"/>
    <w:rsid w:val="0067154B"/>
    <w:rsid w:val="00671815"/>
    <w:rsid w:val="006719C9"/>
    <w:rsid w:val="006719DA"/>
    <w:rsid w:val="00671E5A"/>
    <w:rsid w:val="0067200D"/>
    <w:rsid w:val="006722FF"/>
    <w:rsid w:val="006723C2"/>
    <w:rsid w:val="006724C2"/>
    <w:rsid w:val="00672539"/>
    <w:rsid w:val="0067263B"/>
    <w:rsid w:val="00672779"/>
    <w:rsid w:val="006727C3"/>
    <w:rsid w:val="006728B9"/>
    <w:rsid w:val="0067291A"/>
    <w:rsid w:val="00672B96"/>
    <w:rsid w:val="00672BFC"/>
    <w:rsid w:val="00672C55"/>
    <w:rsid w:val="00672D9A"/>
    <w:rsid w:val="00672EC2"/>
    <w:rsid w:val="0067313D"/>
    <w:rsid w:val="00673318"/>
    <w:rsid w:val="006733C8"/>
    <w:rsid w:val="00673541"/>
    <w:rsid w:val="0067366D"/>
    <w:rsid w:val="006736DF"/>
    <w:rsid w:val="00673715"/>
    <w:rsid w:val="0067385D"/>
    <w:rsid w:val="006738CC"/>
    <w:rsid w:val="0067401F"/>
    <w:rsid w:val="006740C8"/>
    <w:rsid w:val="006742AA"/>
    <w:rsid w:val="006744EA"/>
    <w:rsid w:val="0067450C"/>
    <w:rsid w:val="00674551"/>
    <w:rsid w:val="0067460E"/>
    <w:rsid w:val="00674902"/>
    <w:rsid w:val="00674995"/>
    <w:rsid w:val="00674A69"/>
    <w:rsid w:val="00674A89"/>
    <w:rsid w:val="00674B01"/>
    <w:rsid w:val="00674C5B"/>
    <w:rsid w:val="00674EA0"/>
    <w:rsid w:val="00674F15"/>
    <w:rsid w:val="00674F7C"/>
    <w:rsid w:val="00675044"/>
    <w:rsid w:val="0067505C"/>
    <w:rsid w:val="006750C7"/>
    <w:rsid w:val="006750D2"/>
    <w:rsid w:val="006751FC"/>
    <w:rsid w:val="00675685"/>
    <w:rsid w:val="0067572F"/>
    <w:rsid w:val="00675855"/>
    <w:rsid w:val="00675889"/>
    <w:rsid w:val="006758B1"/>
    <w:rsid w:val="006758FC"/>
    <w:rsid w:val="00675B34"/>
    <w:rsid w:val="00675C85"/>
    <w:rsid w:val="00675CFF"/>
    <w:rsid w:val="00675E21"/>
    <w:rsid w:val="00675FDF"/>
    <w:rsid w:val="00676049"/>
    <w:rsid w:val="006762DA"/>
    <w:rsid w:val="006762E5"/>
    <w:rsid w:val="00676685"/>
    <w:rsid w:val="00676889"/>
    <w:rsid w:val="00676957"/>
    <w:rsid w:val="00676AD5"/>
    <w:rsid w:val="00676B11"/>
    <w:rsid w:val="00676C2E"/>
    <w:rsid w:val="00676F06"/>
    <w:rsid w:val="0067719A"/>
    <w:rsid w:val="006771DE"/>
    <w:rsid w:val="0067736D"/>
    <w:rsid w:val="006774C1"/>
    <w:rsid w:val="006777F7"/>
    <w:rsid w:val="00677E3F"/>
    <w:rsid w:val="00680181"/>
    <w:rsid w:val="00680260"/>
    <w:rsid w:val="00680731"/>
    <w:rsid w:val="00680792"/>
    <w:rsid w:val="0068098C"/>
    <w:rsid w:val="00680A68"/>
    <w:rsid w:val="00680B6F"/>
    <w:rsid w:val="00680D3C"/>
    <w:rsid w:val="00680F41"/>
    <w:rsid w:val="00680F9A"/>
    <w:rsid w:val="0068106F"/>
    <w:rsid w:val="00681190"/>
    <w:rsid w:val="006811F0"/>
    <w:rsid w:val="0068123E"/>
    <w:rsid w:val="006813E7"/>
    <w:rsid w:val="00681608"/>
    <w:rsid w:val="0068160C"/>
    <w:rsid w:val="006818F4"/>
    <w:rsid w:val="006819AE"/>
    <w:rsid w:val="00681F6D"/>
    <w:rsid w:val="00681FF0"/>
    <w:rsid w:val="006823AF"/>
    <w:rsid w:val="006823F6"/>
    <w:rsid w:val="00682556"/>
    <w:rsid w:val="0068259F"/>
    <w:rsid w:val="0068295B"/>
    <w:rsid w:val="00682A5D"/>
    <w:rsid w:val="00682A9C"/>
    <w:rsid w:val="00682B1E"/>
    <w:rsid w:val="00682D14"/>
    <w:rsid w:val="00682EF5"/>
    <w:rsid w:val="00682FFC"/>
    <w:rsid w:val="00683566"/>
    <w:rsid w:val="0068374A"/>
    <w:rsid w:val="00683906"/>
    <w:rsid w:val="006839C7"/>
    <w:rsid w:val="00683A7B"/>
    <w:rsid w:val="00683BD2"/>
    <w:rsid w:val="00683FBE"/>
    <w:rsid w:val="006840A2"/>
    <w:rsid w:val="0068411E"/>
    <w:rsid w:val="006843D7"/>
    <w:rsid w:val="006848BA"/>
    <w:rsid w:val="00684995"/>
    <w:rsid w:val="00684A8F"/>
    <w:rsid w:val="00684B25"/>
    <w:rsid w:val="00684DBB"/>
    <w:rsid w:val="00684DED"/>
    <w:rsid w:val="00685178"/>
    <w:rsid w:val="0068528D"/>
    <w:rsid w:val="006854EA"/>
    <w:rsid w:val="0068554A"/>
    <w:rsid w:val="00685925"/>
    <w:rsid w:val="0068599E"/>
    <w:rsid w:val="00685BF1"/>
    <w:rsid w:val="00685E8C"/>
    <w:rsid w:val="00685FF4"/>
    <w:rsid w:val="00686011"/>
    <w:rsid w:val="00686038"/>
    <w:rsid w:val="006860BB"/>
    <w:rsid w:val="0068617C"/>
    <w:rsid w:val="00686424"/>
    <w:rsid w:val="00686436"/>
    <w:rsid w:val="0068649D"/>
    <w:rsid w:val="0068695E"/>
    <w:rsid w:val="00686976"/>
    <w:rsid w:val="00687129"/>
    <w:rsid w:val="006871B7"/>
    <w:rsid w:val="00687263"/>
    <w:rsid w:val="00687264"/>
    <w:rsid w:val="006872E8"/>
    <w:rsid w:val="00687334"/>
    <w:rsid w:val="006877C6"/>
    <w:rsid w:val="00687828"/>
    <w:rsid w:val="00687A0C"/>
    <w:rsid w:val="00687CEE"/>
    <w:rsid w:val="00687DA1"/>
    <w:rsid w:val="00690030"/>
    <w:rsid w:val="0069006A"/>
    <w:rsid w:val="0069016C"/>
    <w:rsid w:val="006901DA"/>
    <w:rsid w:val="00690288"/>
    <w:rsid w:val="00690312"/>
    <w:rsid w:val="0069033E"/>
    <w:rsid w:val="00690456"/>
    <w:rsid w:val="0069069D"/>
    <w:rsid w:val="006908F1"/>
    <w:rsid w:val="00690BCB"/>
    <w:rsid w:val="00690C91"/>
    <w:rsid w:val="00690D3F"/>
    <w:rsid w:val="00690FE8"/>
    <w:rsid w:val="00691085"/>
    <w:rsid w:val="0069111A"/>
    <w:rsid w:val="006914F8"/>
    <w:rsid w:val="006917CA"/>
    <w:rsid w:val="00691D3D"/>
    <w:rsid w:val="00691DC7"/>
    <w:rsid w:val="00691F1F"/>
    <w:rsid w:val="00691F84"/>
    <w:rsid w:val="0069207F"/>
    <w:rsid w:val="006920F3"/>
    <w:rsid w:val="00692118"/>
    <w:rsid w:val="006922FF"/>
    <w:rsid w:val="00692328"/>
    <w:rsid w:val="00692482"/>
    <w:rsid w:val="0069259A"/>
    <w:rsid w:val="006925C1"/>
    <w:rsid w:val="006925DC"/>
    <w:rsid w:val="006926C5"/>
    <w:rsid w:val="006929C9"/>
    <w:rsid w:val="00692A97"/>
    <w:rsid w:val="00692FC3"/>
    <w:rsid w:val="006930BD"/>
    <w:rsid w:val="0069326F"/>
    <w:rsid w:val="006938AF"/>
    <w:rsid w:val="006938C5"/>
    <w:rsid w:val="0069395D"/>
    <w:rsid w:val="0069395E"/>
    <w:rsid w:val="00693E1A"/>
    <w:rsid w:val="00693E45"/>
    <w:rsid w:val="00693FAA"/>
    <w:rsid w:val="006941D8"/>
    <w:rsid w:val="0069424F"/>
    <w:rsid w:val="0069428F"/>
    <w:rsid w:val="00694312"/>
    <w:rsid w:val="0069437F"/>
    <w:rsid w:val="0069469B"/>
    <w:rsid w:val="00694A0F"/>
    <w:rsid w:val="00694EA0"/>
    <w:rsid w:val="00695083"/>
    <w:rsid w:val="006956A9"/>
    <w:rsid w:val="0069588E"/>
    <w:rsid w:val="0069597D"/>
    <w:rsid w:val="00695A90"/>
    <w:rsid w:val="00695D2C"/>
    <w:rsid w:val="00695D66"/>
    <w:rsid w:val="00695F23"/>
    <w:rsid w:val="00695F26"/>
    <w:rsid w:val="00695F93"/>
    <w:rsid w:val="0069610C"/>
    <w:rsid w:val="0069615C"/>
    <w:rsid w:val="0069623E"/>
    <w:rsid w:val="006962F3"/>
    <w:rsid w:val="006964ED"/>
    <w:rsid w:val="0069662E"/>
    <w:rsid w:val="00696C23"/>
    <w:rsid w:val="00696D0D"/>
    <w:rsid w:val="00696D3A"/>
    <w:rsid w:val="00696E09"/>
    <w:rsid w:val="00696FE3"/>
    <w:rsid w:val="00696FF6"/>
    <w:rsid w:val="0069749B"/>
    <w:rsid w:val="006974AB"/>
    <w:rsid w:val="006974EA"/>
    <w:rsid w:val="00697B60"/>
    <w:rsid w:val="00697BFC"/>
    <w:rsid w:val="00697F5C"/>
    <w:rsid w:val="00697FD8"/>
    <w:rsid w:val="00697FDB"/>
    <w:rsid w:val="006A017D"/>
    <w:rsid w:val="006A03D2"/>
    <w:rsid w:val="006A043E"/>
    <w:rsid w:val="006A04CA"/>
    <w:rsid w:val="006A092C"/>
    <w:rsid w:val="006A0A7C"/>
    <w:rsid w:val="006A0ABF"/>
    <w:rsid w:val="006A0CCA"/>
    <w:rsid w:val="006A1075"/>
    <w:rsid w:val="006A1078"/>
    <w:rsid w:val="006A10C4"/>
    <w:rsid w:val="006A117A"/>
    <w:rsid w:val="006A1234"/>
    <w:rsid w:val="006A1271"/>
    <w:rsid w:val="006A12C0"/>
    <w:rsid w:val="006A131D"/>
    <w:rsid w:val="006A13B1"/>
    <w:rsid w:val="006A13C1"/>
    <w:rsid w:val="006A15B8"/>
    <w:rsid w:val="006A170A"/>
    <w:rsid w:val="006A1735"/>
    <w:rsid w:val="006A17CA"/>
    <w:rsid w:val="006A18B2"/>
    <w:rsid w:val="006A18E4"/>
    <w:rsid w:val="006A1CD1"/>
    <w:rsid w:val="006A1DF3"/>
    <w:rsid w:val="006A1E3E"/>
    <w:rsid w:val="006A1E8C"/>
    <w:rsid w:val="006A1ED1"/>
    <w:rsid w:val="006A2637"/>
    <w:rsid w:val="006A2726"/>
    <w:rsid w:val="006A2795"/>
    <w:rsid w:val="006A2822"/>
    <w:rsid w:val="006A2991"/>
    <w:rsid w:val="006A2AD7"/>
    <w:rsid w:val="006A2B8A"/>
    <w:rsid w:val="006A2B92"/>
    <w:rsid w:val="006A2BA8"/>
    <w:rsid w:val="006A35B6"/>
    <w:rsid w:val="006A35C3"/>
    <w:rsid w:val="006A382B"/>
    <w:rsid w:val="006A39F6"/>
    <w:rsid w:val="006A3ADA"/>
    <w:rsid w:val="006A3E66"/>
    <w:rsid w:val="006A3E72"/>
    <w:rsid w:val="006A40A5"/>
    <w:rsid w:val="006A4488"/>
    <w:rsid w:val="006A46E3"/>
    <w:rsid w:val="006A4A38"/>
    <w:rsid w:val="006A4BAD"/>
    <w:rsid w:val="006A4DC5"/>
    <w:rsid w:val="006A4EBE"/>
    <w:rsid w:val="006A4F27"/>
    <w:rsid w:val="006A529E"/>
    <w:rsid w:val="006A5549"/>
    <w:rsid w:val="006A5663"/>
    <w:rsid w:val="006A57A3"/>
    <w:rsid w:val="006A5ADE"/>
    <w:rsid w:val="006A5B31"/>
    <w:rsid w:val="006A5BD9"/>
    <w:rsid w:val="006A5C6E"/>
    <w:rsid w:val="006A5D0B"/>
    <w:rsid w:val="006A5DF9"/>
    <w:rsid w:val="006A5E5E"/>
    <w:rsid w:val="006A5FDE"/>
    <w:rsid w:val="006A6075"/>
    <w:rsid w:val="006A6114"/>
    <w:rsid w:val="006A6553"/>
    <w:rsid w:val="006A6B42"/>
    <w:rsid w:val="006A6C0C"/>
    <w:rsid w:val="006A6D6D"/>
    <w:rsid w:val="006A6DD8"/>
    <w:rsid w:val="006A6FD7"/>
    <w:rsid w:val="006A709B"/>
    <w:rsid w:val="006A7256"/>
    <w:rsid w:val="006A73A4"/>
    <w:rsid w:val="006A78CB"/>
    <w:rsid w:val="006A7A52"/>
    <w:rsid w:val="006A7AA0"/>
    <w:rsid w:val="006A7CF5"/>
    <w:rsid w:val="006B042E"/>
    <w:rsid w:val="006B0444"/>
    <w:rsid w:val="006B04CA"/>
    <w:rsid w:val="006B05A7"/>
    <w:rsid w:val="006B06A4"/>
    <w:rsid w:val="006B07D8"/>
    <w:rsid w:val="006B085F"/>
    <w:rsid w:val="006B089B"/>
    <w:rsid w:val="006B0A14"/>
    <w:rsid w:val="006B0C4C"/>
    <w:rsid w:val="006B0CCB"/>
    <w:rsid w:val="006B0D46"/>
    <w:rsid w:val="006B0D86"/>
    <w:rsid w:val="006B0F43"/>
    <w:rsid w:val="006B0F8A"/>
    <w:rsid w:val="006B1312"/>
    <w:rsid w:val="006B1738"/>
    <w:rsid w:val="006B180E"/>
    <w:rsid w:val="006B1AA6"/>
    <w:rsid w:val="006B1B09"/>
    <w:rsid w:val="006B1B89"/>
    <w:rsid w:val="006B1C4B"/>
    <w:rsid w:val="006B1CF6"/>
    <w:rsid w:val="006B1E91"/>
    <w:rsid w:val="006B1EE4"/>
    <w:rsid w:val="006B22E4"/>
    <w:rsid w:val="006B2432"/>
    <w:rsid w:val="006B249B"/>
    <w:rsid w:val="006B2611"/>
    <w:rsid w:val="006B269B"/>
    <w:rsid w:val="006B26AC"/>
    <w:rsid w:val="006B2916"/>
    <w:rsid w:val="006B2941"/>
    <w:rsid w:val="006B2A53"/>
    <w:rsid w:val="006B2AF2"/>
    <w:rsid w:val="006B2ED3"/>
    <w:rsid w:val="006B3014"/>
    <w:rsid w:val="006B3044"/>
    <w:rsid w:val="006B317B"/>
    <w:rsid w:val="006B3188"/>
    <w:rsid w:val="006B3208"/>
    <w:rsid w:val="006B3281"/>
    <w:rsid w:val="006B32E9"/>
    <w:rsid w:val="006B3301"/>
    <w:rsid w:val="006B33B1"/>
    <w:rsid w:val="006B340A"/>
    <w:rsid w:val="006B35EA"/>
    <w:rsid w:val="006B3766"/>
    <w:rsid w:val="006B3A0A"/>
    <w:rsid w:val="006B3A44"/>
    <w:rsid w:val="006B3B7B"/>
    <w:rsid w:val="006B3CDB"/>
    <w:rsid w:val="006B3E41"/>
    <w:rsid w:val="006B4248"/>
    <w:rsid w:val="006B42E3"/>
    <w:rsid w:val="006B472B"/>
    <w:rsid w:val="006B47FD"/>
    <w:rsid w:val="006B48A5"/>
    <w:rsid w:val="006B4A7D"/>
    <w:rsid w:val="006B4A82"/>
    <w:rsid w:val="006B4B37"/>
    <w:rsid w:val="006B4D7D"/>
    <w:rsid w:val="006B4DB5"/>
    <w:rsid w:val="006B4E8B"/>
    <w:rsid w:val="006B4E97"/>
    <w:rsid w:val="006B4F24"/>
    <w:rsid w:val="006B50F5"/>
    <w:rsid w:val="006B511D"/>
    <w:rsid w:val="006B51DA"/>
    <w:rsid w:val="006B5265"/>
    <w:rsid w:val="006B53B4"/>
    <w:rsid w:val="006B5696"/>
    <w:rsid w:val="006B56FC"/>
    <w:rsid w:val="006B577B"/>
    <w:rsid w:val="006B59DF"/>
    <w:rsid w:val="006B59E1"/>
    <w:rsid w:val="006B5B15"/>
    <w:rsid w:val="006B5B39"/>
    <w:rsid w:val="006B5D5E"/>
    <w:rsid w:val="006B5D9C"/>
    <w:rsid w:val="006B5EA7"/>
    <w:rsid w:val="006B5EC3"/>
    <w:rsid w:val="006B5EDC"/>
    <w:rsid w:val="006B6067"/>
    <w:rsid w:val="006B60B9"/>
    <w:rsid w:val="006B63FC"/>
    <w:rsid w:val="006B652E"/>
    <w:rsid w:val="006B66AD"/>
    <w:rsid w:val="006B66D2"/>
    <w:rsid w:val="006B6CED"/>
    <w:rsid w:val="006B702C"/>
    <w:rsid w:val="006B763B"/>
    <w:rsid w:val="006B77F3"/>
    <w:rsid w:val="006B790C"/>
    <w:rsid w:val="006B7A87"/>
    <w:rsid w:val="006B7B59"/>
    <w:rsid w:val="006B7BD8"/>
    <w:rsid w:val="006B9ADD"/>
    <w:rsid w:val="006C002E"/>
    <w:rsid w:val="006C009D"/>
    <w:rsid w:val="006C00BA"/>
    <w:rsid w:val="006C0252"/>
    <w:rsid w:val="006C05D5"/>
    <w:rsid w:val="006C0869"/>
    <w:rsid w:val="006C0887"/>
    <w:rsid w:val="006C08AD"/>
    <w:rsid w:val="006C08FE"/>
    <w:rsid w:val="006C0A18"/>
    <w:rsid w:val="006C0B8F"/>
    <w:rsid w:val="006C0BAF"/>
    <w:rsid w:val="006C0C65"/>
    <w:rsid w:val="006C0ED2"/>
    <w:rsid w:val="006C133E"/>
    <w:rsid w:val="006C13CA"/>
    <w:rsid w:val="006C183C"/>
    <w:rsid w:val="006C187E"/>
    <w:rsid w:val="006C19D9"/>
    <w:rsid w:val="006C19F8"/>
    <w:rsid w:val="006C1F0E"/>
    <w:rsid w:val="006C209D"/>
    <w:rsid w:val="006C21B2"/>
    <w:rsid w:val="006C2293"/>
    <w:rsid w:val="006C22EE"/>
    <w:rsid w:val="006C2303"/>
    <w:rsid w:val="006C2305"/>
    <w:rsid w:val="006C2392"/>
    <w:rsid w:val="006C23E2"/>
    <w:rsid w:val="006C23E6"/>
    <w:rsid w:val="006C23EB"/>
    <w:rsid w:val="006C253D"/>
    <w:rsid w:val="006C2598"/>
    <w:rsid w:val="006C270D"/>
    <w:rsid w:val="006C2746"/>
    <w:rsid w:val="006C29DC"/>
    <w:rsid w:val="006C2D8B"/>
    <w:rsid w:val="006C3093"/>
    <w:rsid w:val="006C318A"/>
    <w:rsid w:val="006C32F3"/>
    <w:rsid w:val="006C3645"/>
    <w:rsid w:val="006C37CE"/>
    <w:rsid w:val="006C398D"/>
    <w:rsid w:val="006C3C02"/>
    <w:rsid w:val="006C3C9F"/>
    <w:rsid w:val="006C3CC0"/>
    <w:rsid w:val="006C3FAE"/>
    <w:rsid w:val="006C4070"/>
    <w:rsid w:val="006C4112"/>
    <w:rsid w:val="006C4144"/>
    <w:rsid w:val="006C414C"/>
    <w:rsid w:val="006C4293"/>
    <w:rsid w:val="006C43A7"/>
    <w:rsid w:val="006C4409"/>
    <w:rsid w:val="006C44D1"/>
    <w:rsid w:val="006C44F5"/>
    <w:rsid w:val="006C4608"/>
    <w:rsid w:val="006C4678"/>
    <w:rsid w:val="006C4A6F"/>
    <w:rsid w:val="006C4B60"/>
    <w:rsid w:val="006C4BB2"/>
    <w:rsid w:val="006C4C44"/>
    <w:rsid w:val="006C4E01"/>
    <w:rsid w:val="006C511F"/>
    <w:rsid w:val="006C5123"/>
    <w:rsid w:val="006C5480"/>
    <w:rsid w:val="006C54EB"/>
    <w:rsid w:val="006C58E0"/>
    <w:rsid w:val="006C5BED"/>
    <w:rsid w:val="006C5DF2"/>
    <w:rsid w:val="006C5E07"/>
    <w:rsid w:val="006C5E61"/>
    <w:rsid w:val="006C5F60"/>
    <w:rsid w:val="006C5F70"/>
    <w:rsid w:val="006C5F83"/>
    <w:rsid w:val="006C60B4"/>
    <w:rsid w:val="006C6BA1"/>
    <w:rsid w:val="006C72B9"/>
    <w:rsid w:val="006C74F2"/>
    <w:rsid w:val="006C7695"/>
    <w:rsid w:val="006C76D6"/>
    <w:rsid w:val="006C777A"/>
    <w:rsid w:val="006C7A2C"/>
    <w:rsid w:val="006C7B63"/>
    <w:rsid w:val="006C7B71"/>
    <w:rsid w:val="006C7D05"/>
    <w:rsid w:val="006C7DB5"/>
    <w:rsid w:val="006C7ECE"/>
    <w:rsid w:val="006C7FC3"/>
    <w:rsid w:val="006D03D0"/>
    <w:rsid w:val="006D0612"/>
    <w:rsid w:val="006D0663"/>
    <w:rsid w:val="006D07E5"/>
    <w:rsid w:val="006D083E"/>
    <w:rsid w:val="006D0970"/>
    <w:rsid w:val="006D0A93"/>
    <w:rsid w:val="006D0AF0"/>
    <w:rsid w:val="006D0BBA"/>
    <w:rsid w:val="006D0BD7"/>
    <w:rsid w:val="006D0C43"/>
    <w:rsid w:val="006D0C98"/>
    <w:rsid w:val="006D0DA0"/>
    <w:rsid w:val="006D0DF0"/>
    <w:rsid w:val="006D0DFE"/>
    <w:rsid w:val="006D1117"/>
    <w:rsid w:val="006D1247"/>
    <w:rsid w:val="006D1356"/>
    <w:rsid w:val="006D137C"/>
    <w:rsid w:val="006D155C"/>
    <w:rsid w:val="006D171E"/>
    <w:rsid w:val="006D19B8"/>
    <w:rsid w:val="006D1B4D"/>
    <w:rsid w:val="006D1B50"/>
    <w:rsid w:val="006D21BB"/>
    <w:rsid w:val="006D226A"/>
    <w:rsid w:val="006D25C1"/>
    <w:rsid w:val="006D25F3"/>
    <w:rsid w:val="006D2777"/>
    <w:rsid w:val="006D27EE"/>
    <w:rsid w:val="006D2838"/>
    <w:rsid w:val="006D2906"/>
    <w:rsid w:val="006D2BD8"/>
    <w:rsid w:val="006D2C10"/>
    <w:rsid w:val="006D2CB7"/>
    <w:rsid w:val="006D2E76"/>
    <w:rsid w:val="006D2F4A"/>
    <w:rsid w:val="006D3024"/>
    <w:rsid w:val="006D30E8"/>
    <w:rsid w:val="006D33AC"/>
    <w:rsid w:val="006D3412"/>
    <w:rsid w:val="006D370B"/>
    <w:rsid w:val="006D377C"/>
    <w:rsid w:val="006D382B"/>
    <w:rsid w:val="006D3A97"/>
    <w:rsid w:val="006D3AF8"/>
    <w:rsid w:val="006D3B2B"/>
    <w:rsid w:val="006D3F54"/>
    <w:rsid w:val="006D3F5D"/>
    <w:rsid w:val="006D40C2"/>
    <w:rsid w:val="006D4151"/>
    <w:rsid w:val="006D41CF"/>
    <w:rsid w:val="006D4201"/>
    <w:rsid w:val="006D44F0"/>
    <w:rsid w:val="006D4603"/>
    <w:rsid w:val="006D46AC"/>
    <w:rsid w:val="006D4ACD"/>
    <w:rsid w:val="006D4C23"/>
    <w:rsid w:val="006D4C78"/>
    <w:rsid w:val="006D4E84"/>
    <w:rsid w:val="006D4F88"/>
    <w:rsid w:val="006D518C"/>
    <w:rsid w:val="006D5233"/>
    <w:rsid w:val="006D5353"/>
    <w:rsid w:val="006D53C4"/>
    <w:rsid w:val="006D53D4"/>
    <w:rsid w:val="006D53F3"/>
    <w:rsid w:val="006D5DFC"/>
    <w:rsid w:val="006D5EA4"/>
    <w:rsid w:val="006D5FE3"/>
    <w:rsid w:val="006D603A"/>
    <w:rsid w:val="006D603E"/>
    <w:rsid w:val="006D62FE"/>
    <w:rsid w:val="006D6551"/>
    <w:rsid w:val="006D6981"/>
    <w:rsid w:val="006D6A59"/>
    <w:rsid w:val="006D70DD"/>
    <w:rsid w:val="006D72D2"/>
    <w:rsid w:val="006D7331"/>
    <w:rsid w:val="006D7430"/>
    <w:rsid w:val="006D7440"/>
    <w:rsid w:val="006D7587"/>
    <w:rsid w:val="006D7826"/>
    <w:rsid w:val="006D7AA9"/>
    <w:rsid w:val="006D7C01"/>
    <w:rsid w:val="006D7DBE"/>
    <w:rsid w:val="006D7E3E"/>
    <w:rsid w:val="006D7E75"/>
    <w:rsid w:val="006E0019"/>
    <w:rsid w:val="006E0716"/>
    <w:rsid w:val="006E086B"/>
    <w:rsid w:val="006E08CE"/>
    <w:rsid w:val="006E08D1"/>
    <w:rsid w:val="006E09E2"/>
    <w:rsid w:val="006E0BC1"/>
    <w:rsid w:val="006E0D4A"/>
    <w:rsid w:val="006E0EFC"/>
    <w:rsid w:val="006E11FB"/>
    <w:rsid w:val="006E12BD"/>
    <w:rsid w:val="006E13AD"/>
    <w:rsid w:val="006E17C3"/>
    <w:rsid w:val="006E182C"/>
    <w:rsid w:val="006E1BEF"/>
    <w:rsid w:val="006E1D73"/>
    <w:rsid w:val="006E1E0B"/>
    <w:rsid w:val="006E2092"/>
    <w:rsid w:val="006E2341"/>
    <w:rsid w:val="006E2466"/>
    <w:rsid w:val="006E267F"/>
    <w:rsid w:val="006E278A"/>
    <w:rsid w:val="006E293D"/>
    <w:rsid w:val="006E2BB3"/>
    <w:rsid w:val="006E33DD"/>
    <w:rsid w:val="006E350F"/>
    <w:rsid w:val="006E359A"/>
    <w:rsid w:val="006E3897"/>
    <w:rsid w:val="006E3906"/>
    <w:rsid w:val="006E3BA5"/>
    <w:rsid w:val="006E3BE0"/>
    <w:rsid w:val="006E4362"/>
    <w:rsid w:val="006E437F"/>
    <w:rsid w:val="006E4635"/>
    <w:rsid w:val="006E489D"/>
    <w:rsid w:val="006E497E"/>
    <w:rsid w:val="006E4A21"/>
    <w:rsid w:val="006E4B92"/>
    <w:rsid w:val="006E4CA7"/>
    <w:rsid w:val="006E4CF5"/>
    <w:rsid w:val="006E4D6E"/>
    <w:rsid w:val="006E52D7"/>
    <w:rsid w:val="006E52F8"/>
    <w:rsid w:val="006E534E"/>
    <w:rsid w:val="006E57B4"/>
    <w:rsid w:val="006E5845"/>
    <w:rsid w:val="006E5B07"/>
    <w:rsid w:val="006E5B2F"/>
    <w:rsid w:val="006E5C39"/>
    <w:rsid w:val="006E5C7E"/>
    <w:rsid w:val="006E5D2F"/>
    <w:rsid w:val="006E5DF0"/>
    <w:rsid w:val="006E5E82"/>
    <w:rsid w:val="006E5F4C"/>
    <w:rsid w:val="006E60F1"/>
    <w:rsid w:val="006E61BC"/>
    <w:rsid w:val="006E6454"/>
    <w:rsid w:val="006E647F"/>
    <w:rsid w:val="006E672C"/>
    <w:rsid w:val="006E674E"/>
    <w:rsid w:val="006E6A4F"/>
    <w:rsid w:val="006E6B4C"/>
    <w:rsid w:val="006E6D7F"/>
    <w:rsid w:val="006E706E"/>
    <w:rsid w:val="006E7114"/>
    <w:rsid w:val="006E716E"/>
    <w:rsid w:val="006E72F8"/>
    <w:rsid w:val="006E7807"/>
    <w:rsid w:val="006E7B64"/>
    <w:rsid w:val="006E7C59"/>
    <w:rsid w:val="006E7D9B"/>
    <w:rsid w:val="006E7F27"/>
    <w:rsid w:val="006F01F0"/>
    <w:rsid w:val="006F0263"/>
    <w:rsid w:val="006F081B"/>
    <w:rsid w:val="006F083C"/>
    <w:rsid w:val="006F08BC"/>
    <w:rsid w:val="006F0AB4"/>
    <w:rsid w:val="006F0E0C"/>
    <w:rsid w:val="006F0E86"/>
    <w:rsid w:val="006F104D"/>
    <w:rsid w:val="006F12DF"/>
    <w:rsid w:val="006F1304"/>
    <w:rsid w:val="006F1337"/>
    <w:rsid w:val="006F157C"/>
    <w:rsid w:val="006F15A1"/>
    <w:rsid w:val="006F165C"/>
    <w:rsid w:val="006F1853"/>
    <w:rsid w:val="006F192F"/>
    <w:rsid w:val="006F1A76"/>
    <w:rsid w:val="006F1AF7"/>
    <w:rsid w:val="006F1D82"/>
    <w:rsid w:val="006F1E8E"/>
    <w:rsid w:val="006F245A"/>
    <w:rsid w:val="006F2558"/>
    <w:rsid w:val="006F267A"/>
    <w:rsid w:val="006F2778"/>
    <w:rsid w:val="006F293C"/>
    <w:rsid w:val="006F2995"/>
    <w:rsid w:val="006F2A91"/>
    <w:rsid w:val="006F2B49"/>
    <w:rsid w:val="006F2E9B"/>
    <w:rsid w:val="006F2FA8"/>
    <w:rsid w:val="006F3056"/>
    <w:rsid w:val="006F30FB"/>
    <w:rsid w:val="006F327D"/>
    <w:rsid w:val="006F35E1"/>
    <w:rsid w:val="006F3619"/>
    <w:rsid w:val="006F36A3"/>
    <w:rsid w:val="006F3959"/>
    <w:rsid w:val="006F3A0E"/>
    <w:rsid w:val="006F3D0F"/>
    <w:rsid w:val="006F3E3F"/>
    <w:rsid w:val="006F3FE1"/>
    <w:rsid w:val="006F412A"/>
    <w:rsid w:val="006F4239"/>
    <w:rsid w:val="006F4394"/>
    <w:rsid w:val="006F4411"/>
    <w:rsid w:val="006F44A2"/>
    <w:rsid w:val="006F4569"/>
    <w:rsid w:val="006F481F"/>
    <w:rsid w:val="006F48D6"/>
    <w:rsid w:val="006F4AEA"/>
    <w:rsid w:val="006F4B9D"/>
    <w:rsid w:val="006F4C9A"/>
    <w:rsid w:val="006F4E13"/>
    <w:rsid w:val="006F505D"/>
    <w:rsid w:val="006F56BD"/>
    <w:rsid w:val="006F573D"/>
    <w:rsid w:val="006F5B1E"/>
    <w:rsid w:val="006F5B40"/>
    <w:rsid w:val="006F5C00"/>
    <w:rsid w:val="006F6296"/>
    <w:rsid w:val="006F62D3"/>
    <w:rsid w:val="006F62E4"/>
    <w:rsid w:val="006F63D9"/>
    <w:rsid w:val="006F642E"/>
    <w:rsid w:val="006F674A"/>
    <w:rsid w:val="006F6756"/>
    <w:rsid w:val="006F6B77"/>
    <w:rsid w:val="006F6C58"/>
    <w:rsid w:val="006F6C7C"/>
    <w:rsid w:val="006F6D2D"/>
    <w:rsid w:val="006F6F7A"/>
    <w:rsid w:val="006F7195"/>
    <w:rsid w:val="006F7326"/>
    <w:rsid w:val="006F73F7"/>
    <w:rsid w:val="006F7436"/>
    <w:rsid w:val="006F747D"/>
    <w:rsid w:val="006F7769"/>
    <w:rsid w:val="006F79D3"/>
    <w:rsid w:val="006F7B07"/>
    <w:rsid w:val="006F7B92"/>
    <w:rsid w:val="006F7CB5"/>
    <w:rsid w:val="006F7D1F"/>
    <w:rsid w:val="006F7D26"/>
    <w:rsid w:val="006F7F39"/>
    <w:rsid w:val="00700179"/>
    <w:rsid w:val="00700197"/>
    <w:rsid w:val="00700252"/>
    <w:rsid w:val="007002C4"/>
    <w:rsid w:val="00700300"/>
    <w:rsid w:val="0070036F"/>
    <w:rsid w:val="007006A8"/>
    <w:rsid w:val="007006AB"/>
    <w:rsid w:val="00700796"/>
    <w:rsid w:val="007007C6"/>
    <w:rsid w:val="00700823"/>
    <w:rsid w:val="00700838"/>
    <w:rsid w:val="00700A1B"/>
    <w:rsid w:val="00700A67"/>
    <w:rsid w:val="00700B48"/>
    <w:rsid w:val="00700FF0"/>
    <w:rsid w:val="007010AB"/>
    <w:rsid w:val="007012B9"/>
    <w:rsid w:val="007012C5"/>
    <w:rsid w:val="00701347"/>
    <w:rsid w:val="00701632"/>
    <w:rsid w:val="0070165C"/>
    <w:rsid w:val="00701BED"/>
    <w:rsid w:val="00701C9E"/>
    <w:rsid w:val="00701F25"/>
    <w:rsid w:val="007021CF"/>
    <w:rsid w:val="007022AC"/>
    <w:rsid w:val="0070230E"/>
    <w:rsid w:val="00702329"/>
    <w:rsid w:val="007024CE"/>
    <w:rsid w:val="007024D9"/>
    <w:rsid w:val="00702634"/>
    <w:rsid w:val="0070286B"/>
    <w:rsid w:val="00702A03"/>
    <w:rsid w:val="00702C00"/>
    <w:rsid w:val="00702E58"/>
    <w:rsid w:val="00702F99"/>
    <w:rsid w:val="00703594"/>
    <w:rsid w:val="0070362A"/>
    <w:rsid w:val="007036B8"/>
    <w:rsid w:val="0070376C"/>
    <w:rsid w:val="007037C5"/>
    <w:rsid w:val="00703AD4"/>
    <w:rsid w:val="00703C31"/>
    <w:rsid w:val="00703EE8"/>
    <w:rsid w:val="00703FCD"/>
    <w:rsid w:val="00704070"/>
    <w:rsid w:val="00704158"/>
    <w:rsid w:val="0070416C"/>
    <w:rsid w:val="00704172"/>
    <w:rsid w:val="00704347"/>
    <w:rsid w:val="00704B54"/>
    <w:rsid w:val="00704F01"/>
    <w:rsid w:val="00705092"/>
    <w:rsid w:val="0070509A"/>
    <w:rsid w:val="007050A0"/>
    <w:rsid w:val="00705133"/>
    <w:rsid w:val="0070514D"/>
    <w:rsid w:val="007053D9"/>
    <w:rsid w:val="0070590C"/>
    <w:rsid w:val="0070593E"/>
    <w:rsid w:val="00705BB1"/>
    <w:rsid w:val="00705C8C"/>
    <w:rsid w:val="00705DC7"/>
    <w:rsid w:val="00705E41"/>
    <w:rsid w:val="007061D8"/>
    <w:rsid w:val="00706298"/>
    <w:rsid w:val="007063C2"/>
    <w:rsid w:val="007064C0"/>
    <w:rsid w:val="007066AE"/>
    <w:rsid w:val="007068C7"/>
    <w:rsid w:val="00706984"/>
    <w:rsid w:val="00706A86"/>
    <w:rsid w:val="00706D4D"/>
    <w:rsid w:val="00707050"/>
    <w:rsid w:val="007071FE"/>
    <w:rsid w:val="0070729E"/>
    <w:rsid w:val="007073DC"/>
    <w:rsid w:val="00707405"/>
    <w:rsid w:val="007075FA"/>
    <w:rsid w:val="00707B8D"/>
    <w:rsid w:val="00707C7B"/>
    <w:rsid w:val="00707E09"/>
    <w:rsid w:val="00707F65"/>
    <w:rsid w:val="00707FB9"/>
    <w:rsid w:val="007100E6"/>
    <w:rsid w:val="007102FA"/>
    <w:rsid w:val="00710333"/>
    <w:rsid w:val="007103FB"/>
    <w:rsid w:val="007104D2"/>
    <w:rsid w:val="0071079A"/>
    <w:rsid w:val="0071080C"/>
    <w:rsid w:val="0071084C"/>
    <w:rsid w:val="00710D31"/>
    <w:rsid w:val="00710DB4"/>
    <w:rsid w:val="00710E63"/>
    <w:rsid w:val="007115AC"/>
    <w:rsid w:val="007116CA"/>
    <w:rsid w:val="00711719"/>
    <w:rsid w:val="00711765"/>
    <w:rsid w:val="00711935"/>
    <w:rsid w:val="00711A21"/>
    <w:rsid w:val="00711A67"/>
    <w:rsid w:val="00711AFF"/>
    <w:rsid w:val="00711C32"/>
    <w:rsid w:val="00711E84"/>
    <w:rsid w:val="007123E6"/>
    <w:rsid w:val="007123F6"/>
    <w:rsid w:val="007124D6"/>
    <w:rsid w:val="007124DB"/>
    <w:rsid w:val="007128B2"/>
    <w:rsid w:val="007129F8"/>
    <w:rsid w:val="00712CC8"/>
    <w:rsid w:val="00712E7F"/>
    <w:rsid w:val="00713187"/>
    <w:rsid w:val="007134DC"/>
    <w:rsid w:val="0071354E"/>
    <w:rsid w:val="007136D6"/>
    <w:rsid w:val="00713796"/>
    <w:rsid w:val="007137BB"/>
    <w:rsid w:val="007138DD"/>
    <w:rsid w:val="00713B53"/>
    <w:rsid w:val="00713CAD"/>
    <w:rsid w:val="00713E1C"/>
    <w:rsid w:val="00713F69"/>
    <w:rsid w:val="007143FE"/>
    <w:rsid w:val="007146BE"/>
    <w:rsid w:val="00714973"/>
    <w:rsid w:val="00714A77"/>
    <w:rsid w:val="00714D15"/>
    <w:rsid w:val="00714D71"/>
    <w:rsid w:val="00714D90"/>
    <w:rsid w:val="00714DCB"/>
    <w:rsid w:val="00714E79"/>
    <w:rsid w:val="0071527D"/>
    <w:rsid w:val="007152C0"/>
    <w:rsid w:val="00715475"/>
    <w:rsid w:val="00715601"/>
    <w:rsid w:val="0071567D"/>
    <w:rsid w:val="0071597C"/>
    <w:rsid w:val="00715A81"/>
    <w:rsid w:val="00715AEB"/>
    <w:rsid w:val="00715C71"/>
    <w:rsid w:val="00715EC5"/>
    <w:rsid w:val="00715F18"/>
    <w:rsid w:val="00715F25"/>
    <w:rsid w:val="007162D8"/>
    <w:rsid w:val="00716363"/>
    <w:rsid w:val="0071661F"/>
    <w:rsid w:val="0071669C"/>
    <w:rsid w:val="00716715"/>
    <w:rsid w:val="007169E0"/>
    <w:rsid w:val="00716A15"/>
    <w:rsid w:val="00716A5F"/>
    <w:rsid w:val="00716B06"/>
    <w:rsid w:val="00716B6E"/>
    <w:rsid w:val="00716D92"/>
    <w:rsid w:val="00716FE4"/>
    <w:rsid w:val="00717054"/>
    <w:rsid w:val="007170E3"/>
    <w:rsid w:val="0071733B"/>
    <w:rsid w:val="0071738E"/>
    <w:rsid w:val="007173A1"/>
    <w:rsid w:val="00717AB1"/>
    <w:rsid w:val="0071CDE0"/>
    <w:rsid w:val="00720039"/>
    <w:rsid w:val="0072003A"/>
    <w:rsid w:val="007203B0"/>
    <w:rsid w:val="00720465"/>
    <w:rsid w:val="00720619"/>
    <w:rsid w:val="00720857"/>
    <w:rsid w:val="007208B2"/>
    <w:rsid w:val="00720917"/>
    <w:rsid w:val="00720930"/>
    <w:rsid w:val="007209CD"/>
    <w:rsid w:val="00720BC1"/>
    <w:rsid w:val="00720BDF"/>
    <w:rsid w:val="00720C62"/>
    <w:rsid w:val="00720CC5"/>
    <w:rsid w:val="00720D91"/>
    <w:rsid w:val="00720DEB"/>
    <w:rsid w:val="00720DF8"/>
    <w:rsid w:val="00720E17"/>
    <w:rsid w:val="00720E77"/>
    <w:rsid w:val="0072122F"/>
    <w:rsid w:val="00721286"/>
    <w:rsid w:val="00721594"/>
    <w:rsid w:val="007215D6"/>
    <w:rsid w:val="00721636"/>
    <w:rsid w:val="00721641"/>
    <w:rsid w:val="0072191A"/>
    <w:rsid w:val="00721968"/>
    <w:rsid w:val="00721F0C"/>
    <w:rsid w:val="00722134"/>
    <w:rsid w:val="0072226B"/>
    <w:rsid w:val="007223E8"/>
    <w:rsid w:val="00722409"/>
    <w:rsid w:val="007224C7"/>
    <w:rsid w:val="00722537"/>
    <w:rsid w:val="007225C9"/>
    <w:rsid w:val="007225D5"/>
    <w:rsid w:val="007226F5"/>
    <w:rsid w:val="00722998"/>
    <w:rsid w:val="00722B43"/>
    <w:rsid w:val="00722C6A"/>
    <w:rsid w:val="0072301D"/>
    <w:rsid w:val="00723348"/>
    <w:rsid w:val="007236F2"/>
    <w:rsid w:val="00723734"/>
    <w:rsid w:val="007238F8"/>
    <w:rsid w:val="00723931"/>
    <w:rsid w:val="007239F8"/>
    <w:rsid w:val="00723A16"/>
    <w:rsid w:val="00723BFF"/>
    <w:rsid w:val="00723E06"/>
    <w:rsid w:val="00723E55"/>
    <w:rsid w:val="00723EC9"/>
    <w:rsid w:val="00723F3A"/>
    <w:rsid w:val="00724075"/>
    <w:rsid w:val="007241C0"/>
    <w:rsid w:val="00724275"/>
    <w:rsid w:val="00724303"/>
    <w:rsid w:val="007243E1"/>
    <w:rsid w:val="0072440A"/>
    <w:rsid w:val="0072458F"/>
    <w:rsid w:val="00724598"/>
    <w:rsid w:val="007245CD"/>
    <w:rsid w:val="007247CB"/>
    <w:rsid w:val="007248F1"/>
    <w:rsid w:val="00724E6B"/>
    <w:rsid w:val="00725091"/>
    <w:rsid w:val="0072536F"/>
    <w:rsid w:val="007253BB"/>
    <w:rsid w:val="00725580"/>
    <w:rsid w:val="00725584"/>
    <w:rsid w:val="00725811"/>
    <w:rsid w:val="0072581D"/>
    <w:rsid w:val="00725B2F"/>
    <w:rsid w:val="00725B92"/>
    <w:rsid w:val="00725CD3"/>
    <w:rsid w:val="00725E25"/>
    <w:rsid w:val="00725ED9"/>
    <w:rsid w:val="007262E9"/>
    <w:rsid w:val="0072674F"/>
    <w:rsid w:val="00726C18"/>
    <w:rsid w:val="00726C69"/>
    <w:rsid w:val="00726ED3"/>
    <w:rsid w:val="00726F49"/>
    <w:rsid w:val="0072717B"/>
    <w:rsid w:val="0072776F"/>
    <w:rsid w:val="007277BB"/>
    <w:rsid w:val="0072793C"/>
    <w:rsid w:val="00727B3C"/>
    <w:rsid w:val="00727C6E"/>
    <w:rsid w:val="00727CF5"/>
    <w:rsid w:val="00727E90"/>
    <w:rsid w:val="00730035"/>
    <w:rsid w:val="007301E0"/>
    <w:rsid w:val="007302EA"/>
    <w:rsid w:val="00730358"/>
    <w:rsid w:val="00730490"/>
    <w:rsid w:val="007304E4"/>
    <w:rsid w:val="0073064D"/>
    <w:rsid w:val="00730677"/>
    <w:rsid w:val="007306C8"/>
    <w:rsid w:val="00730806"/>
    <w:rsid w:val="00730D47"/>
    <w:rsid w:val="00730DDB"/>
    <w:rsid w:val="00730DF2"/>
    <w:rsid w:val="00730F27"/>
    <w:rsid w:val="0073137B"/>
    <w:rsid w:val="00731629"/>
    <w:rsid w:val="007316ED"/>
    <w:rsid w:val="00731A2A"/>
    <w:rsid w:val="00731A59"/>
    <w:rsid w:val="00732151"/>
    <w:rsid w:val="007321F2"/>
    <w:rsid w:val="0073249B"/>
    <w:rsid w:val="00732742"/>
    <w:rsid w:val="007327F0"/>
    <w:rsid w:val="00732813"/>
    <w:rsid w:val="00732872"/>
    <w:rsid w:val="00732DD2"/>
    <w:rsid w:val="00732E81"/>
    <w:rsid w:val="00732FEB"/>
    <w:rsid w:val="00732FF1"/>
    <w:rsid w:val="0073309C"/>
    <w:rsid w:val="00733532"/>
    <w:rsid w:val="007336A5"/>
    <w:rsid w:val="007336AB"/>
    <w:rsid w:val="007336E0"/>
    <w:rsid w:val="00733855"/>
    <w:rsid w:val="0073395D"/>
    <w:rsid w:val="00733976"/>
    <w:rsid w:val="00733986"/>
    <w:rsid w:val="00733A7F"/>
    <w:rsid w:val="00733AA6"/>
    <w:rsid w:val="00733B67"/>
    <w:rsid w:val="00733B77"/>
    <w:rsid w:val="00733C11"/>
    <w:rsid w:val="00733EA2"/>
    <w:rsid w:val="00733EC9"/>
    <w:rsid w:val="0073420E"/>
    <w:rsid w:val="0073448F"/>
    <w:rsid w:val="0073455E"/>
    <w:rsid w:val="00734682"/>
    <w:rsid w:val="00734706"/>
    <w:rsid w:val="00734712"/>
    <w:rsid w:val="007348D8"/>
    <w:rsid w:val="0073492F"/>
    <w:rsid w:val="00734A6E"/>
    <w:rsid w:val="00734C74"/>
    <w:rsid w:val="00734CE0"/>
    <w:rsid w:val="00734D08"/>
    <w:rsid w:val="00734D0C"/>
    <w:rsid w:val="00734EE2"/>
    <w:rsid w:val="0073518E"/>
    <w:rsid w:val="007352C5"/>
    <w:rsid w:val="007354D2"/>
    <w:rsid w:val="00735506"/>
    <w:rsid w:val="00735537"/>
    <w:rsid w:val="007356EA"/>
    <w:rsid w:val="007357F1"/>
    <w:rsid w:val="007358D9"/>
    <w:rsid w:val="0073592D"/>
    <w:rsid w:val="0073597D"/>
    <w:rsid w:val="00735B5B"/>
    <w:rsid w:val="00735CD9"/>
    <w:rsid w:val="00735E7D"/>
    <w:rsid w:val="00735FF1"/>
    <w:rsid w:val="00736215"/>
    <w:rsid w:val="00736550"/>
    <w:rsid w:val="00736706"/>
    <w:rsid w:val="00736712"/>
    <w:rsid w:val="007369ED"/>
    <w:rsid w:val="00736A2A"/>
    <w:rsid w:val="00736AB3"/>
    <w:rsid w:val="00736AD1"/>
    <w:rsid w:val="00736C0C"/>
    <w:rsid w:val="00736CA7"/>
    <w:rsid w:val="00736D81"/>
    <w:rsid w:val="00736EDE"/>
    <w:rsid w:val="00737059"/>
    <w:rsid w:val="00737116"/>
    <w:rsid w:val="007372FA"/>
    <w:rsid w:val="00737309"/>
    <w:rsid w:val="007378DE"/>
    <w:rsid w:val="00737AF3"/>
    <w:rsid w:val="00737EBF"/>
    <w:rsid w:val="00737F59"/>
    <w:rsid w:val="00737FE8"/>
    <w:rsid w:val="007403D4"/>
    <w:rsid w:val="007406D3"/>
    <w:rsid w:val="007407F0"/>
    <w:rsid w:val="007408A1"/>
    <w:rsid w:val="00740AD7"/>
    <w:rsid w:val="00740F73"/>
    <w:rsid w:val="00741148"/>
    <w:rsid w:val="007412A4"/>
    <w:rsid w:val="00741342"/>
    <w:rsid w:val="0074155F"/>
    <w:rsid w:val="0074158E"/>
    <w:rsid w:val="00741B2A"/>
    <w:rsid w:val="00741C74"/>
    <w:rsid w:val="00741CB6"/>
    <w:rsid w:val="00741D8E"/>
    <w:rsid w:val="00741D97"/>
    <w:rsid w:val="00741ECD"/>
    <w:rsid w:val="00741FF0"/>
    <w:rsid w:val="0074203F"/>
    <w:rsid w:val="00742186"/>
    <w:rsid w:val="00742200"/>
    <w:rsid w:val="00742214"/>
    <w:rsid w:val="00742898"/>
    <w:rsid w:val="00742D8D"/>
    <w:rsid w:val="00742EFE"/>
    <w:rsid w:val="007433A3"/>
    <w:rsid w:val="0074357B"/>
    <w:rsid w:val="00743773"/>
    <w:rsid w:val="00743A1C"/>
    <w:rsid w:val="00743A37"/>
    <w:rsid w:val="00743AAC"/>
    <w:rsid w:val="00743B39"/>
    <w:rsid w:val="00743B40"/>
    <w:rsid w:val="00743BA1"/>
    <w:rsid w:val="00743D81"/>
    <w:rsid w:val="00743DF1"/>
    <w:rsid w:val="00743F48"/>
    <w:rsid w:val="007440D4"/>
    <w:rsid w:val="0074418E"/>
    <w:rsid w:val="00744256"/>
    <w:rsid w:val="0074431D"/>
    <w:rsid w:val="0074464D"/>
    <w:rsid w:val="007446B4"/>
    <w:rsid w:val="0074471B"/>
    <w:rsid w:val="007447BD"/>
    <w:rsid w:val="00744A07"/>
    <w:rsid w:val="00744FE5"/>
    <w:rsid w:val="00744FF6"/>
    <w:rsid w:val="00745216"/>
    <w:rsid w:val="0074541E"/>
    <w:rsid w:val="0074546E"/>
    <w:rsid w:val="00745570"/>
    <w:rsid w:val="00745B2F"/>
    <w:rsid w:val="00745B69"/>
    <w:rsid w:val="00745DC1"/>
    <w:rsid w:val="00745E60"/>
    <w:rsid w:val="00745E77"/>
    <w:rsid w:val="00745F78"/>
    <w:rsid w:val="00746862"/>
    <w:rsid w:val="00746BD3"/>
    <w:rsid w:val="00746C8F"/>
    <w:rsid w:val="00746D36"/>
    <w:rsid w:val="00746DE0"/>
    <w:rsid w:val="00746E16"/>
    <w:rsid w:val="00746E1E"/>
    <w:rsid w:val="00746EBC"/>
    <w:rsid w:val="00746F73"/>
    <w:rsid w:val="00746FBF"/>
    <w:rsid w:val="0074703C"/>
    <w:rsid w:val="007470D2"/>
    <w:rsid w:val="0074723A"/>
    <w:rsid w:val="007473C9"/>
    <w:rsid w:val="007476C0"/>
    <w:rsid w:val="00747971"/>
    <w:rsid w:val="00747976"/>
    <w:rsid w:val="007479FE"/>
    <w:rsid w:val="00747AD0"/>
    <w:rsid w:val="00750143"/>
    <w:rsid w:val="007501DD"/>
    <w:rsid w:val="007502F0"/>
    <w:rsid w:val="00750328"/>
    <w:rsid w:val="0075041E"/>
    <w:rsid w:val="007504C6"/>
    <w:rsid w:val="007504D9"/>
    <w:rsid w:val="0075057A"/>
    <w:rsid w:val="007505EA"/>
    <w:rsid w:val="007505EF"/>
    <w:rsid w:val="00750677"/>
    <w:rsid w:val="007508D2"/>
    <w:rsid w:val="00750A4A"/>
    <w:rsid w:val="00750B6E"/>
    <w:rsid w:val="00750C17"/>
    <w:rsid w:val="00750CDA"/>
    <w:rsid w:val="00751006"/>
    <w:rsid w:val="0075140A"/>
    <w:rsid w:val="00751507"/>
    <w:rsid w:val="0075170C"/>
    <w:rsid w:val="00751758"/>
    <w:rsid w:val="00751895"/>
    <w:rsid w:val="0075190D"/>
    <w:rsid w:val="00751C16"/>
    <w:rsid w:val="00751C50"/>
    <w:rsid w:val="00751CE8"/>
    <w:rsid w:val="00751D86"/>
    <w:rsid w:val="00751DB7"/>
    <w:rsid w:val="00751EBD"/>
    <w:rsid w:val="00751EFC"/>
    <w:rsid w:val="00751F2E"/>
    <w:rsid w:val="007521EC"/>
    <w:rsid w:val="0075234F"/>
    <w:rsid w:val="00752685"/>
    <w:rsid w:val="0075269D"/>
    <w:rsid w:val="00752948"/>
    <w:rsid w:val="00752AD7"/>
    <w:rsid w:val="00752AE0"/>
    <w:rsid w:val="00752B2D"/>
    <w:rsid w:val="00752CD2"/>
    <w:rsid w:val="00752DBA"/>
    <w:rsid w:val="00752E61"/>
    <w:rsid w:val="00753174"/>
    <w:rsid w:val="007532C9"/>
    <w:rsid w:val="007532E8"/>
    <w:rsid w:val="00753488"/>
    <w:rsid w:val="00753667"/>
    <w:rsid w:val="00753687"/>
    <w:rsid w:val="007538B9"/>
    <w:rsid w:val="007538E9"/>
    <w:rsid w:val="00753A22"/>
    <w:rsid w:val="00753B23"/>
    <w:rsid w:val="00753B4D"/>
    <w:rsid w:val="00753BAE"/>
    <w:rsid w:val="00753E24"/>
    <w:rsid w:val="00753E2D"/>
    <w:rsid w:val="007540CE"/>
    <w:rsid w:val="007541A3"/>
    <w:rsid w:val="0075432E"/>
    <w:rsid w:val="0075436F"/>
    <w:rsid w:val="007543EB"/>
    <w:rsid w:val="0075447D"/>
    <w:rsid w:val="007545F4"/>
    <w:rsid w:val="007545FE"/>
    <w:rsid w:val="007546E9"/>
    <w:rsid w:val="007546EE"/>
    <w:rsid w:val="00754949"/>
    <w:rsid w:val="00754B12"/>
    <w:rsid w:val="00754D54"/>
    <w:rsid w:val="0075548D"/>
    <w:rsid w:val="00755720"/>
    <w:rsid w:val="00755741"/>
    <w:rsid w:val="007559FA"/>
    <w:rsid w:val="00755DF3"/>
    <w:rsid w:val="0075608F"/>
    <w:rsid w:val="00756308"/>
    <w:rsid w:val="00756462"/>
    <w:rsid w:val="00756465"/>
    <w:rsid w:val="00756489"/>
    <w:rsid w:val="007564C0"/>
    <w:rsid w:val="00756710"/>
    <w:rsid w:val="00756720"/>
    <w:rsid w:val="00756808"/>
    <w:rsid w:val="00756894"/>
    <w:rsid w:val="00756896"/>
    <w:rsid w:val="00756AF8"/>
    <w:rsid w:val="00756BED"/>
    <w:rsid w:val="00756C48"/>
    <w:rsid w:val="00756C9B"/>
    <w:rsid w:val="00756CDA"/>
    <w:rsid w:val="00756D7D"/>
    <w:rsid w:val="0075706D"/>
    <w:rsid w:val="007570DA"/>
    <w:rsid w:val="00757205"/>
    <w:rsid w:val="007572E3"/>
    <w:rsid w:val="00757715"/>
    <w:rsid w:val="0075792F"/>
    <w:rsid w:val="0075794C"/>
    <w:rsid w:val="00757A7A"/>
    <w:rsid w:val="00757CA0"/>
    <w:rsid w:val="007602CC"/>
    <w:rsid w:val="007605A0"/>
    <w:rsid w:val="007605CF"/>
    <w:rsid w:val="0076064B"/>
    <w:rsid w:val="00760657"/>
    <w:rsid w:val="007608F8"/>
    <w:rsid w:val="00760945"/>
    <w:rsid w:val="00760A99"/>
    <w:rsid w:val="00760B36"/>
    <w:rsid w:val="00760C54"/>
    <w:rsid w:val="007615DB"/>
    <w:rsid w:val="007615F4"/>
    <w:rsid w:val="00761760"/>
    <w:rsid w:val="00761A27"/>
    <w:rsid w:val="00761B8D"/>
    <w:rsid w:val="00761C94"/>
    <w:rsid w:val="00761CC0"/>
    <w:rsid w:val="00761CD8"/>
    <w:rsid w:val="00762077"/>
    <w:rsid w:val="00762106"/>
    <w:rsid w:val="00762155"/>
    <w:rsid w:val="007624B2"/>
    <w:rsid w:val="0076268C"/>
    <w:rsid w:val="00762716"/>
    <w:rsid w:val="0076280E"/>
    <w:rsid w:val="0076284C"/>
    <w:rsid w:val="00762F32"/>
    <w:rsid w:val="00763387"/>
    <w:rsid w:val="007635DD"/>
    <w:rsid w:val="007636DA"/>
    <w:rsid w:val="0076372B"/>
    <w:rsid w:val="00763AB9"/>
    <w:rsid w:val="007641DC"/>
    <w:rsid w:val="00764287"/>
    <w:rsid w:val="007643CF"/>
    <w:rsid w:val="00764512"/>
    <w:rsid w:val="007646AC"/>
    <w:rsid w:val="0076491E"/>
    <w:rsid w:val="00764968"/>
    <w:rsid w:val="0076498B"/>
    <w:rsid w:val="00764B60"/>
    <w:rsid w:val="007652A2"/>
    <w:rsid w:val="0076535A"/>
    <w:rsid w:val="00765597"/>
    <w:rsid w:val="00765951"/>
    <w:rsid w:val="00765AAC"/>
    <w:rsid w:val="00765BBC"/>
    <w:rsid w:val="00765D38"/>
    <w:rsid w:val="00765E34"/>
    <w:rsid w:val="007660B9"/>
    <w:rsid w:val="007661F0"/>
    <w:rsid w:val="007662C8"/>
    <w:rsid w:val="007666DA"/>
    <w:rsid w:val="00766916"/>
    <w:rsid w:val="00766B90"/>
    <w:rsid w:val="00766F2E"/>
    <w:rsid w:val="007672A4"/>
    <w:rsid w:val="0076798C"/>
    <w:rsid w:val="00767BA6"/>
    <w:rsid w:val="00767C2C"/>
    <w:rsid w:val="00767D13"/>
    <w:rsid w:val="00767D73"/>
    <w:rsid w:val="007701B8"/>
    <w:rsid w:val="0077037C"/>
    <w:rsid w:val="007704F8"/>
    <w:rsid w:val="0077068B"/>
    <w:rsid w:val="00770707"/>
    <w:rsid w:val="00770783"/>
    <w:rsid w:val="00770A31"/>
    <w:rsid w:val="00770A82"/>
    <w:rsid w:val="00770AA0"/>
    <w:rsid w:val="00770ACA"/>
    <w:rsid w:val="00770B9E"/>
    <w:rsid w:val="00770DC9"/>
    <w:rsid w:val="00770E7B"/>
    <w:rsid w:val="00770F3D"/>
    <w:rsid w:val="00771110"/>
    <w:rsid w:val="00771542"/>
    <w:rsid w:val="00771594"/>
    <w:rsid w:val="007719C0"/>
    <w:rsid w:val="00771A30"/>
    <w:rsid w:val="00771A77"/>
    <w:rsid w:val="00771DE8"/>
    <w:rsid w:val="00771ECD"/>
    <w:rsid w:val="00771F6B"/>
    <w:rsid w:val="007724FA"/>
    <w:rsid w:val="0077270A"/>
    <w:rsid w:val="00772797"/>
    <w:rsid w:val="00772AAE"/>
    <w:rsid w:val="00772FA8"/>
    <w:rsid w:val="00773127"/>
    <w:rsid w:val="00773272"/>
    <w:rsid w:val="00773506"/>
    <w:rsid w:val="007735AB"/>
    <w:rsid w:val="00773600"/>
    <w:rsid w:val="00773821"/>
    <w:rsid w:val="00773947"/>
    <w:rsid w:val="007739D4"/>
    <w:rsid w:val="00773A84"/>
    <w:rsid w:val="00773AC7"/>
    <w:rsid w:val="00773C48"/>
    <w:rsid w:val="00774299"/>
    <w:rsid w:val="00774300"/>
    <w:rsid w:val="00774326"/>
    <w:rsid w:val="00774546"/>
    <w:rsid w:val="0077484F"/>
    <w:rsid w:val="007748A9"/>
    <w:rsid w:val="007748BE"/>
    <w:rsid w:val="0077497D"/>
    <w:rsid w:val="007749AB"/>
    <w:rsid w:val="00774A67"/>
    <w:rsid w:val="00774BE4"/>
    <w:rsid w:val="00774D24"/>
    <w:rsid w:val="00774E4E"/>
    <w:rsid w:val="00774ECF"/>
    <w:rsid w:val="00774EDB"/>
    <w:rsid w:val="007752C5"/>
    <w:rsid w:val="00775458"/>
    <w:rsid w:val="007756B5"/>
    <w:rsid w:val="00775B97"/>
    <w:rsid w:val="00775CA0"/>
    <w:rsid w:val="00775EBB"/>
    <w:rsid w:val="00775FC8"/>
    <w:rsid w:val="00776045"/>
    <w:rsid w:val="007761A7"/>
    <w:rsid w:val="007761FD"/>
    <w:rsid w:val="00776559"/>
    <w:rsid w:val="00776751"/>
    <w:rsid w:val="00776CA1"/>
    <w:rsid w:val="00776DBB"/>
    <w:rsid w:val="00776F46"/>
    <w:rsid w:val="00776FB9"/>
    <w:rsid w:val="007770D6"/>
    <w:rsid w:val="00777135"/>
    <w:rsid w:val="007771FE"/>
    <w:rsid w:val="0077739A"/>
    <w:rsid w:val="00777490"/>
    <w:rsid w:val="00777544"/>
    <w:rsid w:val="007775CE"/>
    <w:rsid w:val="00777621"/>
    <w:rsid w:val="00777763"/>
    <w:rsid w:val="00777E4F"/>
    <w:rsid w:val="00777FC4"/>
    <w:rsid w:val="0078011B"/>
    <w:rsid w:val="00780215"/>
    <w:rsid w:val="0078028C"/>
    <w:rsid w:val="007802C4"/>
    <w:rsid w:val="007805D5"/>
    <w:rsid w:val="00780620"/>
    <w:rsid w:val="0078066C"/>
    <w:rsid w:val="00780896"/>
    <w:rsid w:val="00780AC4"/>
    <w:rsid w:val="00780D5E"/>
    <w:rsid w:val="00780E28"/>
    <w:rsid w:val="00780E7C"/>
    <w:rsid w:val="00780F7D"/>
    <w:rsid w:val="00781028"/>
    <w:rsid w:val="0078120E"/>
    <w:rsid w:val="0078121F"/>
    <w:rsid w:val="007814FF"/>
    <w:rsid w:val="0078172B"/>
    <w:rsid w:val="00781797"/>
    <w:rsid w:val="00781A58"/>
    <w:rsid w:val="00781B46"/>
    <w:rsid w:val="00781BE6"/>
    <w:rsid w:val="00781C85"/>
    <w:rsid w:val="00781D14"/>
    <w:rsid w:val="00781F58"/>
    <w:rsid w:val="00782018"/>
    <w:rsid w:val="0078213C"/>
    <w:rsid w:val="00782158"/>
    <w:rsid w:val="007822EA"/>
    <w:rsid w:val="00782356"/>
    <w:rsid w:val="00782528"/>
    <w:rsid w:val="00782653"/>
    <w:rsid w:val="007826FF"/>
    <w:rsid w:val="00782812"/>
    <w:rsid w:val="00782AD8"/>
    <w:rsid w:val="00782E63"/>
    <w:rsid w:val="00782F10"/>
    <w:rsid w:val="00783004"/>
    <w:rsid w:val="00783061"/>
    <w:rsid w:val="007830D7"/>
    <w:rsid w:val="00783148"/>
    <w:rsid w:val="007831A5"/>
    <w:rsid w:val="007834EA"/>
    <w:rsid w:val="0078355A"/>
    <w:rsid w:val="0078396E"/>
    <w:rsid w:val="00783B8A"/>
    <w:rsid w:val="00783C63"/>
    <w:rsid w:val="00783CAD"/>
    <w:rsid w:val="00783E37"/>
    <w:rsid w:val="00783E97"/>
    <w:rsid w:val="00784150"/>
    <w:rsid w:val="007841CC"/>
    <w:rsid w:val="00784492"/>
    <w:rsid w:val="007844D7"/>
    <w:rsid w:val="00784704"/>
    <w:rsid w:val="007847C1"/>
    <w:rsid w:val="0078481F"/>
    <w:rsid w:val="007849AA"/>
    <w:rsid w:val="00784B63"/>
    <w:rsid w:val="00784DAC"/>
    <w:rsid w:val="007853B1"/>
    <w:rsid w:val="00785475"/>
    <w:rsid w:val="00785535"/>
    <w:rsid w:val="0078574F"/>
    <w:rsid w:val="00785758"/>
    <w:rsid w:val="00785933"/>
    <w:rsid w:val="00785C91"/>
    <w:rsid w:val="00785CE5"/>
    <w:rsid w:val="00785D20"/>
    <w:rsid w:val="00785E66"/>
    <w:rsid w:val="00785F83"/>
    <w:rsid w:val="007866D8"/>
    <w:rsid w:val="0078671E"/>
    <w:rsid w:val="00786730"/>
    <w:rsid w:val="00786A9E"/>
    <w:rsid w:val="00786C66"/>
    <w:rsid w:val="00786CB3"/>
    <w:rsid w:val="00786CEF"/>
    <w:rsid w:val="00787068"/>
    <w:rsid w:val="00787176"/>
    <w:rsid w:val="00787215"/>
    <w:rsid w:val="0078725E"/>
    <w:rsid w:val="00787271"/>
    <w:rsid w:val="007873D5"/>
    <w:rsid w:val="0078748D"/>
    <w:rsid w:val="007874BA"/>
    <w:rsid w:val="00787562"/>
    <w:rsid w:val="007875DF"/>
    <w:rsid w:val="00787B22"/>
    <w:rsid w:val="00787BEC"/>
    <w:rsid w:val="00787F3F"/>
    <w:rsid w:val="00787FE7"/>
    <w:rsid w:val="0079052C"/>
    <w:rsid w:val="007905FA"/>
    <w:rsid w:val="00790639"/>
    <w:rsid w:val="00790A78"/>
    <w:rsid w:val="00790C1E"/>
    <w:rsid w:val="00790E7B"/>
    <w:rsid w:val="00790E94"/>
    <w:rsid w:val="00790ED6"/>
    <w:rsid w:val="00790F6D"/>
    <w:rsid w:val="0079109E"/>
    <w:rsid w:val="00791278"/>
    <w:rsid w:val="007912AF"/>
    <w:rsid w:val="00791431"/>
    <w:rsid w:val="007916A3"/>
    <w:rsid w:val="007919D6"/>
    <w:rsid w:val="00791B8D"/>
    <w:rsid w:val="00791BFF"/>
    <w:rsid w:val="00791D1B"/>
    <w:rsid w:val="00791D38"/>
    <w:rsid w:val="00791D52"/>
    <w:rsid w:val="00791DB0"/>
    <w:rsid w:val="007920E1"/>
    <w:rsid w:val="0079221A"/>
    <w:rsid w:val="007922BE"/>
    <w:rsid w:val="007922C9"/>
    <w:rsid w:val="00792665"/>
    <w:rsid w:val="00792819"/>
    <w:rsid w:val="00792B1B"/>
    <w:rsid w:val="007939A6"/>
    <w:rsid w:val="00793FA2"/>
    <w:rsid w:val="00794018"/>
    <w:rsid w:val="007940B6"/>
    <w:rsid w:val="00794172"/>
    <w:rsid w:val="007941D5"/>
    <w:rsid w:val="0079438E"/>
    <w:rsid w:val="0079439F"/>
    <w:rsid w:val="0079441C"/>
    <w:rsid w:val="00794566"/>
    <w:rsid w:val="00794A0D"/>
    <w:rsid w:val="00794D5D"/>
    <w:rsid w:val="00794F7E"/>
    <w:rsid w:val="00794FE1"/>
    <w:rsid w:val="0079535D"/>
    <w:rsid w:val="007956A4"/>
    <w:rsid w:val="007956C4"/>
    <w:rsid w:val="0079585E"/>
    <w:rsid w:val="00795C14"/>
    <w:rsid w:val="00795C92"/>
    <w:rsid w:val="0079607E"/>
    <w:rsid w:val="0079619F"/>
    <w:rsid w:val="0079648B"/>
    <w:rsid w:val="00796685"/>
    <w:rsid w:val="007966F1"/>
    <w:rsid w:val="0079677B"/>
    <w:rsid w:val="0079686E"/>
    <w:rsid w:val="007969DD"/>
    <w:rsid w:val="00796A46"/>
    <w:rsid w:val="00796AFB"/>
    <w:rsid w:val="00796BAD"/>
    <w:rsid w:val="00796F17"/>
    <w:rsid w:val="00796F24"/>
    <w:rsid w:val="007971F9"/>
    <w:rsid w:val="007973CE"/>
    <w:rsid w:val="00797462"/>
    <w:rsid w:val="007975CF"/>
    <w:rsid w:val="007977CA"/>
    <w:rsid w:val="007978D7"/>
    <w:rsid w:val="00797C1F"/>
    <w:rsid w:val="00797D36"/>
    <w:rsid w:val="007A003E"/>
    <w:rsid w:val="007A01AF"/>
    <w:rsid w:val="007A01F9"/>
    <w:rsid w:val="007A0213"/>
    <w:rsid w:val="007A036D"/>
    <w:rsid w:val="007A069E"/>
    <w:rsid w:val="007A07BB"/>
    <w:rsid w:val="007A0922"/>
    <w:rsid w:val="007A096A"/>
    <w:rsid w:val="007A0C17"/>
    <w:rsid w:val="007A0D69"/>
    <w:rsid w:val="007A0F57"/>
    <w:rsid w:val="007A115C"/>
    <w:rsid w:val="007A122C"/>
    <w:rsid w:val="007A12C6"/>
    <w:rsid w:val="007A183E"/>
    <w:rsid w:val="007A1AAC"/>
    <w:rsid w:val="007A1B4C"/>
    <w:rsid w:val="007A1B82"/>
    <w:rsid w:val="007A1ECF"/>
    <w:rsid w:val="007A23B8"/>
    <w:rsid w:val="007A241C"/>
    <w:rsid w:val="007A2509"/>
    <w:rsid w:val="007A2517"/>
    <w:rsid w:val="007A27C5"/>
    <w:rsid w:val="007A27F5"/>
    <w:rsid w:val="007A287D"/>
    <w:rsid w:val="007A2892"/>
    <w:rsid w:val="007A2D05"/>
    <w:rsid w:val="007A2F61"/>
    <w:rsid w:val="007A322F"/>
    <w:rsid w:val="007A3358"/>
    <w:rsid w:val="007A3387"/>
    <w:rsid w:val="007A35FD"/>
    <w:rsid w:val="007A373B"/>
    <w:rsid w:val="007A3AC3"/>
    <w:rsid w:val="007A3CDC"/>
    <w:rsid w:val="007A3D20"/>
    <w:rsid w:val="007A3DE7"/>
    <w:rsid w:val="007A3E04"/>
    <w:rsid w:val="007A3E4D"/>
    <w:rsid w:val="007A44E3"/>
    <w:rsid w:val="007A457E"/>
    <w:rsid w:val="007A46AF"/>
    <w:rsid w:val="007A47E6"/>
    <w:rsid w:val="007A4892"/>
    <w:rsid w:val="007A48B5"/>
    <w:rsid w:val="007A493B"/>
    <w:rsid w:val="007A4A0E"/>
    <w:rsid w:val="007A50F9"/>
    <w:rsid w:val="007A5142"/>
    <w:rsid w:val="007A52E1"/>
    <w:rsid w:val="007A549D"/>
    <w:rsid w:val="007A552D"/>
    <w:rsid w:val="007A5849"/>
    <w:rsid w:val="007A5974"/>
    <w:rsid w:val="007A5BDC"/>
    <w:rsid w:val="007A5FA4"/>
    <w:rsid w:val="007A62E0"/>
    <w:rsid w:val="007A633C"/>
    <w:rsid w:val="007A63D1"/>
    <w:rsid w:val="007A64CE"/>
    <w:rsid w:val="007A655C"/>
    <w:rsid w:val="007A65F0"/>
    <w:rsid w:val="007A6693"/>
    <w:rsid w:val="007A66D5"/>
    <w:rsid w:val="007A6C0B"/>
    <w:rsid w:val="007A6CE2"/>
    <w:rsid w:val="007A70C8"/>
    <w:rsid w:val="007A7205"/>
    <w:rsid w:val="007A7284"/>
    <w:rsid w:val="007A7305"/>
    <w:rsid w:val="007A73BB"/>
    <w:rsid w:val="007A7533"/>
    <w:rsid w:val="007A76B9"/>
    <w:rsid w:val="007A79B0"/>
    <w:rsid w:val="007A7BBE"/>
    <w:rsid w:val="007A7D24"/>
    <w:rsid w:val="007A7E5E"/>
    <w:rsid w:val="007A7EF0"/>
    <w:rsid w:val="007A7F10"/>
    <w:rsid w:val="007B0007"/>
    <w:rsid w:val="007B026F"/>
    <w:rsid w:val="007B02A9"/>
    <w:rsid w:val="007B0399"/>
    <w:rsid w:val="007B05BD"/>
    <w:rsid w:val="007B0638"/>
    <w:rsid w:val="007B0987"/>
    <w:rsid w:val="007B09D5"/>
    <w:rsid w:val="007B0A5B"/>
    <w:rsid w:val="007B0AB5"/>
    <w:rsid w:val="007B0C18"/>
    <w:rsid w:val="007B0C4D"/>
    <w:rsid w:val="007B0D06"/>
    <w:rsid w:val="007B0F3E"/>
    <w:rsid w:val="007B0FAF"/>
    <w:rsid w:val="007B112D"/>
    <w:rsid w:val="007B115A"/>
    <w:rsid w:val="007B11DC"/>
    <w:rsid w:val="007B1263"/>
    <w:rsid w:val="007B127A"/>
    <w:rsid w:val="007B1584"/>
    <w:rsid w:val="007B1648"/>
    <w:rsid w:val="007B1691"/>
    <w:rsid w:val="007B174B"/>
    <w:rsid w:val="007B179E"/>
    <w:rsid w:val="007B1847"/>
    <w:rsid w:val="007B1855"/>
    <w:rsid w:val="007B1876"/>
    <w:rsid w:val="007B18CB"/>
    <w:rsid w:val="007B1E90"/>
    <w:rsid w:val="007B1E94"/>
    <w:rsid w:val="007B20CD"/>
    <w:rsid w:val="007B2244"/>
    <w:rsid w:val="007B241B"/>
    <w:rsid w:val="007B2646"/>
    <w:rsid w:val="007B2684"/>
    <w:rsid w:val="007B26E9"/>
    <w:rsid w:val="007B26FD"/>
    <w:rsid w:val="007B29F7"/>
    <w:rsid w:val="007B29FA"/>
    <w:rsid w:val="007B2CCE"/>
    <w:rsid w:val="007B2D08"/>
    <w:rsid w:val="007B2D24"/>
    <w:rsid w:val="007B2ECD"/>
    <w:rsid w:val="007B2F50"/>
    <w:rsid w:val="007B2FBE"/>
    <w:rsid w:val="007B318C"/>
    <w:rsid w:val="007B3288"/>
    <w:rsid w:val="007B3323"/>
    <w:rsid w:val="007B3355"/>
    <w:rsid w:val="007B3670"/>
    <w:rsid w:val="007B37DE"/>
    <w:rsid w:val="007B3955"/>
    <w:rsid w:val="007B3B4F"/>
    <w:rsid w:val="007B3D5E"/>
    <w:rsid w:val="007B3EB3"/>
    <w:rsid w:val="007B3F5E"/>
    <w:rsid w:val="007B3F8A"/>
    <w:rsid w:val="007B4075"/>
    <w:rsid w:val="007B438D"/>
    <w:rsid w:val="007B43BA"/>
    <w:rsid w:val="007B4635"/>
    <w:rsid w:val="007B469E"/>
    <w:rsid w:val="007B46D7"/>
    <w:rsid w:val="007B4747"/>
    <w:rsid w:val="007B477D"/>
    <w:rsid w:val="007B47DC"/>
    <w:rsid w:val="007B4AC6"/>
    <w:rsid w:val="007B4DB4"/>
    <w:rsid w:val="007B4E90"/>
    <w:rsid w:val="007B4F65"/>
    <w:rsid w:val="007B510F"/>
    <w:rsid w:val="007B52CF"/>
    <w:rsid w:val="007B5341"/>
    <w:rsid w:val="007B5678"/>
    <w:rsid w:val="007B58B6"/>
    <w:rsid w:val="007B58D8"/>
    <w:rsid w:val="007B5A6F"/>
    <w:rsid w:val="007B5CA5"/>
    <w:rsid w:val="007B5CB5"/>
    <w:rsid w:val="007B5DC8"/>
    <w:rsid w:val="007B5E35"/>
    <w:rsid w:val="007B5F52"/>
    <w:rsid w:val="007B5F57"/>
    <w:rsid w:val="007B60A7"/>
    <w:rsid w:val="007B60D6"/>
    <w:rsid w:val="007B6397"/>
    <w:rsid w:val="007B66C1"/>
    <w:rsid w:val="007B66C4"/>
    <w:rsid w:val="007B6763"/>
    <w:rsid w:val="007B67F4"/>
    <w:rsid w:val="007B6928"/>
    <w:rsid w:val="007B6BDC"/>
    <w:rsid w:val="007B6F8A"/>
    <w:rsid w:val="007B6FB7"/>
    <w:rsid w:val="007B73B7"/>
    <w:rsid w:val="007B75BF"/>
    <w:rsid w:val="007B774C"/>
    <w:rsid w:val="007B7A05"/>
    <w:rsid w:val="007B7C67"/>
    <w:rsid w:val="007B7E09"/>
    <w:rsid w:val="007B7EA7"/>
    <w:rsid w:val="007B7F84"/>
    <w:rsid w:val="007B7FCA"/>
    <w:rsid w:val="007C0152"/>
    <w:rsid w:val="007C03CF"/>
    <w:rsid w:val="007C03E4"/>
    <w:rsid w:val="007C03F1"/>
    <w:rsid w:val="007C0527"/>
    <w:rsid w:val="007C0652"/>
    <w:rsid w:val="007C0658"/>
    <w:rsid w:val="007C065A"/>
    <w:rsid w:val="007C0C5C"/>
    <w:rsid w:val="007C0DC1"/>
    <w:rsid w:val="007C0ECB"/>
    <w:rsid w:val="007C0FC4"/>
    <w:rsid w:val="007C11C2"/>
    <w:rsid w:val="007C14A3"/>
    <w:rsid w:val="007C1533"/>
    <w:rsid w:val="007C15B8"/>
    <w:rsid w:val="007C1641"/>
    <w:rsid w:val="007C16C4"/>
    <w:rsid w:val="007C170A"/>
    <w:rsid w:val="007C184F"/>
    <w:rsid w:val="007C190A"/>
    <w:rsid w:val="007C1935"/>
    <w:rsid w:val="007C1C3F"/>
    <w:rsid w:val="007C1D48"/>
    <w:rsid w:val="007C1D6C"/>
    <w:rsid w:val="007C1F36"/>
    <w:rsid w:val="007C1FF2"/>
    <w:rsid w:val="007C2019"/>
    <w:rsid w:val="007C20F8"/>
    <w:rsid w:val="007C23DE"/>
    <w:rsid w:val="007C2565"/>
    <w:rsid w:val="007C26AB"/>
    <w:rsid w:val="007C272B"/>
    <w:rsid w:val="007C27F4"/>
    <w:rsid w:val="007C28B7"/>
    <w:rsid w:val="007C2A48"/>
    <w:rsid w:val="007C2B8F"/>
    <w:rsid w:val="007C2C71"/>
    <w:rsid w:val="007C2D5D"/>
    <w:rsid w:val="007C2EF3"/>
    <w:rsid w:val="007C3334"/>
    <w:rsid w:val="007C3408"/>
    <w:rsid w:val="007C349E"/>
    <w:rsid w:val="007C3518"/>
    <w:rsid w:val="007C3545"/>
    <w:rsid w:val="007C3771"/>
    <w:rsid w:val="007C396A"/>
    <w:rsid w:val="007C398C"/>
    <w:rsid w:val="007C399D"/>
    <w:rsid w:val="007C39F0"/>
    <w:rsid w:val="007C3E91"/>
    <w:rsid w:val="007C3F60"/>
    <w:rsid w:val="007C3FE0"/>
    <w:rsid w:val="007C40B3"/>
    <w:rsid w:val="007C4346"/>
    <w:rsid w:val="007C4430"/>
    <w:rsid w:val="007C46BC"/>
    <w:rsid w:val="007C49D7"/>
    <w:rsid w:val="007C4D68"/>
    <w:rsid w:val="007C4F33"/>
    <w:rsid w:val="007C4FA8"/>
    <w:rsid w:val="007C519F"/>
    <w:rsid w:val="007C51C3"/>
    <w:rsid w:val="007C52EE"/>
    <w:rsid w:val="007C5418"/>
    <w:rsid w:val="007C544E"/>
    <w:rsid w:val="007C546E"/>
    <w:rsid w:val="007C5509"/>
    <w:rsid w:val="007C560B"/>
    <w:rsid w:val="007C5889"/>
    <w:rsid w:val="007C5B7C"/>
    <w:rsid w:val="007C5FA7"/>
    <w:rsid w:val="007C6007"/>
    <w:rsid w:val="007C629C"/>
    <w:rsid w:val="007C6315"/>
    <w:rsid w:val="007C63B6"/>
    <w:rsid w:val="007C64E8"/>
    <w:rsid w:val="007C650D"/>
    <w:rsid w:val="007C6762"/>
    <w:rsid w:val="007C6ADB"/>
    <w:rsid w:val="007C6DF2"/>
    <w:rsid w:val="007C6FD2"/>
    <w:rsid w:val="007C706E"/>
    <w:rsid w:val="007C71D8"/>
    <w:rsid w:val="007C7237"/>
    <w:rsid w:val="007C7539"/>
    <w:rsid w:val="007C7562"/>
    <w:rsid w:val="007C7568"/>
    <w:rsid w:val="007C7618"/>
    <w:rsid w:val="007C7660"/>
    <w:rsid w:val="007C7679"/>
    <w:rsid w:val="007C7771"/>
    <w:rsid w:val="007C79CB"/>
    <w:rsid w:val="007C7ADF"/>
    <w:rsid w:val="007C7B20"/>
    <w:rsid w:val="007C7C6E"/>
    <w:rsid w:val="007C7DFE"/>
    <w:rsid w:val="007D037E"/>
    <w:rsid w:val="007D040D"/>
    <w:rsid w:val="007D04F9"/>
    <w:rsid w:val="007D050C"/>
    <w:rsid w:val="007D074A"/>
    <w:rsid w:val="007D0763"/>
    <w:rsid w:val="007D0E1D"/>
    <w:rsid w:val="007D0FAF"/>
    <w:rsid w:val="007D0FDD"/>
    <w:rsid w:val="007D10A2"/>
    <w:rsid w:val="007D11DC"/>
    <w:rsid w:val="007D11FF"/>
    <w:rsid w:val="007D1431"/>
    <w:rsid w:val="007D174B"/>
    <w:rsid w:val="007D1929"/>
    <w:rsid w:val="007D1A51"/>
    <w:rsid w:val="007D1AE9"/>
    <w:rsid w:val="007D2003"/>
    <w:rsid w:val="007D207F"/>
    <w:rsid w:val="007D2150"/>
    <w:rsid w:val="007D278E"/>
    <w:rsid w:val="007D2A57"/>
    <w:rsid w:val="007D2B89"/>
    <w:rsid w:val="007D2D03"/>
    <w:rsid w:val="007D2FFE"/>
    <w:rsid w:val="007D31D0"/>
    <w:rsid w:val="007D32A6"/>
    <w:rsid w:val="007D3355"/>
    <w:rsid w:val="007D33C8"/>
    <w:rsid w:val="007D3539"/>
    <w:rsid w:val="007D35C7"/>
    <w:rsid w:val="007D3862"/>
    <w:rsid w:val="007D394C"/>
    <w:rsid w:val="007D3991"/>
    <w:rsid w:val="007D3A57"/>
    <w:rsid w:val="007D3BCA"/>
    <w:rsid w:val="007D3C52"/>
    <w:rsid w:val="007D3C6C"/>
    <w:rsid w:val="007D3C8C"/>
    <w:rsid w:val="007D3DBE"/>
    <w:rsid w:val="007D40A1"/>
    <w:rsid w:val="007D41C1"/>
    <w:rsid w:val="007D4215"/>
    <w:rsid w:val="007D43FD"/>
    <w:rsid w:val="007D440A"/>
    <w:rsid w:val="007D4480"/>
    <w:rsid w:val="007D44FF"/>
    <w:rsid w:val="007D4575"/>
    <w:rsid w:val="007D4B04"/>
    <w:rsid w:val="007D4CD8"/>
    <w:rsid w:val="007D4DBC"/>
    <w:rsid w:val="007D4E89"/>
    <w:rsid w:val="007D51B0"/>
    <w:rsid w:val="007D545B"/>
    <w:rsid w:val="007D558F"/>
    <w:rsid w:val="007D566C"/>
    <w:rsid w:val="007D57A8"/>
    <w:rsid w:val="007D57F1"/>
    <w:rsid w:val="007D58D7"/>
    <w:rsid w:val="007D5997"/>
    <w:rsid w:val="007D5A03"/>
    <w:rsid w:val="007D5A41"/>
    <w:rsid w:val="007D5C06"/>
    <w:rsid w:val="007D5DC2"/>
    <w:rsid w:val="007D5E0F"/>
    <w:rsid w:val="007D5EFA"/>
    <w:rsid w:val="007D607A"/>
    <w:rsid w:val="007D6466"/>
    <w:rsid w:val="007D66CE"/>
    <w:rsid w:val="007D680C"/>
    <w:rsid w:val="007D6813"/>
    <w:rsid w:val="007D6A46"/>
    <w:rsid w:val="007D6E39"/>
    <w:rsid w:val="007D6EDE"/>
    <w:rsid w:val="007D6F49"/>
    <w:rsid w:val="007D7122"/>
    <w:rsid w:val="007D72BD"/>
    <w:rsid w:val="007D745F"/>
    <w:rsid w:val="007D758E"/>
    <w:rsid w:val="007D7775"/>
    <w:rsid w:val="007D7920"/>
    <w:rsid w:val="007D7C6B"/>
    <w:rsid w:val="007D7CED"/>
    <w:rsid w:val="007D7DCB"/>
    <w:rsid w:val="007D7E76"/>
    <w:rsid w:val="007D7EC5"/>
    <w:rsid w:val="007E06E9"/>
    <w:rsid w:val="007E0789"/>
    <w:rsid w:val="007E0A3C"/>
    <w:rsid w:val="007E0B68"/>
    <w:rsid w:val="007E0BB5"/>
    <w:rsid w:val="007E0DA1"/>
    <w:rsid w:val="007E0F30"/>
    <w:rsid w:val="007E10FE"/>
    <w:rsid w:val="007E11B0"/>
    <w:rsid w:val="007E1606"/>
    <w:rsid w:val="007E162B"/>
    <w:rsid w:val="007E17AD"/>
    <w:rsid w:val="007E1855"/>
    <w:rsid w:val="007E18A7"/>
    <w:rsid w:val="007E1A3E"/>
    <w:rsid w:val="007E1BD2"/>
    <w:rsid w:val="007E1C3E"/>
    <w:rsid w:val="007E1DF1"/>
    <w:rsid w:val="007E1E44"/>
    <w:rsid w:val="007E20AA"/>
    <w:rsid w:val="007E2435"/>
    <w:rsid w:val="007E2645"/>
    <w:rsid w:val="007E2807"/>
    <w:rsid w:val="007E2859"/>
    <w:rsid w:val="007E28FD"/>
    <w:rsid w:val="007E2916"/>
    <w:rsid w:val="007E2A4C"/>
    <w:rsid w:val="007E2A4E"/>
    <w:rsid w:val="007E325A"/>
    <w:rsid w:val="007E33AF"/>
    <w:rsid w:val="007E340F"/>
    <w:rsid w:val="007E38E2"/>
    <w:rsid w:val="007E3AEA"/>
    <w:rsid w:val="007E3F26"/>
    <w:rsid w:val="007E3FA5"/>
    <w:rsid w:val="007E415D"/>
    <w:rsid w:val="007E42AA"/>
    <w:rsid w:val="007E4345"/>
    <w:rsid w:val="007E4584"/>
    <w:rsid w:val="007E468C"/>
    <w:rsid w:val="007E46CC"/>
    <w:rsid w:val="007E46D1"/>
    <w:rsid w:val="007E494D"/>
    <w:rsid w:val="007E4A67"/>
    <w:rsid w:val="007E4AEB"/>
    <w:rsid w:val="007E4B22"/>
    <w:rsid w:val="007E4CD5"/>
    <w:rsid w:val="007E4D12"/>
    <w:rsid w:val="007E4DFC"/>
    <w:rsid w:val="007E4ECF"/>
    <w:rsid w:val="007E545F"/>
    <w:rsid w:val="007E56AC"/>
    <w:rsid w:val="007E5728"/>
    <w:rsid w:val="007E57AB"/>
    <w:rsid w:val="007E5B3E"/>
    <w:rsid w:val="007E5B95"/>
    <w:rsid w:val="007E5CE9"/>
    <w:rsid w:val="007E5D8C"/>
    <w:rsid w:val="007E5E4E"/>
    <w:rsid w:val="007E6207"/>
    <w:rsid w:val="007E640F"/>
    <w:rsid w:val="007E6468"/>
    <w:rsid w:val="007E66F7"/>
    <w:rsid w:val="007E685B"/>
    <w:rsid w:val="007E6BCE"/>
    <w:rsid w:val="007E7169"/>
    <w:rsid w:val="007E7BDE"/>
    <w:rsid w:val="007E7EFB"/>
    <w:rsid w:val="007F0022"/>
    <w:rsid w:val="007F0200"/>
    <w:rsid w:val="007F05DE"/>
    <w:rsid w:val="007F065A"/>
    <w:rsid w:val="007F0823"/>
    <w:rsid w:val="007F0968"/>
    <w:rsid w:val="007F0A53"/>
    <w:rsid w:val="007F0CDB"/>
    <w:rsid w:val="007F0D68"/>
    <w:rsid w:val="007F0FD4"/>
    <w:rsid w:val="007F103B"/>
    <w:rsid w:val="007F1110"/>
    <w:rsid w:val="007F11C8"/>
    <w:rsid w:val="007F143D"/>
    <w:rsid w:val="007F1576"/>
    <w:rsid w:val="007F1644"/>
    <w:rsid w:val="007F17AE"/>
    <w:rsid w:val="007F1846"/>
    <w:rsid w:val="007F1A57"/>
    <w:rsid w:val="007F1B00"/>
    <w:rsid w:val="007F1B3D"/>
    <w:rsid w:val="007F1F79"/>
    <w:rsid w:val="007F20D2"/>
    <w:rsid w:val="007F223F"/>
    <w:rsid w:val="007F2558"/>
    <w:rsid w:val="007F25D9"/>
    <w:rsid w:val="007F279E"/>
    <w:rsid w:val="007F27CA"/>
    <w:rsid w:val="007F28FF"/>
    <w:rsid w:val="007F2999"/>
    <w:rsid w:val="007F2CF8"/>
    <w:rsid w:val="007F2D93"/>
    <w:rsid w:val="007F2DD1"/>
    <w:rsid w:val="007F2F8B"/>
    <w:rsid w:val="007F3249"/>
    <w:rsid w:val="007F35E1"/>
    <w:rsid w:val="007F35FF"/>
    <w:rsid w:val="007F3713"/>
    <w:rsid w:val="007F3B0C"/>
    <w:rsid w:val="007F3B18"/>
    <w:rsid w:val="007F3D41"/>
    <w:rsid w:val="007F3EA5"/>
    <w:rsid w:val="007F3EFF"/>
    <w:rsid w:val="007F429B"/>
    <w:rsid w:val="007F43ED"/>
    <w:rsid w:val="007F44E6"/>
    <w:rsid w:val="007F4514"/>
    <w:rsid w:val="007F4722"/>
    <w:rsid w:val="007F4867"/>
    <w:rsid w:val="007F488D"/>
    <w:rsid w:val="007F48B4"/>
    <w:rsid w:val="007F49B7"/>
    <w:rsid w:val="007F4A99"/>
    <w:rsid w:val="007F4AED"/>
    <w:rsid w:val="007F4C46"/>
    <w:rsid w:val="007F4DFF"/>
    <w:rsid w:val="007F4FA6"/>
    <w:rsid w:val="007F536A"/>
    <w:rsid w:val="007F561C"/>
    <w:rsid w:val="007F5675"/>
    <w:rsid w:val="007F56B7"/>
    <w:rsid w:val="007F5838"/>
    <w:rsid w:val="007F59A7"/>
    <w:rsid w:val="007F5A88"/>
    <w:rsid w:val="007F5D33"/>
    <w:rsid w:val="007F5E32"/>
    <w:rsid w:val="007F5F1E"/>
    <w:rsid w:val="007F627B"/>
    <w:rsid w:val="007F6286"/>
    <w:rsid w:val="007F633D"/>
    <w:rsid w:val="007F689E"/>
    <w:rsid w:val="007F692B"/>
    <w:rsid w:val="007F6B7C"/>
    <w:rsid w:val="007F6BA6"/>
    <w:rsid w:val="007F6C28"/>
    <w:rsid w:val="007F6C5F"/>
    <w:rsid w:val="007F6D09"/>
    <w:rsid w:val="007F7061"/>
    <w:rsid w:val="007F71FB"/>
    <w:rsid w:val="007F74E4"/>
    <w:rsid w:val="007F75AE"/>
    <w:rsid w:val="007F75D9"/>
    <w:rsid w:val="007F7851"/>
    <w:rsid w:val="007F793A"/>
    <w:rsid w:val="007F7982"/>
    <w:rsid w:val="007F7FED"/>
    <w:rsid w:val="0080008B"/>
    <w:rsid w:val="00800242"/>
    <w:rsid w:val="0080027C"/>
    <w:rsid w:val="008003C8"/>
    <w:rsid w:val="00800557"/>
    <w:rsid w:val="00800689"/>
    <w:rsid w:val="00800A64"/>
    <w:rsid w:val="00800D18"/>
    <w:rsid w:val="00800E7E"/>
    <w:rsid w:val="00800EE5"/>
    <w:rsid w:val="008010D9"/>
    <w:rsid w:val="00801248"/>
    <w:rsid w:val="008012E2"/>
    <w:rsid w:val="0080137E"/>
    <w:rsid w:val="008013D9"/>
    <w:rsid w:val="00801996"/>
    <w:rsid w:val="00801A4E"/>
    <w:rsid w:val="00801B89"/>
    <w:rsid w:val="00801D4A"/>
    <w:rsid w:val="00801EA6"/>
    <w:rsid w:val="00802115"/>
    <w:rsid w:val="00802438"/>
    <w:rsid w:val="00802460"/>
    <w:rsid w:val="008027CF"/>
    <w:rsid w:val="00802822"/>
    <w:rsid w:val="00802829"/>
    <w:rsid w:val="008029FE"/>
    <w:rsid w:val="00802A68"/>
    <w:rsid w:val="00802B01"/>
    <w:rsid w:val="00802B44"/>
    <w:rsid w:val="00802C36"/>
    <w:rsid w:val="00802DF9"/>
    <w:rsid w:val="00802E73"/>
    <w:rsid w:val="00803235"/>
    <w:rsid w:val="00803576"/>
    <w:rsid w:val="008039EA"/>
    <w:rsid w:val="00803C19"/>
    <w:rsid w:val="00803D10"/>
    <w:rsid w:val="00803D56"/>
    <w:rsid w:val="00804227"/>
    <w:rsid w:val="00804317"/>
    <w:rsid w:val="00804371"/>
    <w:rsid w:val="008043AD"/>
    <w:rsid w:val="0080443F"/>
    <w:rsid w:val="008044A1"/>
    <w:rsid w:val="008044F4"/>
    <w:rsid w:val="00804823"/>
    <w:rsid w:val="008048CC"/>
    <w:rsid w:val="0080492A"/>
    <w:rsid w:val="008049BA"/>
    <w:rsid w:val="008049F8"/>
    <w:rsid w:val="00804B5B"/>
    <w:rsid w:val="00804BAC"/>
    <w:rsid w:val="00804D18"/>
    <w:rsid w:val="00804EE1"/>
    <w:rsid w:val="008051C4"/>
    <w:rsid w:val="008052F0"/>
    <w:rsid w:val="00805420"/>
    <w:rsid w:val="00805553"/>
    <w:rsid w:val="00805B42"/>
    <w:rsid w:val="00805C23"/>
    <w:rsid w:val="00805D68"/>
    <w:rsid w:val="00805D7A"/>
    <w:rsid w:val="00806286"/>
    <w:rsid w:val="008062B4"/>
    <w:rsid w:val="008062D6"/>
    <w:rsid w:val="008062DB"/>
    <w:rsid w:val="00806393"/>
    <w:rsid w:val="00806572"/>
    <w:rsid w:val="00806721"/>
    <w:rsid w:val="0080677D"/>
    <w:rsid w:val="008068FC"/>
    <w:rsid w:val="00806C0E"/>
    <w:rsid w:val="00806C21"/>
    <w:rsid w:val="00806D7E"/>
    <w:rsid w:val="00806D84"/>
    <w:rsid w:val="00806E53"/>
    <w:rsid w:val="00806F0A"/>
    <w:rsid w:val="00806FE3"/>
    <w:rsid w:val="00807015"/>
    <w:rsid w:val="008072F8"/>
    <w:rsid w:val="00807406"/>
    <w:rsid w:val="00807569"/>
    <w:rsid w:val="00807651"/>
    <w:rsid w:val="008078C0"/>
    <w:rsid w:val="00807B09"/>
    <w:rsid w:val="00807B2D"/>
    <w:rsid w:val="00807B66"/>
    <w:rsid w:val="00807BE5"/>
    <w:rsid w:val="00807D6C"/>
    <w:rsid w:val="00807E3D"/>
    <w:rsid w:val="00810073"/>
    <w:rsid w:val="00810112"/>
    <w:rsid w:val="0081026E"/>
    <w:rsid w:val="00810281"/>
    <w:rsid w:val="0081039A"/>
    <w:rsid w:val="00810416"/>
    <w:rsid w:val="00810433"/>
    <w:rsid w:val="0081059E"/>
    <w:rsid w:val="00810840"/>
    <w:rsid w:val="00810878"/>
    <w:rsid w:val="00810A1C"/>
    <w:rsid w:val="00810CBA"/>
    <w:rsid w:val="00810D5C"/>
    <w:rsid w:val="00810EC8"/>
    <w:rsid w:val="00810F91"/>
    <w:rsid w:val="0081108E"/>
    <w:rsid w:val="008117D1"/>
    <w:rsid w:val="008117ED"/>
    <w:rsid w:val="0081198E"/>
    <w:rsid w:val="00811AA2"/>
    <w:rsid w:val="00811AD9"/>
    <w:rsid w:val="00811C8A"/>
    <w:rsid w:val="00811C9B"/>
    <w:rsid w:val="00811CBC"/>
    <w:rsid w:val="00811D2F"/>
    <w:rsid w:val="00811E14"/>
    <w:rsid w:val="00811ED3"/>
    <w:rsid w:val="00811F5B"/>
    <w:rsid w:val="00811F81"/>
    <w:rsid w:val="00811FE9"/>
    <w:rsid w:val="0081208E"/>
    <w:rsid w:val="0081209A"/>
    <w:rsid w:val="0081222A"/>
    <w:rsid w:val="0081226B"/>
    <w:rsid w:val="0081226F"/>
    <w:rsid w:val="00812392"/>
    <w:rsid w:val="00812654"/>
    <w:rsid w:val="008127DB"/>
    <w:rsid w:val="00812B2E"/>
    <w:rsid w:val="00812B32"/>
    <w:rsid w:val="00812B4B"/>
    <w:rsid w:val="00812D7E"/>
    <w:rsid w:val="00812DA1"/>
    <w:rsid w:val="00812F10"/>
    <w:rsid w:val="0081308C"/>
    <w:rsid w:val="00813107"/>
    <w:rsid w:val="00813229"/>
    <w:rsid w:val="00813257"/>
    <w:rsid w:val="00813445"/>
    <w:rsid w:val="008137E7"/>
    <w:rsid w:val="00813804"/>
    <w:rsid w:val="008138E9"/>
    <w:rsid w:val="008139E4"/>
    <w:rsid w:val="00813F3A"/>
    <w:rsid w:val="00813FD5"/>
    <w:rsid w:val="00814242"/>
    <w:rsid w:val="00814342"/>
    <w:rsid w:val="00814456"/>
    <w:rsid w:val="00814930"/>
    <w:rsid w:val="008149CF"/>
    <w:rsid w:val="00814A8A"/>
    <w:rsid w:val="00814A90"/>
    <w:rsid w:val="00814B28"/>
    <w:rsid w:val="00814B7F"/>
    <w:rsid w:val="00814BE1"/>
    <w:rsid w:val="00814C65"/>
    <w:rsid w:val="00814DEF"/>
    <w:rsid w:val="00814E17"/>
    <w:rsid w:val="00814EE2"/>
    <w:rsid w:val="0081512D"/>
    <w:rsid w:val="0081525C"/>
    <w:rsid w:val="008157F3"/>
    <w:rsid w:val="00815ECD"/>
    <w:rsid w:val="00815EDD"/>
    <w:rsid w:val="008160A6"/>
    <w:rsid w:val="008160E4"/>
    <w:rsid w:val="008164AF"/>
    <w:rsid w:val="00816536"/>
    <w:rsid w:val="0081657A"/>
    <w:rsid w:val="0081669A"/>
    <w:rsid w:val="008166DB"/>
    <w:rsid w:val="008169FA"/>
    <w:rsid w:val="00816AC3"/>
    <w:rsid w:val="00816AC7"/>
    <w:rsid w:val="00816C33"/>
    <w:rsid w:val="00817471"/>
    <w:rsid w:val="0081752F"/>
    <w:rsid w:val="0081779D"/>
    <w:rsid w:val="0081785C"/>
    <w:rsid w:val="00817BC9"/>
    <w:rsid w:val="00817C10"/>
    <w:rsid w:val="00820012"/>
    <w:rsid w:val="00820235"/>
    <w:rsid w:val="008202F5"/>
    <w:rsid w:val="0082035A"/>
    <w:rsid w:val="00820647"/>
    <w:rsid w:val="00820746"/>
    <w:rsid w:val="0082083F"/>
    <w:rsid w:val="00820AE1"/>
    <w:rsid w:val="00820C5A"/>
    <w:rsid w:val="00820C71"/>
    <w:rsid w:val="00820D9D"/>
    <w:rsid w:val="00820DAF"/>
    <w:rsid w:val="00820DDE"/>
    <w:rsid w:val="00820E0F"/>
    <w:rsid w:val="00820E5B"/>
    <w:rsid w:val="00820F03"/>
    <w:rsid w:val="00821541"/>
    <w:rsid w:val="00821635"/>
    <w:rsid w:val="008216E0"/>
    <w:rsid w:val="0082189D"/>
    <w:rsid w:val="0082194B"/>
    <w:rsid w:val="008219FD"/>
    <w:rsid w:val="00821BFA"/>
    <w:rsid w:val="00821C44"/>
    <w:rsid w:val="00821DBA"/>
    <w:rsid w:val="00821F68"/>
    <w:rsid w:val="0082251E"/>
    <w:rsid w:val="00822905"/>
    <w:rsid w:val="00822972"/>
    <w:rsid w:val="00822A63"/>
    <w:rsid w:val="00822A7C"/>
    <w:rsid w:val="00822BD7"/>
    <w:rsid w:val="00822CFE"/>
    <w:rsid w:val="00822EF6"/>
    <w:rsid w:val="00822FDE"/>
    <w:rsid w:val="00823023"/>
    <w:rsid w:val="0082305E"/>
    <w:rsid w:val="0082311C"/>
    <w:rsid w:val="008231C0"/>
    <w:rsid w:val="00823258"/>
    <w:rsid w:val="0082331A"/>
    <w:rsid w:val="008234A2"/>
    <w:rsid w:val="00823633"/>
    <w:rsid w:val="008238A2"/>
    <w:rsid w:val="0082396C"/>
    <w:rsid w:val="00823CCE"/>
    <w:rsid w:val="00823D4A"/>
    <w:rsid w:val="00823D8F"/>
    <w:rsid w:val="00823FEC"/>
    <w:rsid w:val="00824136"/>
    <w:rsid w:val="00824218"/>
    <w:rsid w:val="008246C2"/>
    <w:rsid w:val="00824792"/>
    <w:rsid w:val="008248AE"/>
    <w:rsid w:val="008249C4"/>
    <w:rsid w:val="00824C15"/>
    <w:rsid w:val="00825104"/>
    <w:rsid w:val="0082511A"/>
    <w:rsid w:val="0082520B"/>
    <w:rsid w:val="00825370"/>
    <w:rsid w:val="00825394"/>
    <w:rsid w:val="00825412"/>
    <w:rsid w:val="00825551"/>
    <w:rsid w:val="008257DC"/>
    <w:rsid w:val="008258DC"/>
    <w:rsid w:val="00825AD6"/>
    <w:rsid w:val="00825B23"/>
    <w:rsid w:val="00825BED"/>
    <w:rsid w:val="00826146"/>
    <w:rsid w:val="00826231"/>
    <w:rsid w:val="0082631A"/>
    <w:rsid w:val="00826371"/>
    <w:rsid w:val="008264C2"/>
    <w:rsid w:val="0082675A"/>
    <w:rsid w:val="0082682A"/>
    <w:rsid w:val="00826DC2"/>
    <w:rsid w:val="00826DD1"/>
    <w:rsid w:val="00827128"/>
    <w:rsid w:val="00827156"/>
    <w:rsid w:val="00827488"/>
    <w:rsid w:val="008274E0"/>
    <w:rsid w:val="00827527"/>
    <w:rsid w:val="008275B9"/>
    <w:rsid w:val="00827661"/>
    <w:rsid w:val="00827A35"/>
    <w:rsid w:val="00827B1C"/>
    <w:rsid w:val="00827EF6"/>
    <w:rsid w:val="008301AB"/>
    <w:rsid w:val="00830254"/>
    <w:rsid w:val="008303A2"/>
    <w:rsid w:val="008304CE"/>
    <w:rsid w:val="008305B7"/>
    <w:rsid w:val="008308BC"/>
    <w:rsid w:val="00830932"/>
    <w:rsid w:val="00830AE0"/>
    <w:rsid w:val="00830B9F"/>
    <w:rsid w:val="00830D3F"/>
    <w:rsid w:val="00830D6E"/>
    <w:rsid w:val="00830F1B"/>
    <w:rsid w:val="00830F34"/>
    <w:rsid w:val="00831230"/>
    <w:rsid w:val="008314B7"/>
    <w:rsid w:val="008314C0"/>
    <w:rsid w:val="0083162E"/>
    <w:rsid w:val="008318ED"/>
    <w:rsid w:val="0083192E"/>
    <w:rsid w:val="00831941"/>
    <w:rsid w:val="00831981"/>
    <w:rsid w:val="008319B7"/>
    <w:rsid w:val="00831A26"/>
    <w:rsid w:val="00831AEA"/>
    <w:rsid w:val="00831B08"/>
    <w:rsid w:val="00831D8A"/>
    <w:rsid w:val="00832218"/>
    <w:rsid w:val="00832515"/>
    <w:rsid w:val="0083261D"/>
    <w:rsid w:val="008326E5"/>
    <w:rsid w:val="0083278C"/>
    <w:rsid w:val="0083288B"/>
    <w:rsid w:val="008328F1"/>
    <w:rsid w:val="00832907"/>
    <w:rsid w:val="00832D89"/>
    <w:rsid w:val="00832E7B"/>
    <w:rsid w:val="008330E3"/>
    <w:rsid w:val="008331D4"/>
    <w:rsid w:val="00833242"/>
    <w:rsid w:val="00833799"/>
    <w:rsid w:val="008337A0"/>
    <w:rsid w:val="008338ED"/>
    <w:rsid w:val="00833947"/>
    <w:rsid w:val="00833979"/>
    <w:rsid w:val="008339DE"/>
    <w:rsid w:val="00833AB7"/>
    <w:rsid w:val="00833CF9"/>
    <w:rsid w:val="00833D5A"/>
    <w:rsid w:val="00833D87"/>
    <w:rsid w:val="00833DD2"/>
    <w:rsid w:val="00833E36"/>
    <w:rsid w:val="00833F98"/>
    <w:rsid w:val="00834032"/>
    <w:rsid w:val="008346E3"/>
    <w:rsid w:val="008348BF"/>
    <w:rsid w:val="008349E8"/>
    <w:rsid w:val="008349FA"/>
    <w:rsid w:val="00834AB5"/>
    <w:rsid w:val="00834C84"/>
    <w:rsid w:val="00834F88"/>
    <w:rsid w:val="0083512A"/>
    <w:rsid w:val="008352C6"/>
    <w:rsid w:val="00835621"/>
    <w:rsid w:val="00835784"/>
    <w:rsid w:val="008358C4"/>
    <w:rsid w:val="00835AA4"/>
    <w:rsid w:val="00835BA9"/>
    <w:rsid w:val="00835E2B"/>
    <w:rsid w:val="00835EFB"/>
    <w:rsid w:val="00835FD4"/>
    <w:rsid w:val="00836077"/>
    <w:rsid w:val="00836165"/>
    <w:rsid w:val="008363B7"/>
    <w:rsid w:val="00836521"/>
    <w:rsid w:val="008365CA"/>
    <w:rsid w:val="00836882"/>
    <w:rsid w:val="00836992"/>
    <w:rsid w:val="00836BAD"/>
    <w:rsid w:val="00836BEA"/>
    <w:rsid w:val="00836CBE"/>
    <w:rsid w:val="00836E32"/>
    <w:rsid w:val="00836F44"/>
    <w:rsid w:val="00836FD3"/>
    <w:rsid w:val="00836FD9"/>
    <w:rsid w:val="008372A3"/>
    <w:rsid w:val="0083742C"/>
    <w:rsid w:val="00837505"/>
    <w:rsid w:val="00837730"/>
    <w:rsid w:val="008377E5"/>
    <w:rsid w:val="0083794E"/>
    <w:rsid w:val="00837B43"/>
    <w:rsid w:val="00837BD8"/>
    <w:rsid w:val="00837C2B"/>
    <w:rsid w:val="00837DD8"/>
    <w:rsid w:val="00837DE5"/>
    <w:rsid w:val="00837DE7"/>
    <w:rsid w:val="00837E43"/>
    <w:rsid w:val="0084001A"/>
    <w:rsid w:val="008401C5"/>
    <w:rsid w:val="00840777"/>
    <w:rsid w:val="00840865"/>
    <w:rsid w:val="008408A3"/>
    <w:rsid w:val="00840BB9"/>
    <w:rsid w:val="00840D7C"/>
    <w:rsid w:val="00840E96"/>
    <w:rsid w:val="00840EF4"/>
    <w:rsid w:val="00841038"/>
    <w:rsid w:val="008414C1"/>
    <w:rsid w:val="00841512"/>
    <w:rsid w:val="0084162B"/>
    <w:rsid w:val="00841AA9"/>
    <w:rsid w:val="00841C84"/>
    <w:rsid w:val="00841D41"/>
    <w:rsid w:val="00841F9E"/>
    <w:rsid w:val="0084216B"/>
    <w:rsid w:val="008422A2"/>
    <w:rsid w:val="00842377"/>
    <w:rsid w:val="00842500"/>
    <w:rsid w:val="0084258D"/>
    <w:rsid w:val="00842726"/>
    <w:rsid w:val="0084296E"/>
    <w:rsid w:val="00842AF4"/>
    <w:rsid w:val="00842C9B"/>
    <w:rsid w:val="00842F8F"/>
    <w:rsid w:val="00843032"/>
    <w:rsid w:val="0084303E"/>
    <w:rsid w:val="008430C0"/>
    <w:rsid w:val="00843402"/>
    <w:rsid w:val="008434CE"/>
    <w:rsid w:val="008436AB"/>
    <w:rsid w:val="008438E0"/>
    <w:rsid w:val="008439BF"/>
    <w:rsid w:val="00843C47"/>
    <w:rsid w:val="00843E0B"/>
    <w:rsid w:val="00843F9A"/>
    <w:rsid w:val="00843FCD"/>
    <w:rsid w:val="008440ED"/>
    <w:rsid w:val="00844111"/>
    <w:rsid w:val="00844153"/>
    <w:rsid w:val="0084445E"/>
    <w:rsid w:val="00844467"/>
    <w:rsid w:val="00844739"/>
    <w:rsid w:val="008447AB"/>
    <w:rsid w:val="008447FE"/>
    <w:rsid w:val="0084486B"/>
    <w:rsid w:val="008449C9"/>
    <w:rsid w:val="00844E88"/>
    <w:rsid w:val="00845004"/>
    <w:rsid w:val="008450E0"/>
    <w:rsid w:val="00845109"/>
    <w:rsid w:val="00845137"/>
    <w:rsid w:val="008454D2"/>
    <w:rsid w:val="0084557E"/>
    <w:rsid w:val="0084573E"/>
    <w:rsid w:val="00845897"/>
    <w:rsid w:val="00845CAD"/>
    <w:rsid w:val="00845F4A"/>
    <w:rsid w:val="00846314"/>
    <w:rsid w:val="008463B3"/>
    <w:rsid w:val="00846412"/>
    <w:rsid w:val="0084641D"/>
    <w:rsid w:val="0084651C"/>
    <w:rsid w:val="00846823"/>
    <w:rsid w:val="00846AAB"/>
    <w:rsid w:val="00846C93"/>
    <w:rsid w:val="00846D07"/>
    <w:rsid w:val="00846E16"/>
    <w:rsid w:val="00846EFE"/>
    <w:rsid w:val="0084724B"/>
    <w:rsid w:val="008472FB"/>
    <w:rsid w:val="00847477"/>
    <w:rsid w:val="00847491"/>
    <w:rsid w:val="0084763E"/>
    <w:rsid w:val="00847666"/>
    <w:rsid w:val="00847900"/>
    <w:rsid w:val="00847B73"/>
    <w:rsid w:val="00847E28"/>
    <w:rsid w:val="00847E32"/>
    <w:rsid w:val="00847ED3"/>
    <w:rsid w:val="00847F6D"/>
    <w:rsid w:val="008500AC"/>
    <w:rsid w:val="00850164"/>
    <w:rsid w:val="0085043B"/>
    <w:rsid w:val="00850459"/>
    <w:rsid w:val="008504D4"/>
    <w:rsid w:val="0085075B"/>
    <w:rsid w:val="008507E9"/>
    <w:rsid w:val="00850A83"/>
    <w:rsid w:val="00851130"/>
    <w:rsid w:val="008512C9"/>
    <w:rsid w:val="00851509"/>
    <w:rsid w:val="00851642"/>
    <w:rsid w:val="00851661"/>
    <w:rsid w:val="00851796"/>
    <w:rsid w:val="008518B7"/>
    <w:rsid w:val="008519C0"/>
    <w:rsid w:val="00851AEB"/>
    <w:rsid w:val="00851D9D"/>
    <w:rsid w:val="00851F54"/>
    <w:rsid w:val="00851FD4"/>
    <w:rsid w:val="00851FE0"/>
    <w:rsid w:val="008521AB"/>
    <w:rsid w:val="00852220"/>
    <w:rsid w:val="008525A7"/>
    <w:rsid w:val="00852612"/>
    <w:rsid w:val="0085298A"/>
    <w:rsid w:val="00852D9E"/>
    <w:rsid w:val="00852E3E"/>
    <w:rsid w:val="00852FD2"/>
    <w:rsid w:val="00853036"/>
    <w:rsid w:val="0085307F"/>
    <w:rsid w:val="0085314E"/>
    <w:rsid w:val="008531BC"/>
    <w:rsid w:val="008533A5"/>
    <w:rsid w:val="008533B2"/>
    <w:rsid w:val="0085340F"/>
    <w:rsid w:val="0085345C"/>
    <w:rsid w:val="008534A4"/>
    <w:rsid w:val="0085363F"/>
    <w:rsid w:val="008537D8"/>
    <w:rsid w:val="00853BA4"/>
    <w:rsid w:val="008540FE"/>
    <w:rsid w:val="00854104"/>
    <w:rsid w:val="008543B6"/>
    <w:rsid w:val="00854543"/>
    <w:rsid w:val="008547A3"/>
    <w:rsid w:val="008547FF"/>
    <w:rsid w:val="0085486C"/>
    <w:rsid w:val="008548C2"/>
    <w:rsid w:val="00854A48"/>
    <w:rsid w:val="00854ABC"/>
    <w:rsid w:val="00854AD8"/>
    <w:rsid w:val="00854B19"/>
    <w:rsid w:val="00854B46"/>
    <w:rsid w:val="00854BCF"/>
    <w:rsid w:val="00854F55"/>
    <w:rsid w:val="00855176"/>
    <w:rsid w:val="0085561E"/>
    <w:rsid w:val="0085564F"/>
    <w:rsid w:val="008556BF"/>
    <w:rsid w:val="0085572C"/>
    <w:rsid w:val="008559A9"/>
    <w:rsid w:val="00855B7C"/>
    <w:rsid w:val="00855D61"/>
    <w:rsid w:val="00856033"/>
    <w:rsid w:val="008560E9"/>
    <w:rsid w:val="0085619B"/>
    <w:rsid w:val="0085636B"/>
    <w:rsid w:val="008563A1"/>
    <w:rsid w:val="0085641D"/>
    <w:rsid w:val="008564D1"/>
    <w:rsid w:val="00856784"/>
    <w:rsid w:val="0085688F"/>
    <w:rsid w:val="00856944"/>
    <w:rsid w:val="00856AE6"/>
    <w:rsid w:val="00856C88"/>
    <w:rsid w:val="00856EB5"/>
    <w:rsid w:val="00856F8A"/>
    <w:rsid w:val="00856FFA"/>
    <w:rsid w:val="00857354"/>
    <w:rsid w:val="0085767A"/>
    <w:rsid w:val="008576F4"/>
    <w:rsid w:val="00857775"/>
    <w:rsid w:val="00857A49"/>
    <w:rsid w:val="00857B90"/>
    <w:rsid w:val="00857D02"/>
    <w:rsid w:val="00857F27"/>
    <w:rsid w:val="00857F38"/>
    <w:rsid w:val="00857F67"/>
    <w:rsid w:val="00860234"/>
    <w:rsid w:val="00860318"/>
    <w:rsid w:val="00860396"/>
    <w:rsid w:val="00860D7A"/>
    <w:rsid w:val="00860E75"/>
    <w:rsid w:val="00860F2A"/>
    <w:rsid w:val="008610D1"/>
    <w:rsid w:val="00861364"/>
    <w:rsid w:val="008613DA"/>
    <w:rsid w:val="0086151D"/>
    <w:rsid w:val="0086173E"/>
    <w:rsid w:val="00861C91"/>
    <w:rsid w:val="00861E50"/>
    <w:rsid w:val="00861F53"/>
    <w:rsid w:val="00862349"/>
    <w:rsid w:val="008623CF"/>
    <w:rsid w:val="00862622"/>
    <w:rsid w:val="00862698"/>
    <w:rsid w:val="0086269C"/>
    <w:rsid w:val="0086292D"/>
    <w:rsid w:val="00862AA2"/>
    <w:rsid w:val="00862C72"/>
    <w:rsid w:val="00862C7D"/>
    <w:rsid w:val="00862CE2"/>
    <w:rsid w:val="00862ECA"/>
    <w:rsid w:val="008631A6"/>
    <w:rsid w:val="00863353"/>
    <w:rsid w:val="0086347B"/>
    <w:rsid w:val="008636C6"/>
    <w:rsid w:val="00863746"/>
    <w:rsid w:val="008638DF"/>
    <w:rsid w:val="00863908"/>
    <w:rsid w:val="00863930"/>
    <w:rsid w:val="008639EC"/>
    <w:rsid w:val="00863A90"/>
    <w:rsid w:val="00863C51"/>
    <w:rsid w:val="00863DB9"/>
    <w:rsid w:val="00863E8E"/>
    <w:rsid w:val="00863F5E"/>
    <w:rsid w:val="00863F89"/>
    <w:rsid w:val="00864001"/>
    <w:rsid w:val="0086404F"/>
    <w:rsid w:val="008645FC"/>
    <w:rsid w:val="008646C5"/>
    <w:rsid w:val="00864B4B"/>
    <w:rsid w:val="00864F9E"/>
    <w:rsid w:val="00865078"/>
    <w:rsid w:val="0086509D"/>
    <w:rsid w:val="0086527A"/>
    <w:rsid w:val="00865284"/>
    <w:rsid w:val="00865296"/>
    <w:rsid w:val="008656A3"/>
    <w:rsid w:val="00865859"/>
    <w:rsid w:val="00865A41"/>
    <w:rsid w:val="00865BE9"/>
    <w:rsid w:val="00865C01"/>
    <w:rsid w:val="00865D45"/>
    <w:rsid w:val="00865F09"/>
    <w:rsid w:val="00866277"/>
    <w:rsid w:val="008662D4"/>
    <w:rsid w:val="00866385"/>
    <w:rsid w:val="00866422"/>
    <w:rsid w:val="0086663E"/>
    <w:rsid w:val="00866940"/>
    <w:rsid w:val="00866A2A"/>
    <w:rsid w:val="00866B60"/>
    <w:rsid w:val="00866E2C"/>
    <w:rsid w:val="00866F18"/>
    <w:rsid w:val="0086723A"/>
    <w:rsid w:val="0086726F"/>
    <w:rsid w:val="00867504"/>
    <w:rsid w:val="008675FB"/>
    <w:rsid w:val="0086776B"/>
    <w:rsid w:val="00867855"/>
    <w:rsid w:val="008678C1"/>
    <w:rsid w:val="00867A18"/>
    <w:rsid w:val="00867AB4"/>
    <w:rsid w:val="00867CCD"/>
    <w:rsid w:val="00867DB6"/>
    <w:rsid w:val="00867EED"/>
    <w:rsid w:val="0087008C"/>
    <w:rsid w:val="00870098"/>
    <w:rsid w:val="0087046E"/>
    <w:rsid w:val="00870503"/>
    <w:rsid w:val="00870783"/>
    <w:rsid w:val="00870976"/>
    <w:rsid w:val="008713D9"/>
    <w:rsid w:val="008713F1"/>
    <w:rsid w:val="0087174F"/>
    <w:rsid w:val="0087184D"/>
    <w:rsid w:val="0087192B"/>
    <w:rsid w:val="00871CD2"/>
    <w:rsid w:val="00871D35"/>
    <w:rsid w:val="00871D3B"/>
    <w:rsid w:val="008720D4"/>
    <w:rsid w:val="0087223D"/>
    <w:rsid w:val="0087227B"/>
    <w:rsid w:val="008723D5"/>
    <w:rsid w:val="0087253B"/>
    <w:rsid w:val="00872824"/>
    <w:rsid w:val="008729BB"/>
    <w:rsid w:val="00872B7F"/>
    <w:rsid w:val="00872BFE"/>
    <w:rsid w:val="00872D40"/>
    <w:rsid w:val="00872ED4"/>
    <w:rsid w:val="008730B5"/>
    <w:rsid w:val="0087342E"/>
    <w:rsid w:val="008734CC"/>
    <w:rsid w:val="00873537"/>
    <w:rsid w:val="00873692"/>
    <w:rsid w:val="008737E4"/>
    <w:rsid w:val="00873810"/>
    <w:rsid w:val="00873898"/>
    <w:rsid w:val="00873899"/>
    <w:rsid w:val="00873990"/>
    <w:rsid w:val="008739C4"/>
    <w:rsid w:val="00873A6F"/>
    <w:rsid w:val="00873D37"/>
    <w:rsid w:val="00873DED"/>
    <w:rsid w:val="00873E04"/>
    <w:rsid w:val="008740B2"/>
    <w:rsid w:val="00874611"/>
    <w:rsid w:val="00874652"/>
    <w:rsid w:val="008748C7"/>
    <w:rsid w:val="008749F3"/>
    <w:rsid w:val="00874A46"/>
    <w:rsid w:val="00874AD2"/>
    <w:rsid w:val="00874B92"/>
    <w:rsid w:val="00874C85"/>
    <w:rsid w:val="00874CD6"/>
    <w:rsid w:val="00874D28"/>
    <w:rsid w:val="00874D57"/>
    <w:rsid w:val="00874E29"/>
    <w:rsid w:val="0087517E"/>
    <w:rsid w:val="008753CE"/>
    <w:rsid w:val="0087555E"/>
    <w:rsid w:val="00875578"/>
    <w:rsid w:val="00875664"/>
    <w:rsid w:val="00875835"/>
    <w:rsid w:val="00875922"/>
    <w:rsid w:val="00875CB1"/>
    <w:rsid w:val="00875CBE"/>
    <w:rsid w:val="00875D38"/>
    <w:rsid w:val="00875E31"/>
    <w:rsid w:val="00875E8D"/>
    <w:rsid w:val="00875F7A"/>
    <w:rsid w:val="00876292"/>
    <w:rsid w:val="008763FE"/>
    <w:rsid w:val="0087648D"/>
    <w:rsid w:val="0087665C"/>
    <w:rsid w:val="00876669"/>
    <w:rsid w:val="00876680"/>
    <w:rsid w:val="008766E0"/>
    <w:rsid w:val="008767C2"/>
    <w:rsid w:val="00876843"/>
    <w:rsid w:val="008769A2"/>
    <w:rsid w:val="00876AEC"/>
    <w:rsid w:val="00876B46"/>
    <w:rsid w:val="00876BD1"/>
    <w:rsid w:val="00876C2A"/>
    <w:rsid w:val="00876C30"/>
    <w:rsid w:val="00876CD2"/>
    <w:rsid w:val="00876CE8"/>
    <w:rsid w:val="00876D68"/>
    <w:rsid w:val="00877425"/>
    <w:rsid w:val="008774AC"/>
    <w:rsid w:val="00877675"/>
    <w:rsid w:val="00877737"/>
    <w:rsid w:val="008777F4"/>
    <w:rsid w:val="0087797E"/>
    <w:rsid w:val="00877DE6"/>
    <w:rsid w:val="00877EBC"/>
    <w:rsid w:val="00880043"/>
    <w:rsid w:val="008800AC"/>
    <w:rsid w:val="0088040C"/>
    <w:rsid w:val="0088041C"/>
    <w:rsid w:val="00880440"/>
    <w:rsid w:val="008805E7"/>
    <w:rsid w:val="00880680"/>
    <w:rsid w:val="0088072E"/>
    <w:rsid w:val="00880786"/>
    <w:rsid w:val="00880839"/>
    <w:rsid w:val="0088091E"/>
    <w:rsid w:val="00880C77"/>
    <w:rsid w:val="00880DA7"/>
    <w:rsid w:val="00880E8E"/>
    <w:rsid w:val="00880EA4"/>
    <w:rsid w:val="00880F17"/>
    <w:rsid w:val="00880FB6"/>
    <w:rsid w:val="00881071"/>
    <w:rsid w:val="008810D5"/>
    <w:rsid w:val="00881164"/>
    <w:rsid w:val="008813CD"/>
    <w:rsid w:val="008813DE"/>
    <w:rsid w:val="0088148D"/>
    <w:rsid w:val="00881547"/>
    <w:rsid w:val="008816BD"/>
    <w:rsid w:val="00881BB8"/>
    <w:rsid w:val="00881CF6"/>
    <w:rsid w:val="00881E14"/>
    <w:rsid w:val="00881E98"/>
    <w:rsid w:val="008821C3"/>
    <w:rsid w:val="008821C6"/>
    <w:rsid w:val="008822D0"/>
    <w:rsid w:val="008824A8"/>
    <w:rsid w:val="00882508"/>
    <w:rsid w:val="008827F5"/>
    <w:rsid w:val="00882824"/>
    <w:rsid w:val="00882949"/>
    <w:rsid w:val="008829E0"/>
    <w:rsid w:val="00882AFF"/>
    <w:rsid w:val="00883014"/>
    <w:rsid w:val="0088350A"/>
    <w:rsid w:val="008836A3"/>
    <w:rsid w:val="0088370E"/>
    <w:rsid w:val="008838C1"/>
    <w:rsid w:val="008838D9"/>
    <w:rsid w:val="008839FB"/>
    <w:rsid w:val="00883BBD"/>
    <w:rsid w:val="00883BF2"/>
    <w:rsid w:val="00883FA6"/>
    <w:rsid w:val="0088404C"/>
    <w:rsid w:val="008840BA"/>
    <w:rsid w:val="00884388"/>
    <w:rsid w:val="008844B1"/>
    <w:rsid w:val="00884615"/>
    <w:rsid w:val="0088478A"/>
    <w:rsid w:val="00884A4D"/>
    <w:rsid w:val="00884D74"/>
    <w:rsid w:val="0088506F"/>
    <w:rsid w:val="008850BE"/>
    <w:rsid w:val="008851A6"/>
    <w:rsid w:val="008851D7"/>
    <w:rsid w:val="008854E2"/>
    <w:rsid w:val="00885575"/>
    <w:rsid w:val="008857A5"/>
    <w:rsid w:val="008858DA"/>
    <w:rsid w:val="008859F7"/>
    <w:rsid w:val="00885EE8"/>
    <w:rsid w:val="00885F55"/>
    <w:rsid w:val="00886123"/>
    <w:rsid w:val="008861A6"/>
    <w:rsid w:val="0088630D"/>
    <w:rsid w:val="008863AF"/>
    <w:rsid w:val="008869AF"/>
    <w:rsid w:val="00886BD2"/>
    <w:rsid w:val="00886CBC"/>
    <w:rsid w:val="00886DF5"/>
    <w:rsid w:val="00886E3C"/>
    <w:rsid w:val="00887063"/>
    <w:rsid w:val="00887171"/>
    <w:rsid w:val="008871A5"/>
    <w:rsid w:val="00887347"/>
    <w:rsid w:val="0088737A"/>
    <w:rsid w:val="0088748A"/>
    <w:rsid w:val="008875CC"/>
    <w:rsid w:val="0088763F"/>
    <w:rsid w:val="008876C7"/>
    <w:rsid w:val="00887733"/>
    <w:rsid w:val="008877FA"/>
    <w:rsid w:val="0088785B"/>
    <w:rsid w:val="00887AAD"/>
    <w:rsid w:val="00887BCB"/>
    <w:rsid w:val="00887D24"/>
    <w:rsid w:val="00887DC4"/>
    <w:rsid w:val="00890004"/>
    <w:rsid w:val="008903DF"/>
    <w:rsid w:val="00890459"/>
    <w:rsid w:val="008905EA"/>
    <w:rsid w:val="008906EE"/>
    <w:rsid w:val="0089084E"/>
    <w:rsid w:val="008909E0"/>
    <w:rsid w:val="00890C2E"/>
    <w:rsid w:val="00890C31"/>
    <w:rsid w:val="00891079"/>
    <w:rsid w:val="00891364"/>
    <w:rsid w:val="008913DE"/>
    <w:rsid w:val="00891586"/>
    <w:rsid w:val="00891686"/>
    <w:rsid w:val="00891733"/>
    <w:rsid w:val="008917CC"/>
    <w:rsid w:val="00891E59"/>
    <w:rsid w:val="00891F0A"/>
    <w:rsid w:val="0089204B"/>
    <w:rsid w:val="008920EC"/>
    <w:rsid w:val="0089251D"/>
    <w:rsid w:val="00892567"/>
    <w:rsid w:val="00892633"/>
    <w:rsid w:val="00892834"/>
    <w:rsid w:val="00892AB7"/>
    <w:rsid w:val="00892DD5"/>
    <w:rsid w:val="0089300B"/>
    <w:rsid w:val="008932D9"/>
    <w:rsid w:val="0089332D"/>
    <w:rsid w:val="00893421"/>
    <w:rsid w:val="00893467"/>
    <w:rsid w:val="008936E9"/>
    <w:rsid w:val="00893C87"/>
    <w:rsid w:val="00893DAF"/>
    <w:rsid w:val="00893E4E"/>
    <w:rsid w:val="00893ED3"/>
    <w:rsid w:val="00893F05"/>
    <w:rsid w:val="0089413B"/>
    <w:rsid w:val="0089418C"/>
    <w:rsid w:val="008944A6"/>
    <w:rsid w:val="0089485E"/>
    <w:rsid w:val="008949AA"/>
    <w:rsid w:val="00894A6A"/>
    <w:rsid w:val="00894CE8"/>
    <w:rsid w:val="00894EEA"/>
    <w:rsid w:val="008959E5"/>
    <w:rsid w:val="00895C47"/>
    <w:rsid w:val="00895FCD"/>
    <w:rsid w:val="00896033"/>
    <w:rsid w:val="00896192"/>
    <w:rsid w:val="0089635E"/>
    <w:rsid w:val="0089649B"/>
    <w:rsid w:val="008964A2"/>
    <w:rsid w:val="008965C9"/>
    <w:rsid w:val="00896630"/>
    <w:rsid w:val="008966C0"/>
    <w:rsid w:val="00896AD4"/>
    <w:rsid w:val="00896C3A"/>
    <w:rsid w:val="008972AD"/>
    <w:rsid w:val="00897A7B"/>
    <w:rsid w:val="00897B33"/>
    <w:rsid w:val="00897D52"/>
    <w:rsid w:val="008A002E"/>
    <w:rsid w:val="008A0288"/>
    <w:rsid w:val="008A04E2"/>
    <w:rsid w:val="008A05DA"/>
    <w:rsid w:val="008A08E3"/>
    <w:rsid w:val="008A0A6A"/>
    <w:rsid w:val="008A0AE9"/>
    <w:rsid w:val="008A0B72"/>
    <w:rsid w:val="008A0EA7"/>
    <w:rsid w:val="008A1156"/>
    <w:rsid w:val="008A117F"/>
    <w:rsid w:val="008A1289"/>
    <w:rsid w:val="008A1344"/>
    <w:rsid w:val="008A1698"/>
    <w:rsid w:val="008A1720"/>
    <w:rsid w:val="008A1940"/>
    <w:rsid w:val="008A1B94"/>
    <w:rsid w:val="008A1CA3"/>
    <w:rsid w:val="008A1D1F"/>
    <w:rsid w:val="008A1E91"/>
    <w:rsid w:val="008A1F5E"/>
    <w:rsid w:val="008A2049"/>
    <w:rsid w:val="008A220B"/>
    <w:rsid w:val="008A22AA"/>
    <w:rsid w:val="008A2615"/>
    <w:rsid w:val="008A2732"/>
    <w:rsid w:val="008A2964"/>
    <w:rsid w:val="008A2C60"/>
    <w:rsid w:val="008A2CE1"/>
    <w:rsid w:val="008A2D7C"/>
    <w:rsid w:val="008A2FDD"/>
    <w:rsid w:val="008A3147"/>
    <w:rsid w:val="008A3577"/>
    <w:rsid w:val="008A37F9"/>
    <w:rsid w:val="008A386C"/>
    <w:rsid w:val="008A393A"/>
    <w:rsid w:val="008A3950"/>
    <w:rsid w:val="008A395D"/>
    <w:rsid w:val="008A3B50"/>
    <w:rsid w:val="008A3BCE"/>
    <w:rsid w:val="008A3DAB"/>
    <w:rsid w:val="008A408A"/>
    <w:rsid w:val="008A4199"/>
    <w:rsid w:val="008A420A"/>
    <w:rsid w:val="008A424E"/>
    <w:rsid w:val="008A4292"/>
    <w:rsid w:val="008A440D"/>
    <w:rsid w:val="008A4760"/>
    <w:rsid w:val="008A4B82"/>
    <w:rsid w:val="008A4B88"/>
    <w:rsid w:val="008A4BE4"/>
    <w:rsid w:val="008A4D1D"/>
    <w:rsid w:val="008A4D36"/>
    <w:rsid w:val="008A4ECC"/>
    <w:rsid w:val="008A4F0F"/>
    <w:rsid w:val="008A50AC"/>
    <w:rsid w:val="008A5195"/>
    <w:rsid w:val="008A57D8"/>
    <w:rsid w:val="008A5A58"/>
    <w:rsid w:val="008A5B1A"/>
    <w:rsid w:val="008A5C3E"/>
    <w:rsid w:val="008A5DC4"/>
    <w:rsid w:val="008A605B"/>
    <w:rsid w:val="008A61E5"/>
    <w:rsid w:val="008A6222"/>
    <w:rsid w:val="008A6446"/>
    <w:rsid w:val="008A64F0"/>
    <w:rsid w:val="008A67DB"/>
    <w:rsid w:val="008A68F9"/>
    <w:rsid w:val="008A698F"/>
    <w:rsid w:val="008A69B5"/>
    <w:rsid w:val="008A69BF"/>
    <w:rsid w:val="008A6BA7"/>
    <w:rsid w:val="008A6DA0"/>
    <w:rsid w:val="008A7064"/>
    <w:rsid w:val="008A712A"/>
    <w:rsid w:val="008A7373"/>
    <w:rsid w:val="008A761A"/>
    <w:rsid w:val="008A7637"/>
    <w:rsid w:val="008A788D"/>
    <w:rsid w:val="008A7B32"/>
    <w:rsid w:val="008B0AA9"/>
    <w:rsid w:val="008B0AFA"/>
    <w:rsid w:val="008B0C4D"/>
    <w:rsid w:val="008B0F47"/>
    <w:rsid w:val="008B1389"/>
    <w:rsid w:val="008B1465"/>
    <w:rsid w:val="008B1521"/>
    <w:rsid w:val="008B17FE"/>
    <w:rsid w:val="008B1948"/>
    <w:rsid w:val="008B19A2"/>
    <w:rsid w:val="008B1EBD"/>
    <w:rsid w:val="008B1EF2"/>
    <w:rsid w:val="008B202E"/>
    <w:rsid w:val="008B21B5"/>
    <w:rsid w:val="008B2225"/>
    <w:rsid w:val="008B2298"/>
    <w:rsid w:val="008B2299"/>
    <w:rsid w:val="008B22D6"/>
    <w:rsid w:val="008B239C"/>
    <w:rsid w:val="008B24E2"/>
    <w:rsid w:val="008B28AC"/>
    <w:rsid w:val="008B29BF"/>
    <w:rsid w:val="008B2DD2"/>
    <w:rsid w:val="008B2DEC"/>
    <w:rsid w:val="008B3185"/>
    <w:rsid w:val="008B3275"/>
    <w:rsid w:val="008B338B"/>
    <w:rsid w:val="008B35E0"/>
    <w:rsid w:val="008B3653"/>
    <w:rsid w:val="008B3BB5"/>
    <w:rsid w:val="008B3C3E"/>
    <w:rsid w:val="008B4370"/>
    <w:rsid w:val="008B43DD"/>
    <w:rsid w:val="008B44F4"/>
    <w:rsid w:val="008B493F"/>
    <w:rsid w:val="008B4A4A"/>
    <w:rsid w:val="008B4AD5"/>
    <w:rsid w:val="008B4FA5"/>
    <w:rsid w:val="008B526F"/>
    <w:rsid w:val="008B52FB"/>
    <w:rsid w:val="008B572F"/>
    <w:rsid w:val="008B57BC"/>
    <w:rsid w:val="008B57DB"/>
    <w:rsid w:val="008B58AF"/>
    <w:rsid w:val="008B58E7"/>
    <w:rsid w:val="008B5914"/>
    <w:rsid w:val="008B59AB"/>
    <w:rsid w:val="008B59B0"/>
    <w:rsid w:val="008B5A9B"/>
    <w:rsid w:val="008B5BDD"/>
    <w:rsid w:val="008B5C0C"/>
    <w:rsid w:val="008B5C4C"/>
    <w:rsid w:val="008B5D26"/>
    <w:rsid w:val="008B5E11"/>
    <w:rsid w:val="008B5EB1"/>
    <w:rsid w:val="008B6017"/>
    <w:rsid w:val="008B604D"/>
    <w:rsid w:val="008B62D6"/>
    <w:rsid w:val="008B63FB"/>
    <w:rsid w:val="008B65AB"/>
    <w:rsid w:val="008B6B0D"/>
    <w:rsid w:val="008B6EF0"/>
    <w:rsid w:val="008B7038"/>
    <w:rsid w:val="008B70C5"/>
    <w:rsid w:val="008B7156"/>
    <w:rsid w:val="008B7222"/>
    <w:rsid w:val="008B7516"/>
    <w:rsid w:val="008B790B"/>
    <w:rsid w:val="008B7960"/>
    <w:rsid w:val="008B79E5"/>
    <w:rsid w:val="008B7A47"/>
    <w:rsid w:val="008B7AC2"/>
    <w:rsid w:val="008B7B0E"/>
    <w:rsid w:val="008B7C33"/>
    <w:rsid w:val="008B7C78"/>
    <w:rsid w:val="008B7D63"/>
    <w:rsid w:val="008B7ED2"/>
    <w:rsid w:val="008B7F3E"/>
    <w:rsid w:val="008C01A3"/>
    <w:rsid w:val="008C034E"/>
    <w:rsid w:val="008C05B9"/>
    <w:rsid w:val="008C0639"/>
    <w:rsid w:val="008C0684"/>
    <w:rsid w:val="008C06C9"/>
    <w:rsid w:val="008C09B6"/>
    <w:rsid w:val="008C0CC2"/>
    <w:rsid w:val="008C0E0B"/>
    <w:rsid w:val="008C0E3C"/>
    <w:rsid w:val="008C0ECC"/>
    <w:rsid w:val="008C0F06"/>
    <w:rsid w:val="008C10E3"/>
    <w:rsid w:val="008C115E"/>
    <w:rsid w:val="008C15D1"/>
    <w:rsid w:val="008C1666"/>
    <w:rsid w:val="008C1669"/>
    <w:rsid w:val="008C17ED"/>
    <w:rsid w:val="008C17F3"/>
    <w:rsid w:val="008C18C1"/>
    <w:rsid w:val="008C18E6"/>
    <w:rsid w:val="008C191C"/>
    <w:rsid w:val="008C19AB"/>
    <w:rsid w:val="008C1D3F"/>
    <w:rsid w:val="008C1D7F"/>
    <w:rsid w:val="008C1D8B"/>
    <w:rsid w:val="008C1EA6"/>
    <w:rsid w:val="008C2037"/>
    <w:rsid w:val="008C2417"/>
    <w:rsid w:val="008C2501"/>
    <w:rsid w:val="008C26D6"/>
    <w:rsid w:val="008C2775"/>
    <w:rsid w:val="008C2939"/>
    <w:rsid w:val="008C2966"/>
    <w:rsid w:val="008C2DCF"/>
    <w:rsid w:val="008C2E56"/>
    <w:rsid w:val="008C2FBE"/>
    <w:rsid w:val="008C314A"/>
    <w:rsid w:val="008C343B"/>
    <w:rsid w:val="008C3452"/>
    <w:rsid w:val="008C3522"/>
    <w:rsid w:val="008C3547"/>
    <w:rsid w:val="008C3613"/>
    <w:rsid w:val="008C381C"/>
    <w:rsid w:val="008C3824"/>
    <w:rsid w:val="008C390E"/>
    <w:rsid w:val="008C3A4B"/>
    <w:rsid w:val="008C4020"/>
    <w:rsid w:val="008C41F9"/>
    <w:rsid w:val="008C41FA"/>
    <w:rsid w:val="008C431E"/>
    <w:rsid w:val="008C43B2"/>
    <w:rsid w:val="008C460E"/>
    <w:rsid w:val="008C47C2"/>
    <w:rsid w:val="008C47FE"/>
    <w:rsid w:val="008C4882"/>
    <w:rsid w:val="008C4948"/>
    <w:rsid w:val="008C4AE4"/>
    <w:rsid w:val="008C4CE6"/>
    <w:rsid w:val="008C4E7E"/>
    <w:rsid w:val="008C523E"/>
    <w:rsid w:val="008C5265"/>
    <w:rsid w:val="008C5384"/>
    <w:rsid w:val="008C53B9"/>
    <w:rsid w:val="008C59EF"/>
    <w:rsid w:val="008C5CB3"/>
    <w:rsid w:val="008C5CD9"/>
    <w:rsid w:val="008C61C3"/>
    <w:rsid w:val="008C61D7"/>
    <w:rsid w:val="008C63CB"/>
    <w:rsid w:val="008C64A2"/>
    <w:rsid w:val="008C65B4"/>
    <w:rsid w:val="008C686E"/>
    <w:rsid w:val="008C6978"/>
    <w:rsid w:val="008C6C8B"/>
    <w:rsid w:val="008C6D6E"/>
    <w:rsid w:val="008C71C2"/>
    <w:rsid w:val="008C756B"/>
    <w:rsid w:val="008C766B"/>
    <w:rsid w:val="008C78B0"/>
    <w:rsid w:val="008C78FA"/>
    <w:rsid w:val="008C7BD0"/>
    <w:rsid w:val="008C7C01"/>
    <w:rsid w:val="008C7DC0"/>
    <w:rsid w:val="008C7F38"/>
    <w:rsid w:val="008C7FB1"/>
    <w:rsid w:val="008D0250"/>
    <w:rsid w:val="008D033A"/>
    <w:rsid w:val="008D045D"/>
    <w:rsid w:val="008D04D6"/>
    <w:rsid w:val="008D0504"/>
    <w:rsid w:val="008D05D6"/>
    <w:rsid w:val="008D0A9C"/>
    <w:rsid w:val="008D0C35"/>
    <w:rsid w:val="008D0D91"/>
    <w:rsid w:val="008D0DFF"/>
    <w:rsid w:val="008D0EC0"/>
    <w:rsid w:val="008D114A"/>
    <w:rsid w:val="008D118E"/>
    <w:rsid w:val="008D1256"/>
    <w:rsid w:val="008D12B5"/>
    <w:rsid w:val="008D195E"/>
    <w:rsid w:val="008D1A87"/>
    <w:rsid w:val="008D1BB3"/>
    <w:rsid w:val="008D1CF3"/>
    <w:rsid w:val="008D1FE8"/>
    <w:rsid w:val="008D2116"/>
    <w:rsid w:val="008D2139"/>
    <w:rsid w:val="008D2190"/>
    <w:rsid w:val="008D2214"/>
    <w:rsid w:val="008D228D"/>
    <w:rsid w:val="008D246A"/>
    <w:rsid w:val="008D2514"/>
    <w:rsid w:val="008D2601"/>
    <w:rsid w:val="008D275A"/>
    <w:rsid w:val="008D2843"/>
    <w:rsid w:val="008D28FA"/>
    <w:rsid w:val="008D2916"/>
    <w:rsid w:val="008D295C"/>
    <w:rsid w:val="008D2E0E"/>
    <w:rsid w:val="008D2E7E"/>
    <w:rsid w:val="008D2F6F"/>
    <w:rsid w:val="008D30FF"/>
    <w:rsid w:val="008D3161"/>
    <w:rsid w:val="008D3291"/>
    <w:rsid w:val="008D32A2"/>
    <w:rsid w:val="008D3785"/>
    <w:rsid w:val="008D382B"/>
    <w:rsid w:val="008D39C4"/>
    <w:rsid w:val="008D3A48"/>
    <w:rsid w:val="008D3AB5"/>
    <w:rsid w:val="008D3FD3"/>
    <w:rsid w:val="008D3FFF"/>
    <w:rsid w:val="008D40C0"/>
    <w:rsid w:val="008D426E"/>
    <w:rsid w:val="008D4337"/>
    <w:rsid w:val="008D440C"/>
    <w:rsid w:val="008D4413"/>
    <w:rsid w:val="008D4424"/>
    <w:rsid w:val="008D4464"/>
    <w:rsid w:val="008D44E5"/>
    <w:rsid w:val="008D4524"/>
    <w:rsid w:val="008D4E22"/>
    <w:rsid w:val="008D4F75"/>
    <w:rsid w:val="008D51CB"/>
    <w:rsid w:val="008D52AC"/>
    <w:rsid w:val="008D52D6"/>
    <w:rsid w:val="008D52FD"/>
    <w:rsid w:val="008D5397"/>
    <w:rsid w:val="008D5448"/>
    <w:rsid w:val="008D544F"/>
    <w:rsid w:val="008D5463"/>
    <w:rsid w:val="008D54BE"/>
    <w:rsid w:val="008D5725"/>
    <w:rsid w:val="008D5757"/>
    <w:rsid w:val="008D58C2"/>
    <w:rsid w:val="008D59EE"/>
    <w:rsid w:val="008D5BBD"/>
    <w:rsid w:val="008D5C9A"/>
    <w:rsid w:val="008D61FC"/>
    <w:rsid w:val="008D6258"/>
    <w:rsid w:val="008D6316"/>
    <w:rsid w:val="008D6393"/>
    <w:rsid w:val="008D6406"/>
    <w:rsid w:val="008D6558"/>
    <w:rsid w:val="008D65C9"/>
    <w:rsid w:val="008D676B"/>
    <w:rsid w:val="008D6991"/>
    <w:rsid w:val="008D6993"/>
    <w:rsid w:val="008D69EE"/>
    <w:rsid w:val="008D6A6E"/>
    <w:rsid w:val="008D6C37"/>
    <w:rsid w:val="008D6D1D"/>
    <w:rsid w:val="008D6DE0"/>
    <w:rsid w:val="008D6EBA"/>
    <w:rsid w:val="008D6F95"/>
    <w:rsid w:val="008D7052"/>
    <w:rsid w:val="008D72D9"/>
    <w:rsid w:val="008D74A2"/>
    <w:rsid w:val="008D74A4"/>
    <w:rsid w:val="008D7655"/>
    <w:rsid w:val="008D788D"/>
    <w:rsid w:val="008D796D"/>
    <w:rsid w:val="008D7A69"/>
    <w:rsid w:val="008D7BCD"/>
    <w:rsid w:val="008E047B"/>
    <w:rsid w:val="008E0512"/>
    <w:rsid w:val="008E059A"/>
    <w:rsid w:val="008E0704"/>
    <w:rsid w:val="008E0875"/>
    <w:rsid w:val="008E08F8"/>
    <w:rsid w:val="008E09A6"/>
    <w:rsid w:val="008E09FF"/>
    <w:rsid w:val="008E0ADC"/>
    <w:rsid w:val="008E0D29"/>
    <w:rsid w:val="008E107D"/>
    <w:rsid w:val="008E15E2"/>
    <w:rsid w:val="008E16D2"/>
    <w:rsid w:val="008E18C3"/>
    <w:rsid w:val="008E19DE"/>
    <w:rsid w:val="008E1B53"/>
    <w:rsid w:val="008E1E04"/>
    <w:rsid w:val="008E2219"/>
    <w:rsid w:val="008E2288"/>
    <w:rsid w:val="008E231C"/>
    <w:rsid w:val="008E2340"/>
    <w:rsid w:val="008E26DF"/>
    <w:rsid w:val="008E2845"/>
    <w:rsid w:val="008E29C1"/>
    <w:rsid w:val="008E2D87"/>
    <w:rsid w:val="008E2F56"/>
    <w:rsid w:val="008E30BA"/>
    <w:rsid w:val="008E33BC"/>
    <w:rsid w:val="008E3406"/>
    <w:rsid w:val="008E36B3"/>
    <w:rsid w:val="008E36DF"/>
    <w:rsid w:val="008E3946"/>
    <w:rsid w:val="008E3E47"/>
    <w:rsid w:val="008E3F9B"/>
    <w:rsid w:val="008E4061"/>
    <w:rsid w:val="008E40A5"/>
    <w:rsid w:val="008E443A"/>
    <w:rsid w:val="008E44E9"/>
    <w:rsid w:val="008E45DA"/>
    <w:rsid w:val="008E460B"/>
    <w:rsid w:val="008E4B19"/>
    <w:rsid w:val="008E5018"/>
    <w:rsid w:val="008E5171"/>
    <w:rsid w:val="008E51E0"/>
    <w:rsid w:val="008E5284"/>
    <w:rsid w:val="008E571A"/>
    <w:rsid w:val="008E5788"/>
    <w:rsid w:val="008E5800"/>
    <w:rsid w:val="008E58B2"/>
    <w:rsid w:val="008E58E9"/>
    <w:rsid w:val="008E5AB2"/>
    <w:rsid w:val="008E5B7B"/>
    <w:rsid w:val="008E5E5F"/>
    <w:rsid w:val="008E5F48"/>
    <w:rsid w:val="008E63D3"/>
    <w:rsid w:val="008E698E"/>
    <w:rsid w:val="008E6AA3"/>
    <w:rsid w:val="008E6B74"/>
    <w:rsid w:val="008E702B"/>
    <w:rsid w:val="008E708F"/>
    <w:rsid w:val="008E7355"/>
    <w:rsid w:val="008E7498"/>
    <w:rsid w:val="008E75C5"/>
    <w:rsid w:val="008E770E"/>
    <w:rsid w:val="008E7739"/>
    <w:rsid w:val="008E7902"/>
    <w:rsid w:val="008E79F4"/>
    <w:rsid w:val="008E7B44"/>
    <w:rsid w:val="008E7CCE"/>
    <w:rsid w:val="008E7F33"/>
    <w:rsid w:val="008F009E"/>
    <w:rsid w:val="008F00CE"/>
    <w:rsid w:val="008F00FB"/>
    <w:rsid w:val="008F0317"/>
    <w:rsid w:val="008F0356"/>
    <w:rsid w:val="008F05B9"/>
    <w:rsid w:val="008F080B"/>
    <w:rsid w:val="008F0C93"/>
    <w:rsid w:val="008F0CFA"/>
    <w:rsid w:val="008F0F98"/>
    <w:rsid w:val="008F1095"/>
    <w:rsid w:val="008F10DA"/>
    <w:rsid w:val="008F10ED"/>
    <w:rsid w:val="008F110D"/>
    <w:rsid w:val="008F12A6"/>
    <w:rsid w:val="008F14DE"/>
    <w:rsid w:val="008F1594"/>
    <w:rsid w:val="008F16A5"/>
    <w:rsid w:val="008F16CB"/>
    <w:rsid w:val="008F18B6"/>
    <w:rsid w:val="008F19A2"/>
    <w:rsid w:val="008F1A3C"/>
    <w:rsid w:val="008F1BE0"/>
    <w:rsid w:val="008F1C85"/>
    <w:rsid w:val="008F1DD5"/>
    <w:rsid w:val="008F1EB2"/>
    <w:rsid w:val="008F1FE3"/>
    <w:rsid w:val="008F2040"/>
    <w:rsid w:val="008F25DC"/>
    <w:rsid w:val="008F2734"/>
    <w:rsid w:val="008F29BC"/>
    <w:rsid w:val="008F2A56"/>
    <w:rsid w:val="008F2AE8"/>
    <w:rsid w:val="008F2AE9"/>
    <w:rsid w:val="008F2B43"/>
    <w:rsid w:val="008F2F3E"/>
    <w:rsid w:val="008F3321"/>
    <w:rsid w:val="008F3408"/>
    <w:rsid w:val="008F3499"/>
    <w:rsid w:val="008F34CE"/>
    <w:rsid w:val="008F35ED"/>
    <w:rsid w:val="008F35F3"/>
    <w:rsid w:val="008F3668"/>
    <w:rsid w:val="008F3872"/>
    <w:rsid w:val="008F39FD"/>
    <w:rsid w:val="008F3A0F"/>
    <w:rsid w:val="008F3AC1"/>
    <w:rsid w:val="008F41A1"/>
    <w:rsid w:val="008F42D0"/>
    <w:rsid w:val="008F42E7"/>
    <w:rsid w:val="008F42F8"/>
    <w:rsid w:val="008F43A1"/>
    <w:rsid w:val="008F449C"/>
    <w:rsid w:val="008F4511"/>
    <w:rsid w:val="008F46C8"/>
    <w:rsid w:val="008F46CA"/>
    <w:rsid w:val="008F488B"/>
    <w:rsid w:val="008F4D50"/>
    <w:rsid w:val="008F4DE5"/>
    <w:rsid w:val="008F505B"/>
    <w:rsid w:val="008F50A0"/>
    <w:rsid w:val="008F5276"/>
    <w:rsid w:val="008F574C"/>
    <w:rsid w:val="008F57E3"/>
    <w:rsid w:val="008F5A04"/>
    <w:rsid w:val="008F60D8"/>
    <w:rsid w:val="008F658C"/>
    <w:rsid w:val="008F68FC"/>
    <w:rsid w:val="008F699B"/>
    <w:rsid w:val="008F6AAE"/>
    <w:rsid w:val="008F6B3D"/>
    <w:rsid w:val="008F6B53"/>
    <w:rsid w:val="008F6DD1"/>
    <w:rsid w:val="008F6F4D"/>
    <w:rsid w:val="008F7027"/>
    <w:rsid w:val="008F7196"/>
    <w:rsid w:val="008F72B7"/>
    <w:rsid w:val="008F7461"/>
    <w:rsid w:val="008F7714"/>
    <w:rsid w:val="008F77B1"/>
    <w:rsid w:val="008F78A2"/>
    <w:rsid w:val="008F793A"/>
    <w:rsid w:val="008F7A96"/>
    <w:rsid w:val="008F7AEC"/>
    <w:rsid w:val="008F7C9C"/>
    <w:rsid w:val="008F7F50"/>
    <w:rsid w:val="009002EC"/>
    <w:rsid w:val="00900302"/>
    <w:rsid w:val="009003DF"/>
    <w:rsid w:val="00900463"/>
    <w:rsid w:val="00900510"/>
    <w:rsid w:val="00900655"/>
    <w:rsid w:val="009006A7"/>
    <w:rsid w:val="0090088B"/>
    <w:rsid w:val="00900A86"/>
    <w:rsid w:val="00900ADD"/>
    <w:rsid w:val="00900AF4"/>
    <w:rsid w:val="00900CC4"/>
    <w:rsid w:val="00900DDA"/>
    <w:rsid w:val="00900E63"/>
    <w:rsid w:val="00901036"/>
    <w:rsid w:val="00901281"/>
    <w:rsid w:val="009012FD"/>
    <w:rsid w:val="009013C1"/>
    <w:rsid w:val="00901446"/>
    <w:rsid w:val="0090158A"/>
    <w:rsid w:val="00901635"/>
    <w:rsid w:val="00901738"/>
    <w:rsid w:val="00901756"/>
    <w:rsid w:val="00901930"/>
    <w:rsid w:val="00901AC3"/>
    <w:rsid w:val="00901B38"/>
    <w:rsid w:val="00901BD2"/>
    <w:rsid w:val="00901D1D"/>
    <w:rsid w:val="009020B9"/>
    <w:rsid w:val="009025AA"/>
    <w:rsid w:val="009027C5"/>
    <w:rsid w:val="0090295B"/>
    <w:rsid w:val="00902B44"/>
    <w:rsid w:val="00902CAC"/>
    <w:rsid w:val="00902D28"/>
    <w:rsid w:val="0090327F"/>
    <w:rsid w:val="009032E3"/>
    <w:rsid w:val="0090332C"/>
    <w:rsid w:val="00903657"/>
    <w:rsid w:val="009036CA"/>
    <w:rsid w:val="009037C5"/>
    <w:rsid w:val="00903D4B"/>
    <w:rsid w:val="00903F1B"/>
    <w:rsid w:val="00903FFC"/>
    <w:rsid w:val="0090430E"/>
    <w:rsid w:val="0090456E"/>
    <w:rsid w:val="0090459E"/>
    <w:rsid w:val="00904690"/>
    <w:rsid w:val="009047B0"/>
    <w:rsid w:val="00904830"/>
    <w:rsid w:val="0090495C"/>
    <w:rsid w:val="009049D6"/>
    <w:rsid w:val="00904BE5"/>
    <w:rsid w:val="00904C06"/>
    <w:rsid w:val="00904D99"/>
    <w:rsid w:val="00904F89"/>
    <w:rsid w:val="0090500E"/>
    <w:rsid w:val="00905079"/>
    <w:rsid w:val="009050F4"/>
    <w:rsid w:val="009051C4"/>
    <w:rsid w:val="0090526D"/>
    <w:rsid w:val="00905412"/>
    <w:rsid w:val="009056DA"/>
    <w:rsid w:val="009059CB"/>
    <w:rsid w:val="00905E00"/>
    <w:rsid w:val="00905E79"/>
    <w:rsid w:val="00905F56"/>
    <w:rsid w:val="0090607C"/>
    <w:rsid w:val="00906551"/>
    <w:rsid w:val="009065BA"/>
    <w:rsid w:val="0090668D"/>
    <w:rsid w:val="0090672F"/>
    <w:rsid w:val="009067E3"/>
    <w:rsid w:val="00906BC2"/>
    <w:rsid w:val="00906D89"/>
    <w:rsid w:val="0090705F"/>
    <w:rsid w:val="009072AD"/>
    <w:rsid w:val="0090757C"/>
    <w:rsid w:val="009075A4"/>
    <w:rsid w:val="009078DD"/>
    <w:rsid w:val="00907A27"/>
    <w:rsid w:val="00910049"/>
    <w:rsid w:val="009100CF"/>
    <w:rsid w:val="0091016B"/>
    <w:rsid w:val="0091021D"/>
    <w:rsid w:val="0091021F"/>
    <w:rsid w:val="0091036B"/>
    <w:rsid w:val="00910393"/>
    <w:rsid w:val="009103E3"/>
    <w:rsid w:val="0091047D"/>
    <w:rsid w:val="0091053D"/>
    <w:rsid w:val="0091056D"/>
    <w:rsid w:val="00910615"/>
    <w:rsid w:val="00910A04"/>
    <w:rsid w:val="00910A8D"/>
    <w:rsid w:val="00910BE2"/>
    <w:rsid w:val="00910F87"/>
    <w:rsid w:val="00911059"/>
    <w:rsid w:val="009111B0"/>
    <w:rsid w:val="009111F2"/>
    <w:rsid w:val="00911475"/>
    <w:rsid w:val="00911486"/>
    <w:rsid w:val="00911638"/>
    <w:rsid w:val="00911651"/>
    <w:rsid w:val="0091172C"/>
    <w:rsid w:val="0091175F"/>
    <w:rsid w:val="009117D8"/>
    <w:rsid w:val="00911956"/>
    <w:rsid w:val="00911A62"/>
    <w:rsid w:val="00911B0B"/>
    <w:rsid w:val="00911C8B"/>
    <w:rsid w:val="00911CB3"/>
    <w:rsid w:val="00911E21"/>
    <w:rsid w:val="00911EE0"/>
    <w:rsid w:val="00911FC7"/>
    <w:rsid w:val="00912267"/>
    <w:rsid w:val="00912300"/>
    <w:rsid w:val="00912393"/>
    <w:rsid w:val="00912477"/>
    <w:rsid w:val="00912553"/>
    <w:rsid w:val="00912596"/>
    <w:rsid w:val="009129BC"/>
    <w:rsid w:val="00912A36"/>
    <w:rsid w:val="00912CBA"/>
    <w:rsid w:val="0091310B"/>
    <w:rsid w:val="0091311A"/>
    <w:rsid w:val="0091317A"/>
    <w:rsid w:val="00913215"/>
    <w:rsid w:val="00913516"/>
    <w:rsid w:val="0091380C"/>
    <w:rsid w:val="00913D8E"/>
    <w:rsid w:val="00914114"/>
    <w:rsid w:val="0091425D"/>
    <w:rsid w:val="0091435E"/>
    <w:rsid w:val="009144EB"/>
    <w:rsid w:val="0091451F"/>
    <w:rsid w:val="00914A43"/>
    <w:rsid w:val="00914DF6"/>
    <w:rsid w:val="00914E3E"/>
    <w:rsid w:val="00915062"/>
    <w:rsid w:val="00915135"/>
    <w:rsid w:val="0091520D"/>
    <w:rsid w:val="009152DD"/>
    <w:rsid w:val="00915587"/>
    <w:rsid w:val="0091588F"/>
    <w:rsid w:val="009158BA"/>
    <w:rsid w:val="00915956"/>
    <w:rsid w:val="00915BEE"/>
    <w:rsid w:val="00915C6D"/>
    <w:rsid w:val="00916103"/>
    <w:rsid w:val="00916152"/>
    <w:rsid w:val="009162BE"/>
    <w:rsid w:val="0091646F"/>
    <w:rsid w:val="00916510"/>
    <w:rsid w:val="009165D4"/>
    <w:rsid w:val="00916A5C"/>
    <w:rsid w:val="00916B7E"/>
    <w:rsid w:val="00916C53"/>
    <w:rsid w:val="00916D0D"/>
    <w:rsid w:val="00916DE1"/>
    <w:rsid w:val="00916F76"/>
    <w:rsid w:val="0091706E"/>
    <w:rsid w:val="009170FE"/>
    <w:rsid w:val="00917163"/>
    <w:rsid w:val="009172A8"/>
    <w:rsid w:val="009172E8"/>
    <w:rsid w:val="009174F1"/>
    <w:rsid w:val="00917728"/>
    <w:rsid w:val="00917C8E"/>
    <w:rsid w:val="00917EDC"/>
    <w:rsid w:val="00917F95"/>
    <w:rsid w:val="00917F9B"/>
    <w:rsid w:val="009202A1"/>
    <w:rsid w:val="0092039D"/>
    <w:rsid w:val="0092041C"/>
    <w:rsid w:val="0092045A"/>
    <w:rsid w:val="00920515"/>
    <w:rsid w:val="009208F6"/>
    <w:rsid w:val="00920989"/>
    <w:rsid w:val="00920B05"/>
    <w:rsid w:val="00920E46"/>
    <w:rsid w:val="00920F70"/>
    <w:rsid w:val="00920F9A"/>
    <w:rsid w:val="0092111D"/>
    <w:rsid w:val="0092118B"/>
    <w:rsid w:val="0092132F"/>
    <w:rsid w:val="0092136B"/>
    <w:rsid w:val="009213AB"/>
    <w:rsid w:val="0092156E"/>
    <w:rsid w:val="00921614"/>
    <w:rsid w:val="0092165C"/>
    <w:rsid w:val="00921AAF"/>
    <w:rsid w:val="00921C00"/>
    <w:rsid w:val="00921D80"/>
    <w:rsid w:val="00921F02"/>
    <w:rsid w:val="00921F32"/>
    <w:rsid w:val="0092239D"/>
    <w:rsid w:val="009224EB"/>
    <w:rsid w:val="00922519"/>
    <w:rsid w:val="0092264B"/>
    <w:rsid w:val="00922682"/>
    <w:rsid w:val="0092285D"/>
    <w:rsid w:val="00922B16"/>
    <w:rsid w:val="00922B39"/>
    <w:rsid w:val="00922EA9"/>
    <w:rsid w:val="00922F56"/>
    <w:rsid w:val="00923070"/>
    <w:rsid w:val="009231CA"/>
    <w:rsid w:val="00923205"/>
    <w:rsid w:val="00923AA4"/>
    <w:rsid w:val="00923CA2"/>
    <w:rsid w:val="00923D41"/>
    <w:rsid w:val="00923EDF"/>
    <w:rsid w:val="00924261"/>
    <w:rsid w:val="009247B1"/>
    <w:rsid w:val="009247D1"/>
    <w:rsid w:val="009248B5"/>
    <w:rsid w:val="009248DB"/>
    <w:rsid w:val="00924934"/>
    <w:rsid w:val="00924939"/>
    <w:rsid w:val="00924BA3"/>
    <w:rsid w:val="00924BB9"/>
    <w:rsid w:val="00924E0B"/>
    <w:rsid w:val="00924E82"/>
    <w:rsid w:val="00924F38"/>
    <w:rsid w:val="00924F77"/>
    <w:rsid w:val="00925292"/>
    <w:rsid w:val="00925295"/>
    <w:rsid w:val="00925552"/>
    <w:rsid w:val="00925592"/>
    <w:rsid w:val="00925B3B"/>
    <w:rsid w:val="00925BBB"/>
    <w:rsid w:val="00925BE7"/>
    <w:rsid w:val="0092601C"/>
    <w:rsid w:val="009263C9"/>
    <w:rsid w:val="009265B6"/>
    <w:rsid w:val="00926684"/>
    <w:rsid w:val="00926789"/>
    <w:rsid w:val="009267D2"/>
    <w:rsid w:val="00926E4D"/>
    <w:rsid w:val="00927070"/>
    <w:rsid w:val="00927235"/>
    <w:rsid w:val="0092731E"/>
    <w:rsid w:val="00927343"/>
    <w:rsid w:val="00927504"/>
    <w:rsid w:val="009278A5"/>
    <w:rsid w:val="00927A11"/>
    <w:rsid w:val="00927C0C"/>
    <w:rsid w:val="00927EFF"/>
    <w:rsid w:val="00927F5A"/>
    <w:rsid w:val="00930484"/>
    <w:rsid w:val="009304D6"/>
    <w:rsid w:val="0093066A"/>
    <w:rsid w:val="0093067B"/>
    <w:rsid w:val="00930829"/>
    <w:rsid w:val="00930932"/>
    <w:rsid w:val="00930A88"/>
    <w:rsid w:val="00930F43"/>
    <w:rsid w:val="00931031"/>
    <w:rsid w:val="0093121F"/>
    <w:rsid w:val="009313A0"/>
    <w:rsid w:val="009314BA"/>
    <w:rsid w:val="00931558"/>
    <w:rsid w:val="00931602"/>
    <w:rsid w:val="0093176B"/>
    <w:rsid w:val="009317A2"/>
    <w:rsid w:val="00931894"/>
    <w:rsid w:val="00931B2A"/>
    <w:rsid w:val="00931C00"/>
    <w:rsid w:val="00931D3D"/>
    <w:rsid w:val="00931D6B"/>
    <w:rsid w:val="00931EDF"/>
    <w:rsid w:val="00931F27"/>
    <w:rsid w:val="00931FFA"/>
    <w:rsid w:val="00932097"/>
    <w:rsid w:val="00932118"/>
    <w:rsid w:val="00932347"/>
    <w:rsid w:val="00932730"/>
    <w:rsid w:val="00932776"/>
    <w:rsid w:val="009327B2"/>
    <w:rsid w:val="009329E5"/>
    <w:rsid w:val="00932B05"/>
    <w:rsid w:val="00933080"/>
    <w:rsid w:val="00933112"/>
    <w:rsid w:val="0093334A"/>
    <w:rsid w:val="009333EF"/>
    <w:rsid w:val="009337BC"/>
    <w:rsid w:val="009337F6"/>
    <w:rsid w:val="00933AE0"/>
    <w:rsid w:val="00933B5E"/>
    <w:rsid w:val="00933D60"/>
    <w:rsid w:val="00933E08"/>
    <w:rsid w:val="00934077"/>
    <w:rsid w:val="009340EA"/>
    <w:rsid w:val="00934179"/>
    <w:rsid w:val="00934212"/>
    <w:rsid w:val="0093463D"/>
    <w:rsid w:val="009346AE"/>
    <w:rsid w:val="0093486F"/>
    <w:rsid w:val="00934958"/>
    <w:rsid w:val="00934ACA"/>
    <w:rsid w:val="00934B13"/>
    <w:rsid w:val="00934C62"/>
    <w:rsid w:val="009352E9"/>
    <w:rsid w:val="00935453"/>
    <w:rsid w:val="00935506"/>
    <w:rsid w:val="0093586A"/>
    <w:rsid w:val="00935BF7"/>
    <w:rsid w:val="00935C75"/>
    <w:rsid w:val="00935D2D"/>
    <w:rsid w:val="00935E11"/>
    <w:rsid w:val="0093625D"/>
    <w:rsid w:val="0093682A"/>
    <w:rsid w:val="00936AE7"/>
    <w:rsid w:val="00936B02"/>
    <w:rsid w:val="00936C77"/>
    <w:rsid w:val="00936D40"/>
    <w:rsid w:val="00936FE7"/>
    <w:rsid w:val="009370FD"/>
    <w:rsid w:val="0093730E"/>
    <w:rsid w:val="0093733B"/>
    <w:rsid w:val="00937401"/>
    <w:rsid w:val="0093781A"/>
    <w:rsid w:val="00937846"/>
    <w:rsid w:val="009378C8"/>
    <w:rsid w:val="00937943"/>
    <w:rsid w:val="00937ECB"/>
    <w:rsid w:val="00937F91"/>
    <w:rsid w:val="009401B7"/>
    <w:rsid w:val="009402C8"/>
    <w:rsid w:val="0094086C"/>
    <w:rsid w:val="009408A8"/>
    <w:rsid w:val="009409D2"/>
    <w:rsid w:val="00940A9D"/>
    <w:rsid w:val="00940C9E"/>
    <w:rsid w:val="00940F2A"/>
    <w:rsid w:val="00940F7F"/>
    <w:rsid w:val="00941059"/>
    <w:rsid w:val="009410EB"/>
    <w:rsid w:val="009411D1"/>
    <w:rsid w:val="009413D2"/>
    <w:rsid w:val="00941557"/>
    <w:rsid w:val="009416BE"/>
    <w:rsid w:val="00941875"/>
    <w:rsid w:val="00941B1C"/>
    <w:rsid w:val="00941C30"/>
    <w:rsid w:val="00941C86"/>
    <w:rsid w:val="00941FA3"/>
    <w:rsid w:val="0094215F"/>
    <w:rsid w:val="009421D1"/>
    <w:rsid w:val="00942425"/>
    <w:rsid w:val="0094245F"/>
    <w:rsid w:val="009425AD"/>
    <w:rsid w:val="00942759"/>
    <w:rsid w:val="009428F0"/>
    <w:rsid w:val="009429CC"/>
    <w:rsid w:val="00942AB0"/>
    <w:rsid w:val="00942B4B"/>
    <w:rsid w:val="00942BEC"/>
    <w:rsid w:val="00942E38"/>
    <w:rsid w:val="00942E98"/>
    <w:rsid w:val="00942EFE"/>
    <w:rsid w:val="0094326D"/>
    <w:rsid w:val="00943279"/>
    <w:rsid w:val="00943285"/>
    <w:rsid w:val="00943393"/>
    <w:rsid w:val="009433AF"/>
    <w:rsid w:val="0094351A"/>
    <w:rsid w:val="009435CD"/>
    <w:rsid w:val="0094367C"/>
    <w:rsid w:val="00943695"/>
    <w:rsid w:val="009437A0"/>
    <w:rsid w:val="00943991"/>
    <w:rsid w:val="00943AD4"/>
    <w:rsid w:val="00943B82"/>
    <w:rsid w:val="00943DE2"/>
    <w:rsid w:val="00943E24"/>
    <w:rsid w:val="00943F34"/>
    <w:rsid w:val="00943F4C"/>
    <w:rsid w:val="00944156"/>
    <w:rsid w:val="009441AF"/>
    <w:rsid w:val="0094446E"/>
    <w:rsid w:val="0094467D"/>
    <w:rsid w:val="009446EC"/>
    <w:rsid w:val="009447F5"/>
    <w:rsid w:val="009448D4"/>
    <w:rsid w:val="00944A25"/>
    <w:rsid w:val="00944AEE"/>
    <w:rsid w:val="00944C1F"/>
    <w:rsid w:val="00944CBA"/>
    <w:rsid w:val="00944F9C"/>
    <w:rsid w:val="00944FDD"/>
    <w:rsid w:val="0094535B"/>
    <w:rsid w:val="009453B4"/>
    <w:rsid w:val="00945587"/>
    <w:rsid w:val="00945B30"/>
    <w:rsid w:val="00945BC7"/>
    <w:rsid w:val="00945D79"/>
    <w:rsid w:val="00945E69"/>
    <w:rsid w:val="00945F7E"/>
    <w:rsid w:val="00945F99"/>
    <w:rsid w:val="00946024"/>
    <w:rsid w:val="009461AA"/>
    <w:rsid w:val="009461C6"/>
    <w:rsid w:val="009463C3"/>
    <w:rsid w:val="009466BA"/>
    <w:rsid w:val="009467E6"/>
    <w:rsid w:val="0094688C"/>
    <w:rsid w:val="0094698F"/>
    <w:rsid w:val="00946A73"/>
    <w:rsid w:val="00946F1D"/>
    <w:rsid w:val="009470B6"/>
    <w:rsid w:val="0094710A"/>
    <w:rsid w:val="0094733F"/>
    <w:rsid w:val="009474D7"/>
    <w:rsid w:val="00947759"/>
    <w:rsid w:val="009477E4"/>
    <w:rsid w:val="00947868"/>
    <w:rsid w:val="009479A7"/>
    <w:rsid w:val="00950060"/>
    <w:rsid w:val="0095009A"/>
    <w:rsid w:val="0095026A"/>
    <w:rsid w:val="00950430"/>
    <w:rsid w:val="0095045F"/>
    <w:rsid w:val="009506B9"/>
    <w:rsid w:val="009508DE"/>
    <w:rsid w:val="00950F09"/>
    <w:rsid w:val="0095105C"/>
    <w:rsid w:val="009510DD"/>
    <w:rsid w:val="009512BC"/>
    <w:rsid w:val="009517D5"/>
    <w:rsid w:val="00951863"/>
    <w:rsid w:val="00951981"/>
    <w:rsid w:val="00951B33"/>
    <w:rsid w:val="00951CC5"/>
    <w:rsid w:val="009520BA"/>
    <w:rsid w:val="009520DD"/>
    <w:rsid w:val="009521A2"/>
    <w:rsid w:val="00952683"/>
    <w:rsid w:val="00952896"/>
    <w:rsid w:val="009528B1"/>
    <w:rsid w:val="009528C1"/>
    <w:rsid w:val="00952E4F"/>
    <w:rsid w:val="00953095"/>
    <w:rsid w:val="0095320B"/>
    <w:rsid w:val="00953274"/>
    <w:rsid w:val="009532A7"/>
    <w:rsid w:val="009534AA"/>
    <w:rsid w:val="00953869"/>
    <w:rsid w:val="00953B9E"/>
    <w:rsid w:val="00953BFA"/>
    <w:rsid w:val="00953EA7"/>
    <w:rsid w:val="009540F0"/>
    <w:rsid w:val="00954147"/>
    <w:rsid w:val="0095415F"/>
    <w:rsid w:val="00954211"/>
    <w:rsid w:val="00954426"/>
    <w:rsid w:val="00954491"/>
    <w:rsid w:val="00954574"/>
    <w:rsid w:val="009547D5"/>
    <w:rsid w:val="009549C9"/>
    <w:rsid w:val="009549E2"/>
    <w:rsid w:val="00954CA2"/>
    <w:rsid w:val="00954E9E"/>
    <w:rsid w:val="009553F3"/>
    <w:rsid w:val="00955428"/>
    <w:rsid w:val="00955460"/>
    <w:rsid w:val="009554F0"/>
    <w:rsid w:val="00955643"/>
    <w:rsid w:val="00955792"/>
    <w:rsid w:val="00955A84"/>
    <w:rsid w:val="00955AC6"/>
    <w:rsid w:val="00955BDC"/>
    <w:rsid w:val="00955C50"/>
    <w:rsid w:val="00955D91"/>
    <w:rsid w:val="00955DE5"/>
    <w:rsid w:val="00955E04"/>
    <w:rsid w:val="00955F66"/>
    <w:rsid w:val="00956026"/>
    <w:rsid w:val="009566B9"/>
    <w:rsid w:val="009568FE"/>
    <w:rsid w:val="0095690E"/>
    <w:rsid w:val="00956F68"/>
    <w:rsid w:val="00956FA4"/>
    <w:rsid w:val="00957784"/>
    <w:rsid w:val="0095782D"/>
    <w:rsid w:val="00957A63"/>
    <w:rsid w:val="00957C1B"/>
    <w:rsid w:val="00957D8B"/>
    <w:rsid w:val="00957EC3"/>
    <w:rsid w:val="00960206"/>
    <w:rsid w:val="009602AB"/>
    <w:rsid w:val="00960451"/>
    <w:rsid w:val="00960546"/>
    <w:rsid w:val="00960623"/>
    <w:rsid w:val="009606AB"/>
    <w:rsid w:val="00960777"/>
    <w:rsid w:val="00960890"/>
    <w:rsid w:val="00960927"/>
    <w:rsid w:val="00960B01"/>
    <w:rsid w:val="00960C7B"/>
    <w:rsid w:val="00960DEA"/>
    <w:rsid w:val="00960E10"/>
    <w:rsid w:val="0096153F"/>
    <w:rsid w:val="00961582"/>
    <w:rsid w:val="009617C9"/>
    <w:rsid w:val="009618A2"/>
    <w:rsid w:val="00961961"/>
    <w:rsid w:val="00961A29"/>
    <w:rsid w:val="00961CBC"/>
    <w:rsid w:val="00961CFB"/>
    <w:rsid w:val="00961D0C"/>
    <w:rsid w:val="00961F45"/>
    <w:rsid w:val="00961F9C"/>
    <w:rsid w:val="009620A1"/>
    <w:rsid w:val="00962143"/>
    <w:rsid w:val="0096226E"/>
    <w:rsid w:val="009622F5"/>
    <w:rsid w:val="009623B1"/>
    <w:rsid w:val="0096241A"/>
    <w:rsid w:val="0096263D"/>
    <w:rsid w:val="0096271E"/>
    <w:rsid w:val="009627D4"/>
    <w:rsid w:val="00962B4D"/>
    <w:rsid w:val="00962B50"/>
    <w:rsid w:val="00962BF1"/>
    <w:rsid w:val="00962CF8"/>
    <w:rsid w:val="00962E03"/>
    <w:rsid w:val="00962E2D"/>
    <w:rsid w:val="00962F2B"/>
    <w:rsid w:val="0096312D"/>
    <w:rsid w:val="00963212"/>
    <w:rsid w:val="00963215"/>
    <w:rsid w:val="0096332A"/>
    <w:rsid w:val="0096345E"/>
    <w:rsid w:val="009635B4"/>
    <w:rsid w:val="0096379E"/>
    <w:rsid w:val="0096393C"/>
    <w:rsid w:val="0096396C"/>
    <w:rsid w:val="00963C53"/>
    <w:rsid w:val="00963D68"/>
    <w:rsid w:val="00963D88"/>
    <w:rsid w:val="00963E37"/>
    <w:rsid w:val="00963FB3"/>
    <w:rsid w:val="009640BA"/>
    <w:rsid w:val="009644C8"/>
    <w:rsid w:val="009644F2"/>
    <w:rsid w:val="00964804"/>
    <w:rsid w:val="0096489D"/>
    <w:rsid w:val="009648E6"/>
    <w:rsid w:val="00964A2B"/>
    <w:rsid w:val="00964A2F"/>
    <w:rsid w:val="00964A88"/>
    <w:rsid w:val="00964AC3"/>
    <w:rsid w:val="00964B5B"/>
    <w:rsid w:val="00964D5D"/>
    <w:rsid w:val="00964D8B"/>
    <w:rsid w:val="00964F8B"/>
    <w:rsid w:val="009650E2"/>
    <w:rsid w:val="00965246"/>
    <w:rsid w:val="00965382"/>
    <w:rsid w:val="00965427"/>
    <w:rsid w:val="009655A2"/>
    <w:rsid w:val="009655AA"/>
    <w:rsid w:val="00965895"/>
    <w:rsid w:val="00965AFA"/>
    <w:rsid w:val="00965B67"/>
    <w:rsid w:val="00965C36"/>
    <w:rsid w:val="00965D60"/>
    <w:rsid w:val="00965F22"/>
    <w:rsid w:val="00965F8B"/>
    <w:rsid w:val="00966491"/>
    <w:rsid w:val="009664E5"/>
    <w:rsid w:val="009665F2"/>
    <w:rsid w:val="009666E6"/>
    <w:rsid w:val="00966825"/>
    <w:rsid w:val="00966DB7"/>
    <w:rsid w:val="00967131"/>
    <w:rsid w:val="00967142"/>
    <w:rsid w:val="009671F0"/>
    <w:rsid w:val="00967315"/>
    <w:rsid w:val="00967532"/>
    <w:rsid w:val="00967916"/>
    <w:rsid w:val="00967A5E"/>
    <w:rsid w:val="00967B65"/>
    <w:rsid w:val="00967C5D"/>
    <w:rsid w:val="0097005F"/>
    <w:rsid w:val="009702CF"/>
    <w:rsid w:val="0097054F"/>
    <w:rsid w:val="009706C6"/>
    <w:rsid w:val="0097070F"/>
    <w:rsid w:val="0097080C"/>
    <w:rsid w:val="00970924"/>
    <w:rsid w:val="009709D7"/>
    <w:rsid w:val="00970A50"/>
    <w:rsid w:val="00970A67"/>
    <w:rsid w:val="00970C70"/>
    <w:rsid w:val="00970DB4"/>
    <w:rsid w:val="009710E7"/>
    <w:rsid w:val="00971142"/>
    <w:rsid w:val="00971153"/>
    <w:rsid w:val="0097133D"/>
    <w:rsid w:val="00971588"/>
    <w:rsid w:val="00971795"/>
    <w:rsid w:val="00971ABF"/>
    <w:rsid w:val="00971EC0"/>
    <w:rsid w:val="0097248A"/>
    <w:rsid w:val="009725DE"/>
    <w:rsid w:val="0097263A"/>
    <w:rsid w:val="009726EC"/>
    <w:rsid w:val="0097289A"/>
    <w:rsid w:val="0097290D"/>
    <w:rsid w:val="00972F51"/>
    <w:rsid w:val="00972F95"/>
    <w:rsid w:val="00973868"/>
    <w:rsid w:val="0097392A"/>
    <w:rsid w:val="00973938"/>
    <w:rsid w:val="00973C71"/>
    <w:rsid w:val="00973CC2"/>
    <w:rsid w:val="00973E2C"/>
    <w:rsid w:val="009741E9"/>
    <w:rsid w:val="009743B2"/>
    <w:rsid w:val="00974579"/>
    <w:rsid w:val="00974BD8"/>
    <w:rsid w:val="00974BDE"/>
    <w:rsid w:val="00974F1F"/>
    <w:rsid w:val="00974F95"/>
    <w:rsid w:val="0097515E"/>
    <w:rsid w:val="00975233"/>
    <w:rsid w:val="0097532F"/>
    <w:rsid w:val="0097534F"/>
    <w:rsid w:val="009753B8"/>
    <w:rsid w:val="0097549F"/>
    <w:rsid w:val="0097575D"/>
    <w:rsid w:val="00975846"/>
    <w:rsid w:val="00975858"/>
    <w:rsid w:val="00975865"/>
    <w:rsid w:val="009759DE"/>
    <w:rsid w:val="00975B8B"/>
    <w:rsid w:val="00975CA5"/>
    <w:rsid w:val="00975D44"/>
    <w:rsid w:val="00975E12"/>
    <w:rsid w:val="00975EB7"/>
    <w:rsid w:val="009760E5"/>
    <w:rsid w:val="009760E8"/>
    <w:rsid w:val="0097612D"/>
    <w:rsid w:val="00976287"/>
    <w:rsid w:val="0097642E"/>
    <w:rsid w:val="009768E4"/>
    <w:rsid w:val="00976B79"/>
    <w:rsid w:val="00976F35"/>
    <w:rsid w:val="00976FC3"/>
    <w:rsid w:val="009771D6"/>
    <w:rsid w:val="00977229"/>
    <w:rsid w:val="009772D7"/>
    <w:rsid w:val="009778E7"/>
    <w:rsid w:val="00977A51"/>
    <w:rsid w:val="00977B6B"/>
    <w:rsid w:val="00977D37"/>
    <w:rsid w:val="00977DBD"/>
    <w:rsid w:val="009801E7"/>
    <w:rsid w:val="00980241"/>
    <w:rsid w:val="009804E1"/>
    <w:rsid w:val="009807A4"/>
    <w:rsid w:val="00980933"/>
    <w:rsid w:val="009809C3"/>
    <w:rsid w:val="00980AAC"/>
    <w:rsid w:val="00980AF2"/>
    <w:rsid w:val="00980BCD"/>
    <w:rsid w:val="00980EF8"/>
    <w:rsid w:val="009810A5"/>
    <w:rsid w:val="0098119F"/>
    <w:rsid w:val="0098120E"/>
    <w:rsid w:val="00981238"/>
    <w:rsid w:val="009812BE"/>
    <w:rsid w:val="009815F6"/>
    <w:rsid w:val="00981614"/>
    <w:rsid w:val="009816F4"/>
    <w:rsid w:val="0098172A"/>
    <w:rsid w:val="00981933"/>
    <w:rsid w:val="00981A87"/>
    <w:rsid w:val="00981BDB"/>
    <w:rsid w:val="00981D66"/>
    <w:rsid w:val="00981E02"/>
    <w:rsid w:val="00981E5F"/>
    <w:rsid w:val="0098207C"/>
    <w:rsid w:val="009820CB"/>
    <w:rsid w:val="00982397"/>
    <w:rsid w:val="009824D9"/>
    <w:rsid w:val="009825E8"/>
    <w:rsid w:val="00982649"/>
    <w:rsid w:val="00982887"/>
    <w:rsid w:val="009829BA"/>
    <w:rsid w:val="00982A44"/>
    <w:rsid w:val="00982B1C"/>
    <w:rsid w:val="00982BD3"/>
    <w:rsid w:val="00982D51"/>
    <w:rsid w:val="00982D56"/>
    <w:rsid w:val="00982E2F"/>
    <w:rsid w:val="00982F75"/>
    <w:rsid w:val="00982F8D"/>
    <w:rsid w:val="00983615"/>
    <w:rsid w:val="0098374A"/>
    <w:rsid w:val="00983782"/>
    <w:rsid w:val="00983AA8"/>
    <w:rsid w:val="00983E4B"/>
    <w:rsid w:val="00983F9D"/>
    <w:rsid w:val="0098439D"/>
    <w:rsid w:val="00984571"/>
    <w:rsid w:val="009849B3"/>
    <w:rsid w:val="00984A23"/>
    <w:rsid w:val="00984AE2"/>
    <w:rsid w:val="00984D8F"/>
    <w:rsid w:val="00984DAB"/>
    <w:rsid w:val="00984E0D"/>
    <w:rsid w:val="00984E20"/>
    <w:rsid w:val="00984ED6"/>
    <w:rsid w:val="00985239"/>
    <w:rsid w:val="00985289"/>
    <w:rsid w:val="0098528F"/>
    <w:rsid w:val="009855C4"/>
    <w:rsid w:val="009855FC"/>
    <w:rsid w:val="009856D8"/>
    <w:rsid w:val="0098575D"/>
    <w:rsid w:val="00985837"/>
    <w:rsid w:val="00985A29"/>
    <w:rsid w:val="00985A74"/>
    <w:rsid w:val="00985DA5"/>
    <w:rsid w:val="00985E12"/>
    <w:rsid w:val="00985E58"/>
    <w:rsid w:val="00985F07"/>
    <w:rsid w:val="009861B9"/>
    <w:rsid w:val="00986727"/>
    <w:rsid w:val="00986833"/>
    <w:rsid w:val="00986AFE"/>
    <w:rsid w:val="00986B9E"/>
    <w:rsid w:val="00986BBF"/>
    <w:rsid w:val="00986D5D"/>
    <w:rsid w:val="0098704C"/>
    <w:rsid w:val="0098715C"/>
    <w:rsid w:val="0098717C"/>
    <w:rsid w:val="00987334"/>
    <w:rsid w:val="00987366"/>
    <w:rsid w:val="009873B5"/>
    <w:rsid w:val="00987423"/>
    <w:rsid w:val="0098742D"/>
    <w:rsid w:val="009874C0"/>
    <w:rsid w:val="0098764E"/>
    <w:rsid w:val="00987650"/>
    <w:rsid w:val="00987667"/>
    <w:rsid w:val="009877C8"/>
    <w:rsid w:val="009877E4"/>
    <w:rsid w:val="00987975"/>
    <w:rsid w:val="00987995"/>
    <w:rsid w:val="00987A93"/>
    <w:rsid w:val="00990110"/>
    <w:rsid w:val="00990244"/>
    <w:rsid w:val="00990441"/>
    <w:rsid w:val="009905A9"/>
    <w:rsid w:val="00990AAB"/>
    <w:rsid w:val="00990B01"/>
    <w:rsid w:val="00990C5A"/>
    <w:rsid w:val="00990E92"/>
    <w:rsid w:val="00990EEC"/>
    <w:rsid w:val="00990EFA"/>
    <w:rsid w:val="00990F24"/>
    <w:rsid w:val="00990F86"/>
    <w:rsid w:val="00990FA2"/>
    <w:rsid w:val="00991142"/>
    <w:rsid w:val="009911A4"/>
    <w:rsid w:val="009913D1"/>
    <w:rsid w:val="009913F9"/>
    <w:rsid w:val="00991602"/>
    <w:rsid w:val="00991816"/>
    <w:rsid w:val="00991968"/>
    <w:rsid w:val="009919E3"/>
    <w:rsid w:val="00991B17"/>
    <w:rsid w:val="00992370"/>
    <w:rsid w:val="00992479"/>
    <w:rsid w:val="00992766"/>
    <w:rsid w:val="00992C8F"/>
    <w:rsid w:val="00992ECD"/>
    <w:rsid w:val="00992F6D"/>
    <w:rsid w:val="00993050"/>
    <w:rsid w:val="00993053"/>
    <w:rsid w:val="0099310F"/>
    <w:rsid w:val="0099313A"/>
    <w:rsid w:val="00993346"/>
    <w:rsid w:val="00993474"/>
    <w:rsid w:val="00993477"/>
    <w:rsid w:val="0099349B"/>
    <w:rsid w:val="009934AC"/>
    <w:rsid w:val="00993985"/>
    <w:rsid w:val="00993AD5"/>
    <w:rsid w:val="00993AED"/>
    <w:rsid w:val="00993B67"/>
    <w:rsid w:val="00993D87"/>
    <w:rsid w:val="00993E4F"/>
    <w:rsid w:val="00994181"/>
    <w:rsid w:val="00994220"/>
    <w:rsid w:val="00994260"/>
    <w:rsid w:val="00994431"/>
    <w:rsid w:val="009944BA"/>
    <w:rsid w:val="009944CD"/>
    <w:rsid w:val="009945B1"/>
    <w:rsid w:val="009946BC"/>
    <w:rsid w:val="009946FD"/>
    <w:rsid w:val="00994909"/>
    <w:rsid w:val="009949E5"/>
    <w:rsid w:val="00994A3C"/>
    <w:rsid w:val="00994BD6"/>
    <w:rsid w:val="00994C35"/>
    <w:rsid w:val="00994CF9"/>
    <w:rsid w:val="00994D63"/>
    <w:rsid w:val="00994DE9"/>
    <w:rsid w:val="00994E5B"/>
    <w:rsid w:val="00994FDE"/>
    <w:rsid w:val="009950EA"/>
    <w:rsid w:val="0099518D"/>
    <w:rsid w:val="00995227"/>
    <w:rsid w:val="009952D0"/>
    <w:rsid w:val="009954D6"/>
    <w:rsid w:val="00995746"/>
    <w:rsid w:val="009959DE"/>
    <w:rsid w:val="009959E0"/>
    <w:rsid w:val="00995AC3"/>
    <w:rsid w:val="00995D05"/>
    <w:rsid w:val="009961F5"/>
    <w:rsid w:val="009962EB"/>
    <w:rsid w:val="009965CD"/>
    <w:rsid w:val="00996891"/>
    <w:rsid w:val="00996919"/>
    <w:rsid w:val="00996944"/>
    <w:rsid w:val="00996BC1"/>
    <w:rsid w:val="00996BEA"/>
    <w:rsid w:val="00996F85"/>
    <w:rsid w:val="00997071"/>
    <w:rsid w:val="00997117"/>
    <w:rsid w:val="00997530"/>
    <w:rsid w:val="0099760A"/>
    <w:rsid w:val="00997645"/>
    <w:rsid w:val="00997852"/>
    <w:rsid w:val="00997858"/>
    <w:rsid w:val="009979C9"/>
    <w:rsid w:val="00997BD3"/>
    <w:rsid w:val="00997D0D"/>
    <w:rsid w:val="00997EA4"/>
    <w:rsid w:val="009A025D"/>
    <w:rsid w:val="009A057C"/>
    <w:rsid w:val="009A0673"/>
    <w:rsid w:val="009A077C"/>
    <w:rsid w:val="009A09CF"/>
    <w:rsid w:val="009A0DD0"/>
    <w:rsid w:val="009A0E68"/>
    <w:rsid w:val="009A103F"/>
    <w:rsid w:val="009A105B"/>
    <w:rsid w:val="009A13ED"/>
    <w:rsid w:val="009A1AD3"/>
    <w:rsid w:val="009A1D3A"/>
    <w:rsid w:val="009A1DCD"/>
    <w:rsid w:val="009A1ED8"/>
    <w:rsid w:val="009A1EE5"/>
    <w:rsid w:val="009A1F5C"/>
    <w:rsid w:val="009A1FC3"/>
    <w:rsid w:val="009A20D5"/>
    <w:rsid w:val="009A2117"/>
    <w:rsid w:val="009A2176"/>
    <w:rsid w:val="009A21A7"/>
    <w:rsid w:val="009A26EB"/>
    <w:rsid w:val="009A281B"/>
    <w:rsid w:val="009A288F"/>
    <w:rsid w:val="009A2947"/>
    <w:rsid w:val="009A29D1"/>
    <w:rsid w:val="009A2C79"/>
    <w:rsid w:val="009A2D73"/>
    <w:rsid w:val="009A30E0"/>
    <w:rsid w:val="009A3136"/>
    <w:rsid w:val="009A3208"/>
    <w:rsid w:val="009A3284"/>
    <w:rsid w:val="009A33FB"/>
    <w:rsid w:val="009A3613"/>
    <w:rsid w:val="009A3683"/>
    <w:rsid w:val="009A3730"/>
    <w:rsid w:val="009A3995"/>
    <w:rsid w:val="009A3998"/>
    <w:rsid w:val="009A3A78"/>
    <w:rsid w:val="009A3BC6"/>
    <w:rsid w:val="009A3C87"/>
    <w:rsid w:val="009A3D05"/>
    <w:rsid w:val="009A3D94"/>
    <w:rsid w:val="009A3F8E"/>
    <w:rsid w:val="009A40C4"/>
    <w:rsid w:val="009A4338"/>
    <w:rsid w:val="009A44FD"/>
    <w:rsid w:val="009A45C0"/>
    <w:rsid w:val="009A462F"/>
    <w:rsid w:val="009A4632"/>
    <w:rsid w:val="009A4958"/>
    <w:rsid w:val="009A4A79"/>
    <w:rsid w:val="009A4B52"/>
    <w:rsid w:val="009A4BD0"/>
    <w:rsid w:val="009A4C2E"/>
    <w:rsid w:val="009A4CEC"/>
    <w:rsid w:val="009A4DA7"/>
    <w:rsid w:val="009A4E4C"/>
    <w:rsid w:val="009A53BD"/>
    <w:rsid w:val="009A53BE"/>
    <w:rsid w:val="009A54BF"/>
    <w:rsid w:val="009A5671"/>
    <w:rsid w:val="009A580C"/>
    <w:rsid w:val="009A5A04"/>
    <w:rsid w:val="009A5AA7"/>
    <w:rsid w:val="009A5ACE"/>
    <w:rsid w:val="009A5AF0"/>
    <w:rsid w:val="009A5BB5"/>
    <w:rsid w:val="009A5DBD"/>
    <w:rsid w:val="009A6666"/>
    <w:rsid w:val="009A666D"/>
    <w:rsid w:val="009A66AA"/>
    <w:rsid w:val="009A6D1A"/>
    <w:rsid w:val="009A6D47"/>
    <w:rsid w:val="009A6D76"/>
    <w:rsid w:val="009A6EDB"/>
    <w:rsid w:val="009A705D"/>
    <w:rsid w:val="009A74AB"/>
    <w:rsid w:val="009A74D0"/>
    <w:rsid w:val="009A765C"/>
    <w:rsid w:val="009A76F4"/>
    <w:rsid w:val="009A7A98"/>
    <w:rsid w:val="009A7AF7"/>
    <w:rsid w:val="009A7CCC"/>
    <w:rsid w:val="009A7E68"/>
    <w:rsid w:val="009A7EAD"/>
    <w:rsid w:val="009A7FB4"/>
    <w:rsid w:val="009A7FCC"/>
    <w:rsid w:val="009B0091"/>
    <w:rsid w:val="009B01BA"/>
    <w:rsid w:val="009B0323"/>
    <w:rsid w:val="009B037E"/>
    <w:rsid w:val="009B0525"/>
    <w:rsid w:val="009B094B"/>
    <w:rsid w:val="009B096A"/>
    <w:rsid w:val="009B0B04"/>
    <w:rsid w:val="009B0C67"/>
    <w:rsid w:val="009B0E96"/>
    <w:rsid w:val="009B0ED4"/>
    <w:rsid w:val="009B0F85"/>
    <w:rsid w:val="009B11BE"/>
    <w:rsid w:val="009B1383"/>
    <w:rsid w:val="009B139A"/>
    <w:rsid w:val="009B13F3"/>
    <w:rsid w:val="009B1698"/>
    <w:rsid w:val="009B19EB"/>
    <w:rsid w:val="009B1A44"/>
    <w:rsid w:val="009B1B39"/>
    <w:rsid w:val="009B1D97"/>
    <w:rsid w:val="009B1E53"/>
    <w:rsid w:val="009B1F6D"/>
    <w:rsid w:val="009B225E"/>
    <w:rsid w:val="009B22BA"/>
    <w:rsid w:val="009B25D2"/>
    <w:rsid w:val="009B2759"/>
    <w:rsid w:val="009B2823"/>
    <w:rsid w:val="009B29A9"/>
    <w:rsid w:val="009B2BE4"/>
    <w:rsid w:val="009B2C80"/>
    <w:rsid w:val="009B2E58"/>
    <w:rsid w:val="009B2EA6"/>
    <w:rsid w:val="009B2F29"/>
    <w:rsid w:val="009B2F8B"/>
    <w:rsid w:val="009B322E"/>
    <w:rsid w:val="009B3318"/>
    <w:rsid w:val="009B3355"/>
    <w:rsid w:val="009B342C"/>
    <w:rsid w:val="009B345B"/>
    <w:rsid w:val="009B3474"/>
    <w:rsid w:val="009B36BF"/>
    <w:rsid w:val="009B3735"/>
    <w:rsid w:val="009B376A"/>
    <w:rsid w:val="009B389A"/>
    <w:rsid w:val="009B3911"/>
    <w:rsid w:val="009B3D0E"/>
    <w:rsid w:val="009B3D20"/>
    <w:rsid w:val="009B3E68"/>
    <w:rsid w:val="009B3E7C"/>
    <w:rsid w:val="009B3F33"/>
    <w:rsid w:val="009B3FE9"/>
    <w:rsid w:val="009B4143"/>
    <w:rsid w:val="009B416C"/>
    <w:rsid w:val="009B4193"/>
    <w:rsid w:val="009B427C"/>
    <w:rsid w:val="009B4379"/>
    <w:rsid w:val="009B4615"/>
    <w:rsid w:val="009B4658"/>
    <w:rsid w:val="009B4D29"/>
    <w:rsid w:val="009B5027"/>
    <w:rsid w:val="009B50A0"/>
    <w:rsid w:val="009B54C1"/>
    <w:rsid w:val="009B559A"/>
    <w:rsid w:val="009B55B8"/>
    <w:rsid w:val="009B5670"/>
    <w:rsid w:val="009B577D"/>
    <w:rsid w:val="009B5900"/>
    <w:rsid w:val="009B5959"/>
    <w:rsid w:val="009B5A75"/>
    <w:rsid w:val="009B5B81"/>
    <w:rsid w:val="009B5DC5"/>
    <w:rsid w:val="009B5F1A"/>
    <w:rsid w:val="009B5F57"/>
    <w:rsid w:val="009B6196"/>
    <w:rsid w:val="009B642C"/>
    <w:rsid w:val="009B6616"/>
    <w:rsid w:val="009B6803"/>
    <w:rsid w:val="009B685D"/>
    <w:rsid w:val="009B6BCA"/>
    <w:rsid w:val="009B6C88"/>
    <w:rsid w:val="009B6C89"/>
    <w:rsid w:val="009B6EDF"/>
    <w:rsid w:val="009B70FC"/>
    <w:rsid w:val="009B7170"/>
    <w:rsid w:val="009B7264"/>
    <w:rsid w:val="009B746C"/>
    <w:rsid w:val="009B7627"/>
    <w:rsid w:val="009B79D3"/>
    <w:rsid w:val="009B7B0B"/>
    <w:rsid w:val="009B7BE2"/>
    <w:rsid w:val="009B7E2F"/>
    <w:rsid w:val="009B7F1A"/>
    <w:rsid w:val="009B7F30"/>
    <w:rsid w:val="009C006D"/>
    <w:rsid w:val="009C0449"/>
    <w:rsid w:val="009C05A3"/>
    <w:rsid w:val="009C0636"/>
    <w:rsid w:val="009C067E"/>
    <w:rsid w:val="009C081D"/>
    <w:rsid w:val="009C0BD3"/>
    <w:rsid w:val="009C0DA7"/>
    <w:rsid w:val="009C0FDE"/>
    <w:rsid w:val="009C1272"/>
    <w:rsid w:val="009C13A4"/>
    <w:rsid w:val="009C13D6"/>
    <w:rsid w:val="009C14A1"/>
    <w:rsid w:val="009C19D5"/>
    <w:rsid w:val="009C19E8"/>
    <w:rsid w:val="009C205B"/>
    <w:rsid w:val="009C236D"/>
    <w:rsid w:val="009C25DE"/>
    <w:rsid w:val="009C2767"/>
    <w:rsid w:val="009C29B4"/>
    <w:rsid w:val="009C2D0B"/>
    <w:rsid w:val="009C2D3C"/>
    <w:rsid w:val="009C2E0D"/>
    <w:rsid w:val="009C2EEF"/>
    <w:rsid w:val="009C2FEB"/>
    <w:rsid w:val="009C30BA"/>
    <w:rsid w:val="009C30F3"/>
    <w:rsid w:val="009C32B3"/>
    <w:rsid w:val="009C33ED"/>
    <w:rsid w:val="009C3566"/>
    <w:rsid w:val="009C35A6"/>
    <w:rsid w:val="009C3616"/>
    <w:rsid w:val="009C373D"/>
    <w:rsid w:val="009C38E5"/>
    <w:rsid w:val="009C3927"/>
    <w:rsid w:val="009C3E90"/>
    <w:rsid w:val="009C4067"/>
    <w:rsid w:val="009C44FF"/>
    <w:rsid w:val="009C4507"/>
    <w:rsid w:val="009C4574"/>
    <w:rsid w:val="009C47E9"/>
    <w:rsid w:val="009C48A9"/>
    <w:rsid w:val="009C49CC"/>
    <w:rsid w:val="009C4B13"/>
    <w:rsid w:val="009C4BC9"/>
    <w:rsid w:val="009C4C54"/>
    <w:rsid w:val="009C4DCA"/>
    <w:rsid w:val="009C51C7"/>
    <w:rsid w:val="009C52A3"/>
    <w:rsid w:val="009C5408"/>
    <w:rsid w:val="009C5657"/>
    <w:rsid w:val="009C56DA"/>
    <w:rsid w:val="009C596B"/>
    <w:rsid w:val="009C59B5"/>
    <w:rsid w:val="009C5A10"/>
    <w:rsid w:val="009C5F30"/>
    <w:rsid w:val="009C5FF1"/>
    <w:rsid w:val="009C6025"/>
    <w:rsid w:val="009C614B"/>
    <w:rsid w:val="009C617B"/>
    <w:rsid w:val="009C61EC"/>
    <w:rsid w:val="009C6877"/>
    <w:rsid w:val="009C6A16"/>
    <w:rsid w:val="009C6BFC"/>
    <w:rsid w:val="009C6C45"/>
    <w:rsid w:val="009C6E16"/>
    <w:rsid w:val="009C7031"/>
    <w:rsid w:val="009C708C"/>
    <w:rsid w:val="009C713F"/>
    <w:rsid w:val="009C71DA"/>
    <w:rsid w:val="009C7409"/>
    <w:rsid w:val="009C77F4"/>
    <w:rsid w:val="009C79CF"/>
    <w:rsid w:val="009C7A3A"/>
    <w:rsid w:val="009C7F3D"/>
    <w:rsid w:val="009C7FB3"/>
    <w:rsid w:val="009D0264"/>
    <w:rsid w:val="009D02A1"/>
    <w:rsid w:val="009D0876"/>
    <w:rsid w:val="009D0972"/>
    <w:rsid w:val="009D09FC"/>
    <w:rsid w:val="009D0A4A"/>
    <w:rsid w:val="009D0C95"/>
    <w:rsid w:val="009D0DCE"/>
    <w:rsid w:val="009D17F8"/>
    <w:rsid w:val="009D18F3"/>
    <w:rsid w:val="009D1988"/>
    <w:rsid w:val="009D1A0A"/>
    <w:rsid w:val="009D1BDD"/>
    <w:rsid w:val="009D1C32"/>
    <w:rsid w:val="009D20D9"/>
    <w:rsid w:val="009D2670"/>
    <w:rsid w:val="009D26FE"/>
    <w:rsid w:val="009D2CD5"/>
    <w:rsid w:val="009D2D9B"/>
    <w:rsid w:val="009D2E27"/>
    <w:rsid w:val="009D2F3C"/>
    <w:rsid w:val="009D2F90"/>
    <w:rsid w:val="009D30D1"/>
    <w:rsid w:val="009D3300"/>
    <w:rsid w:val="009D338E"/>
    <w:rsid w:val="009D3A4C"/>
    <w:rsid w:val="009D3A7A"/>
    <w:rsid w:val="009D3D1D"/>
    <w:rsid w:val="009D3E6E"/>
    <w:rsid w:val="009D3F32"/>
    <w:rsid w:val="009D409D"/>
    <w:rsid w:val="009D40FF"/>
    <w:rsid w:val="009D41C3"/>
    <w:rsid w:val="009D41C5"/>
    <w:rsid w:val="009D4435"/>
    <w:rsid w:val="009D4520"/>
    <w:rsid w:val="009D463B"/>
    <w:rsid w:val="009D4944"/>
    <w:rsid w:val="009D49A1"/>
    <w:rsid w:val="009D49D6"/>
    <w:rsid w:val="009D51AD"/>
    <w:rsid w:val="009D53A3"/>
    <w:rsid w:val="009D5596"/>
    <w:rsid w:val="009D568D"/>
    <w:rsid w:val="009D5703"/>
    <w:rsid w:val="009D58AA"/>
    <w:rsid w:val="009D5A0E"/>
    <w:rsid w:val="009D5A19"/>
    <w:rsid w:val="009D5A68"/>
    <w:rsid w:val="009D5D31"/>
    <w:rsid w:val="009D5D47"/>
    <w:rsid w:val="009D5F1D"/>
    <w:rsid w:val="009D612B"/>
    <w:rsid w:val="009D6138"/>
    <w:rsid w:val="009D6162"/>
    <w:rsid w:val="009D6330"/>
    <w:rsid w:val="009D650F"/>
    <w:rsid w:val="009D6691"/>
    <w:rsid w:val="009D6833"/>
    <w:rsid w:val="009D6902"/>
    <w:rsid w:val="009D6AB0"/>
    <w:rsid w:val="009D6D05"/>
    <w:rsid w:val="009D7253"/>
    <w:rsid w:val="009D73E0"/>
    <w:rsid w:val="009D7453"/>
    <w:rsid w:val="009D7473"/>
    <w:rsid w:val="009D760D"/>
    <w:rsid w:val="009D76E2"/>
    <w:rsid w:val="009D7948"/>
    <w:rsid w:val="009D79A4"/>
    <w:rsid w:val="009D7A09"/>
    <w:rsid w:val="009E01AC"/>
    <w:rsid w:val="009E0290"/>
    <w:rsid w:val="009E03BF"/>
    <w:rsid w:val="009E0D1B"/>
    <w:rsid w:val="009E0EA6"/>
    <w:rsid w:val="009E0F0F"/>
    <w:rsid w:val="009E0FD5"/>
    <w:rsid w:val="009E0FDA"/>
    <w:rsid w:val="009E1015"/>
    <w:rsid w:val="009E1075"/>
    <w:rsid w:val="009E13D7"/>
    <w:rsid w:val="009E1507"/>
    <w:rsid w:val="009E1589"/>
    <w:rsid w:val="009E16FF"/>
    <w:rsid w:val="009E1A00"/>
    <w:rsid w:val="009E1BA9"/>
    <w:rsid w:val="009E1BAF"/>
    <w:rsid w:val="009E2033"/>
    <w:rsid w:val="009E2128"/>
    <w:rsid w:val="009E21F8"/>
    <w:rsid w:val="009E23FE"/>
    <w:rsid w:val="009E243E"/>
    <w:rsid w:val="009E27B3"/>
    <w:rsid w:val="009E281D"/>
    <w:rsid w:val="009E2B1D"/>
    <w:rsid w:val="009E2C4C"/>
    <w:rsid w:val="009E2D6D"/>
    <w:rsid w:val="009E2EEF"/>
    <w:rsid w:val="009E2F67"/>
    <w:rsid w:val="009E33E3"/>
    <w:rsid w:val="009E3822"/>
    <w:rsid w:val="009E39D2"/>
    <w:rsid w:val="009E3B7A"/>
    <w:rsid w:val="009E3E02"/>
    <w:rsid w:val="009E418B"/>
    <w:rsid w:val="009E4346"/>
    <w:rsid w:val="009E4455"/>
    <w:rsid w:val="009E4460"/>
    <w:rsid w:val="009E4489"/>
    <w:rsid w:val="009E44DA"/>
    <w:rsid w:val="009E4676"/>
    <w:rsid w:val="009E46F3"/>
    <w:rsid w:val="009E4744"/>
    <w:rsid w:val="009E4771"/>
    <w:rsid w:val="009E4843"/>
    <w:rsid w:val="009E48EF"/>
    <w:rsid w:val="009E4CB6"/>
    <w:rsid w:val="009E4CED"/>
    <w:rsid w:val="009E4D0D"/>
    <w:rsid w:val="009E4D1E"/>
    <w:rsid w:val="009E4D55"/>
    <w:rsid w:val="009E5058"/>
    <w:rsid w:val="009E50D1"/>
    <w:rsid w:val="009E5483"/>
    <w:rsid w:val="009E5584"/>
    <w:rsid w:val="009E560F"/>
    <w:rsid w:val="009E56DC"/>
    <w:rsid w:val="009E5A78"/>
    <w:rsid w:val="009E5B40"/>
    <w:rsid w:val="009E5C08"/>
    <w:rsid w:val="009E5D53"/>
    <w:rsid w:val="009E5FC5"/>
    <w:rsid w:val="009E647D"/>
    <w:rsid w:val="009E64D1"/>
    <w:rsid w:val="009E6C75"/>
    <w:rsid w:val="009E6C78"/>
    <w:rsid w:val="009E6E4A"/>
    <w:rsid w:val="009E6EB3"/>
    <w:rsid w:val="009E6FEE"/>
    <w:rsid w:val="009E707E"/>
    <w:rsid w:val="009E74AF"/>
    <w:rsid w:val="009E75D7"/>
    <w:rsid w:val="009E7649"/>
    <w:rsid w:val="009E765E"/>
    <w:rsid w:val="009E7687"/>
    <w:rsid w:val="009E774E"/>
    <w:rsid w:val="009E7A34"/>
    <w:rsid w:val="009E7BF8"/>
    <w:rsid w:val="009F025D"/>
    <w:rsid w:val="009F063B"/>
    <w:rsid w:val="009F0CF3"/>
    <w:rsid w:val="009F0ED1"/>
    <w:rsid w:val="009F0F9C"/>
    <w:rsid w:val="009F0FD5"/>
    <w:rsid w:val="009F1006"/>
    <w:rsid w:val="009F145C"/>
    <w:rsid w:val="009F1570"/>
    <w:rsid w:val="009F1852"/>
    <w:rsid w:val="009F18B4"/>
    <w:rsid w:val="009F18D9"/>
    <w:rsid w:val="009F19B5"/>
    <w:rsid w:val="009F1BF1"/>
    <w:rsid w:val="009F1C9D"/>
    <w:rsid w:val="009F1D1D"/>
    <w:rsid w:val="009F1DA4"/>
    <w:rsid w:val="009F1EED"/>
    <w:rsid w:val="009F2211"/>
    <w:rsid w:val="009F24F8"/>
    <w:rsid w:val="009F2AAF"/>
    <w:rsid w:val="009F2B4A"/>
    <w:rsid w:val="009F2D3A"/>
    <w:rsid w:val="009F2E3D"/>
    <w:rsid w:val="009F3116"/>
    <w:rsid w:val="009F320A"/>
    <w:rsid w:val="009F3382"/>
    <w:rsid w:val="009F3432"/>
    <w:rsid w:val="009F34E8"/>
    <w:rsid w:val="009F35CA"/>
    <w:rsid w:val="009F38E4"/>
    <w:rsid w:val="009F39FA"/>
    <w:rsid w:val="009F3A3A"/>
    <w:rsid w:val="009F3B1E"/>
    <w:rsid w:val="009F3C41"/>
    <w:rsid w:val="009F41CC"/>
    <w:rsid w:val="009F4349"/>
    <w:rsid w:val="009F445F"/>
    <w:rsid w:val="009F450B"/>
    <w:rsid w:val="009F4667"/>
    <w:rsid w:val="009F4692"/>
    <w:rsid w:val="009F47AC"/>
    <w:rsid w:val="009F49B3"/>
    <w:rsid w:val="009F4A97"/>
    <w:rsid w:val="009F4B01"/>
    <w:rsid w:val="009F4E34"/>
    <w:rsid w:val="009F4E9F"/>
    <w:rsid w:val="009F4EFE"/>
    <w:rsid w:val="009F4FB7"/>
    <w:rsid w:val="009F4FF9"/>
    <w:rsid w:val="009F5027"/>
    <w:rsid w:val="009F5351"/>
    <w:rsid w:val="009F568C"/>
    <w:rsid w:val="009F57D8"/>
    <w:rsid w:val="009F5A23"/>
    <w:rsid w:val="009F5A54"/>
    <w:rsid w:val="009F5AAB"/>
    <w:rsid w:val="009F5B86"/>
    <w:rsid w:val="009F5B89"/>
    <w:rsid w:val="009F5D68"/>
    <w:rsid w:val="009F5E95"/>
    <w:rsid w:val="009F6345"/>
    <w:rsid w:val="009F656A"/>
    <w:rsid w:val="009F66A2"/>
    <w:rsid w:val="009F68E7"/>
    <w:rsid w:val="009F6940"/>
    <w:rsid w:val="009F6AAC"/>
    <w:rsid w:val="009F6C52"/>
    <w:rsid w:val="009F6D84"/>
    <w:rsid w:val="009F6DF6"/>
    <w:rsid w:val="009F6EAF"/>
    <w:rsid w:val="009F6FBE"/>
    <w:rsid w:val="009F704A"/>
    <w:rsid w:val="009F751D"/>
    <w:rsid w:val="009F7541"/>
    <w:rsid w:val="009F7622"/>
    <w:rsid w:val="009F78ED"/>
    <w:rsid w:val="009F7A5E"/>
    <w:rsid w:val="009F7AC5"/>
    <w:rsid w:val="009F7B36"/>
    <w:rsid w:val="009F7CB4"/>
    <w:rsid w:val="009F7EC6"/>
    <w:rsid w:val="00A002E2"/>
    <w:rsid w:val="00A00368"/>
    <w:rsid w:val="00A0058F"/>
    <w:rsid w:val="00A005C1"/>
    <w:rsid w:val="00A005DB"/>
    <w:rsid w:val="00A00850"/>
    <w:rsid w:val="00A00BF4"/>
    <w:rsid w:val="00A00C4A"/>
    <w:rsid w:val="00A00EF2"/>
    <w:rsid w:val="00A01082"/>
    <w:rsid w:val="00A01093"/>
    <w:rsid w:val="00A01225"/>
    <w:rsid w:val="00A0164B"/>
    <w:rsid w:val="00A016E5"/>
    <w:rsid w:val="00A01A08"/>
    <w:rsid w:val="00A01BA0"/>
    <w:rsid w:val="00A01DC6"/>
    <w:rsid w:val="00A01FF5"/>
    <w:rsid w:val="00A0213A"/>
    <w:rsid w:val="00A0221B"/>
    <w:rsid w:val="00A02231"/>
    <w:rsid w:val="00A023EA"/>
    <w:rsid w:val="00A0258D"/>
    <w:rsid w:val="00A02632"/>
    <w:rsid w:val="00A0265D"/>
    <w:rsid w:val="00A029E2"/>
    <w:rsid w:val="00A02B2C"/>
    <w:rsid w:val="00A02B57"/>
    <w:rsid w:val="00A02DFD"/>
    <w:rsid w:val="00A03076"/>
    <w:rsid w:val="00A032B7"/>
    <w:rsid w:val="00A036AC"/>
    <w:rsid w:val="00A037A6"/>
    <w:rsid w:val="00A0399F"/>
    <w:rsid w:val="00A03A1B"/>
    <w:rsid w:val="00A03AB7"/>
    <w:rsid w:val="00A03AED"/>
    <w:rsid w:val="00A03B04"/>
    <w:rsid w:val="00A03BEC"/>
    <w:rsid w:val="00A03E09"/>
    <w:rsid w:val="00A04085"/>
    <w:rsid w:val="00A04189"/>
    <w:rsid w:val="00A0418E"/>
    <w:rsid w:val="00A0419C"/>
    <w:rsid w:val="00A041B3"/>
    <w:rsid w:val="00A043A1"/>
    <w:rsid w:val="00A044EC"/>
    <w:rsid w:val="00A045DF"/>
    <w:rsid w:val="00A04AD9"/>
    <w:rsid w:val="00A04ADA"/>
    <w:rsid w:val="00A0509C"/>
    <w:rsid w:val="00A0536D"/>
    <w:rsid w:val="00A054EC"/>
    <w:rsid w:val="00A0564E"/>
    <w:rsid w:val="00A0567E"/>
    <w:rsid w:val="00A056CB"/>
    <w:rsid w:val="00A05868"/>
    <w:rsid w:val="00A058B0"/>
    <w:rsid w:val="00A05A8E"/>
    <w:rsid w:val="00A05AED"/>
    <w:rsid w:val="00A05BEF"/>
    <w:rsid w:val="00A05D3E"/>
    <w:rsid w:val="00A05E0A"/>
    <w:rsid w:val="00A06213"/>
    <w:rsid w:val="00A062E3"/>
    <w:rsid w:val="00A06794"/>
    <w:rsid w:val="00A0681D"/>
    <w:rsid w:val="00A068BF"/>
    <w:rsid w:val="00A069F9"/>
    <w:rsid w:val="00A06DE2"/>
    <w:rsid w:val="00A06DE9"/>
    <w:rsid w:val="00A06FDB"/>
    <w:rsid w:val="00A07007"/>
    <w:rsid w:val="00A0718A"/>
    <w:rsid w:val="00A0737E"/>
    <w:rsid w:val="00A07527"/>
    <w:rsid w:val="00A075C5"/>
    <w:rsid w:val="00A0766E"/>
    <w:rsid w:val="00A0769C"/>
    <w:rsid w:val="00A0792B"/>
    <w:rsid w:val="00A0799D"/>
    <w:rsid w:val="00A07D62"/>
    <w:rsid w:val="00A07E52"/>
    <w:rsid w:val="00A07E59"/>
    <w:rsid w:val="00A07F2C"/>
    <w:rsid w:val="00A10127"/>
    <w:rsid w:val="00A1025F"/>
    <w:rsid w:val="00A10571"/>
    <w:rsid w:val="00A10A03"/>
    <w:rsid w:val="00A10B6E"/>
    <w:rsid w:val="00A10D20"/>
    <w:rsid w:val="00A10D68"/>
    <w:rsid w:val="00A110D5"/>
    <w:rsid w:val="00A111FB"/>
    <w:rsid w:val="00A1138E"/>
    <w:rsid w:val="00A1163B"/>
    <w:rsid w:val="00A11722"/>
    <w:rsid w:val="00A1186E"/>
    <w:rsid w:val="00A11B8B"/>
    <w:rsid w:val="00A11BAF"/>
    <w:rsid w:val="00A11C6C"/>
    <w:rsid w:val="00A11CA9"/>
    <w:rsid w:val="00A120C6"/>
    <w:rsid w:val="00A12152"/>
    <w:rsid w:val="00A12236"/>
    <w:rsid w:val="00A12701"/>
    <w:rsid w:val="00A127B3"/>
    <w:rsid w:val="00A1296C"/>
    <w:rsid w:val="00A12B39"/>
    <w:rsid w:val="00A12C23"/>
    <w:rsid w:val="00A12C93"/>
    <w:rsid w:val="00A12CBD"/>
    <w:rsid w:val="00A12DEF"/>
    <w:rsid w:val="00A13274"/>
    <w:rsid w:val="00A13318"/>
    <w:rsid w:val="00A133C7"/>
    <w:rsid w:val="00A1341A"/>
    <w:rsid w:val="00A13549"/>
    <w:rsid w:val="00A13DF8"/>
    <w:rsid w:val="00A13F73"/>
    <w:rsid w:val="00A13FFF"/>
    <w:rsid w:val="00A14050"/>
    <w:rsid w:val="00A141F3"/>
    <w:rsid w:val="00A14237"/>
    <w:rsid w:val="00A14312"/>
    <w:rsid w:val="00A14315"/>
    <w:rsid w:val="00A14544"/>
    <w:rsid w:val="00A145F7"/>
    <w:rsid w:val="00A14670"/>
    <w:rsid w:val="00A1467A"/>
    <w:rsid w:val="00A146E3"/>
    <w:rsid w:val="00A1473A"/>
    <w:rsid w:val="00A14E48"/>
    <w:rsid w:val="00A14F43"/>
    <w:rsid w:val="00A14FAF"/>
    <w:rsid w:val="00A15118"/>
    <w:rsid w:val="00A1528A"/>
    <w:rsid w:val="00A152B1"/>
    <w:rsid w:val="00A15670"/>
    <w:rsid w:val="00A156C3"/>
    <w:rsid w:val="00A158D6"/>
    <w:rsid w:val="00A159F3"/>
    <w:rsid w:val="00A15B32"/>
    <w:rsid w:val="00A15CA5"/>
    <w:rsid w:val="00A15D99"/>
    <w:rsid w:val="00A15EC0"/>
    <w:rsid w:val="00A161D2"/>
    <w:rsid w:val="00A162B5"/>
    <w:rsid w:val="00A162E2"/>
    <w:rsid w:val="00A16442"/>
    <w:rsid w:val="00A1677E"/>
    <w:rsid w:val="00A167BC"/>
    <w:rsid w:val="00A167F2"/>
    <w:rsid w:val="00A16845"/>
    <w:rsid w:val="00A16D6A"/>
    <w:rsid w:val="00A16E14"/>
    <w:rsid w:val="00A172E8"/>
    <w:rsid w:val="00A173EC"/>
    <w:rsid w:val="00A17534"/>
    <w:rsid w:val="00A1758A"/>
    <w:rsid w:val="00A1782A"/>
    <w:rsid w:val="00A1783C"/>
    <w:rsid w:val="00A17894"/>
    <w:rsid w:val="00A1797B"/>
    <w:rsid w:val="00A179BD"/>
    <w:rsid w:val="00A17AF3"/>
    <w:rsid w:val="00A17B78"/>
    <w:rsid w:val="00A17D1D"/>
    <w:rsid w:val="00A17E82"/>
    <w:rsid w:val="00A200EF"/>
    <w:rsid w:val="00A20285"/>
    <w:rsid w:val="00A202F7"/>
    <w:rsid w:val="00A20344"/>
    <w:rsid w:val="00A2036D"/>
    <w:rsid w:val="00A203A8"/>
    <w:rsid w:val="00A205EF"/>
    <w:rsid w:val="00A206B2"/>
    <w:rsid w:val="00A209D4"/>
    <w:rsid w:val="00A20C14"/>
    <w:rsid w:val="00A20C44"/>
    <w:rsid w:val="00A20E12"/>
    <w:rsid w:val="00A20E30"/>
    <w:rsid w:val="00A2100C"/>
    <w:rsid w:val="00A21053"/>
    <w:rsid w:val="00A21054"/>
    <w:rsid w:val="00A21226"/>
    <w:rsid w:val="00A21384"/>
    <w:rsid w:val="00A21484"/>
    <w:rsid w:val="00A2153B"/>
    <w:rsid w:val="00A21815"/>
    <w:rsid w:val="00A218BF"/>
    <w:rsid w:val="00A21A8C"/>
    <w:rsid w:val="00A21BE4"/>
    <w:rsid w:val="00A21C16"/>
    <w:rsid w:val="00A21C50"/>
    <w:rsid w:val="00A21E11"/>
    <w:rsid w:val="00A21F81"/>
    <w:rsid w:val="00A22297"/>
    <w:rsid w:val="00A222E9"/>
    <w:rsid w:val="00A224AD"/>
    <w:rsid w:val="00A22B29"/>
    <w:rsid w:val="00A22B43"/>
    <w:rsid w:val="00A22C6B"/>
    <w:rsid w:val="00A22D5D"/>
    <w:rsid w:val="00A22D77"/>
    <w:rsid w:val="00A22D86"/>
    <w:rsid w:val="00A22EA8"/>
    <w:rsid w:val="00A22EDD"/>
    <w:rsid w:val="00A230B1"/>
    <w:rsid w:val="00A230CC"/>
    <w:rsid w:val="00A23120"/>
    <w:rsid w:val="00A231B4"/>
    <w:rsid w:val="00A23237"/>
    <w:rsid w:val="00A232F0"/>
    <w:rsid w:val="00A23463"/>
    <w:rsid w:val="00A237A0"/>
    <w:rsid w:val="00A23861"/>
    <w:rsid w:val="00A2392C"/>
    <w:rsid w:val="00A239D9"/>
    <w:rsid w:val="00A23AF7"/>
    <w:rsid w:val="00A23C6C"/>
    <w:rsid w:val="00A23F2C"/>
    <w:rsid w:val="00A244DA"/>
    <w:rsid w:val="00A2453D"/>
    <w:rsid w:val="00A24582"/>
    <w:rsid w:val="00A245EB"/>
    <w:rsid w:val="00A24650"/>
    <w:rsid w:val="00A2471E"/>
    <w:rsid w:val="00A2494C"/>
    <w:rsid w:val="00A249CB"/>
    <w:rsid w:val="00A24DCA"/>
    <w:rsid w:val="00A2502F"/>
    <w:rsid w:val="00A2540F"/>
    <w:rsid w:val="00A25420"/>
    <w:rsid w:val="00A25507"/>
    <w:rsid w:val="00A255A9"/>
    <w:rsid w:val="00A25600"/>
    <w:rsid w:val="00A256B4"/>
    <w:rsid w:val="00A25764"/>
    <w:rsid w:val="00A25989"/>
    <w:rsid w:val="00A259A0"/>
    <w:rsid w:val="00A25A28"/>
    <w:rsid w:val="00A25AF6"/>
    <w:rsid w:val="00A25AFD"/>
    <w:rsid w:val="00A25C4D"/>
    <w:rsid w:val="00A25D21"/>
    <w:rsid w:val="00A25FA3"/>
    <w:rsid w:val="00A2607E"/>
    <w:rsid w:val="00A26179"/>
    <w:rsid w:val="00A2627A"/>
    <w:rsid w:val="00A26823"/>
    <w:rsid w:val="00A2697E"/>
    <w:rsid w:val="00A26A43"/>
    <w:rsid w:val="00A26D55"/>
    <w:rsid w:val="00A26EB2"/>
    <w:rsid w:val="00A270F5"/>
    <w:rsid w:val="00A271CC"/>
    <w:rsid w:val="00A275B0"/>
    <w:rsid w:val="00A278D9"/>
    <w:rsid w:val="00A27AA1"/>
    <w:rsid w:val="00A27E56"/>
    <w:rsid w:val="00A27F23"/>
    <w:rsid w:val="00A27FEB"/>
    <w:rsid w:val="00A301DC"/>
    <w:rsid w:val="00A3073F"/>
    <w:rsid w:val="00A30949"/>
    <w:rsid w:val="00A30AC3"/>
    <w:rsid w:val="00A30B5D"/>
    <w:rsid w:val="00A30C96"/>
    <w:rsid w:val="00A30CD0"/>
    <w:rsid w:val="00A30E5A"/>
    <w:rsid w:val="00A31206"/>
    <w:rsid w:val="00A3155E"/>
    <w:rsid w:val="00A3183E"/>
    <w:rsid w:val="00A31B13"/>
    <w:rsid w:val="00A31B6B"/>
    <w:rsid w:val="00A31B93"/>
    <w:rsid w:val="00A31C6C"/>
    <w:rsid w:val="00A31C75"/>
    <w:rsid w:val="00A32104"/>
    <w:rsid w:val="00A321DA"/>
    <w:rsid w:val="00A32265"/>
    <w:rsid w:val="00A322B7"/>
    <w:rsid w:val="00A326F8"/>
    <w:rsid w:val="00A3297E"/>
    <w:rsid w:val="00A32CB8"/>
    <w:rsid w:val="00A32EF1"/>
    <w:rsid w:val="00A3301D"/>
    <w:rsid w:val="00A33105"/>
    <w:rsid w:val="00A33119"/>
    <w:rsid w:val="00A3329F"/>
    <w:rsid w:val="00A3351F"/>
    <w:rsid w:val="00A3353E"/>
    <w:rsid w:val="00A33A93"/>
    <w:rsid w:val="00A33F21"/>
    <w:rsid w:val="00A33FE5"/>
    <w:rsid w:val="00A3402F"/>
    <w:rsid w:val="00A34245"/>
    <w:rsid w:val="00A342CD"/>
    <w:rsid w:val="00A34377"/>
    <w:rsid w:val="00A3454C"/>
    <w:rsid w:val="00A347FC"/>
    <w:rsid w:val="00A34A7A"/>
    <w:rsid w:val="00A34A95"/>
    <w:rsid w:val="00A351BC"/>
    <w:rsid w:val="00A351C3"/>
    <w:rsid w:val="00A35202"/>
    <w:rsid w:val="00A3551F"/>
    <w:rsid w:val="00A355C8"/>
    <w:rsid w:val="00A35AA7"/>
    <w:rsid w:val="00A35AD3"/>
    <w:rsid w:val="00A35B51"/>
    <w:rsid w:val="00A35B7F"/>
    <w:rsid w:val="00A35C10"/>
    <w:rsid w:val="00A35C1A"/>
    <w:rsid w:val="00A35C9C"/>
    <w:rsid w:val="00A362CB"/>
    <w:rsid w:val="00A3634E"/>
    <w:rsid w:val="00A36536"/>
    <w:rsid w:val="00A36934"/>
    <w:rsid w:val="00A369C5"/>
    <w:rsid w:val="00A36D7E"/>
    <w:rsid w:val="00A36EE8"/>
    <w:rsid w:val="00A3727B"/>
    <w:rsid w:val="00A373FD"/>
    <w:rsid w:val="00A374C4"/>
    <w:rsid w:val="00A37567"/>
    <w:rsid w:val="00A37612"/>
    <w:rsid w:val="00A3761B"/>
    <w:rsid w:val="00A3780F"/>
    <w:rsid w:val="00A37ADF"/>
    <w:rsid w:val="00A37FE9"/>
    <w:rsid w:val="00A400E9"/>
    <w:rsid w:val="00A4010C"/>
    <w:rsid w:val="00A40448"/>
    <w:rsid w:val="00A404DB"/>
    <w:rsid w:val="00A40747"/>
    <w:rsid w:val="00A40B57"/>
    <w:rsid w:val="00A40D04"/>
    <w:rsid w:val="00A41207"/>
    <w:rsid w:val="00A41210"/>
    <w:rsid w:val="00A412CD"/>
    <w:rsid w:val="00A41379"/>
    <w:rsid w:val="00A41427"/>
    <w:rsid w:val="00A4148D"/>
    <w:rsid w:val="00A417CA"/>
    <w:rsid w:val="00A41930"/>
    <w:rsid w:val="00A41993"/>
    <w:rsid w:val="00A41A70"/>
    <w:rsid w:val="00A41BF9"/>
    <w:rsid w:val="00A41DB7"/>
    <w:rsid w:val="00A41DC3"/>
    <w:rsid w:val="00A41E01"/>
    <w:rsid w:val="00A41E9D"/>
    <w:rsid w:val="00A41F41"/>
    <w:rsid w:val="00A420F3"/>
    <w:rsid w:val="00A42177"/>
    <w:rsid w:val="00A4221B"/>
    <w:rsid w:val="00A42526"/>
    <w:rsid w:val="00A4261C"/>
    <w:rsid w:val="00A4261F"/>
    <w:rsid w:val="00A42628"/>
    <w:rsid w:val="00A4274F"/>
    <w:rsid w:val="00A42798"/>
    <w:rsid w:val="00A428D8"/>
    <w:rsid w:val="00A42920"/>
    <w:rsid w:val="00A429DE"/>
    <w:rsid w:val="00A42A7F"/>
    <w:rsid w:val="00A42BDB"/>
    <w:rsid w:val="00A42F63"/>
    <w:rsid w:val="00A42FD9"/>
    <w:rsid w:val="00A42FE0"/>
    <w:rsid w:val="00A4310A"/>
    <w:rsid w:val="00A431F6"/>
    <w:rsid w:val="00A43256"/>
    <w:rsid w:val="00A43298"/>
    <w:rsid w:val="00A433FE"/>
    <w:rsid w:val="00A4360D"/>
    <w:rsid w:val="00A43716"/>
    <w:rsid w:val="00A4386C"/>
    <w:rsid w:val="00A43F96"/>
    <w:rsid w:val="00A4437B"/>
    <w:rsid w:val="00A44677"/>
    <w:rsid w:val="00A4467D"/>
    <w:rsid w:val="00A44859"/>
    <w:rsid w:val="00A4494D"/>
    <w:rsid w:val="00A44997"/>
    <w:rsid w:val="00A4499E"/>
    <w:rsid w:val="00A44B45"/>
    <w:rsid w:val="00A44BB8"/>
    <w:rsid w:val="00A44CD0"/>
    <w:rsid w:val="00A44EAA"/>
    <w:rsid w:val="00A44F4B"/>
    <w:rsid w:val="00A4538F"/>
    <w:rsid w:val="00A453AF"/>
    <w:rsid w:val="00A4557F"/>
    <w:rsid w:val="00A455DA"/>
    <w:rsid w:val="00A4585E"/>
    <w:rsid w:val="00A45ABA"/>
    <w:rsid w:val="00A45C92"/>
    <w:rsid w:val="00A45CCF"/>
    <w:rsid w:val="00A45D1C"/>
    <w:rsid w:val="00A45D86"/>
    <w:rsid w:val="00A45FA8"/>
    <w:rsid w:val="00A461AB"/>
    <w:rsid w:val="00A46243"/>
    <w:rsid w:val="00A4627A"/>
    <w:rsid w:val="00A46830"/>
    <w:rsid w:val="00A46A16"/>
    <w:rsid w:val="00A46A25"/>
    <w:rsid w:val="00A46A59"/>
    <w:rsid w:val="00A46C3F"/>
    <w:rsid w:val="00A46FB3"/>
    <w:rsid w:val="00A4709F"/>
    <w:rsid w:val="00A4723E"/>
    <w:rsid w:val="00A47372"/>
    <w:rsid w:val="00A4746F"/>
    <w:rsid w:val="00A47507"/>
    <w:rsid w:val="00A47686"/>
    <w:rsid w:val="00A47A77"/>
    <w:rsid w:val="00A47C07"/>
    <w:rsid w:val="00A47EBB"/>
    <w:rsid w:val="00A501EA"/>
    <w:rsid w:val="00A50237"/>
    <w:rsid w:val="00A504F0"/>
    <w:rsid w:val="00A50610"/>
    <w:rsid w:val="00A50616"/>
    <w:rsid w:val="00A506AA"/>
    <w:rsid w:val="00A507EE"/>
    <w:rsid w:val="00A50A03"/>
    <w:rsid w:val="00A50AB9"/>
    <w:rsid w:val="00A50B6B"/>
    <w:rsid w:val="00A50C57"/>
    <w:rsid w:val="00A50C88"/>
    <w:rsid w:val="00A50CA1"/>
    <w:rsid w:val="00A50F53"/>
    <w:rsid w:val="00A5125B"/>
    <w:rsid w:val="00A51620"/>
    <w:rsid w:val="00A51864"/>
    <w:rsid w:val="00A518BD"/>
    <w:rsid w:val="00A51924"/>
    <w:rsid w:val="00A51957"/>
    <w:rsid w:val="00A51971"/>
    <w:rsid w:val="00A51DC9"/>
    <w:rsid w:val="00A51E56"/>
    <w:rsid w:val="00A51E95"/>
    <w:rsid w:val="00A5204A"/>
    <w:rsid w:val="00A52216"/>
    <w:rsid w:val="00A5227A"/>
    <w:rsid w:val="00A5276E"/>
    <w:rsid w:val="00A527E7"/>
    <w:rsid w:val="00A527F4"/>
    <w:rsid w:val="00A528A8"/>
    <w:rsid w:val="00A52BB6"/>
    <w:rsid w:val="00A52C22"/>
    <w:rsid w:val="00A52DFB"/>
    <w:rsid w:val="00A5323E"/>
    <w:rsid w:val="00A53263"/>
    <w:rsid w:val="00A532D0"/>
    <w:rsid w:val="00A5361C"/>
    <w:rsid w:val="00A536FB"/>
    <w:rsid w:val="00A539FA"/>
    <w:rsid w:val="00A53A54"/>
    <w:rsid w:val="00A53B46"/>
    <w:rsid w:val="00A53BC0"/>
    <w:rsid w:val="00A53CAA"/>
    <w:rsid w:val="00A53D0D"/>
    <w:rsid w:val="00A53E14"/>
    <w:rsid w:val="00A5400A"/>
    <w:rsid w:val="00A54195"/>
    <w:rsid w:val="00A54225"/>
    <w:rsid w:val="00A5458A"/>
    <w:rsid w:val="00A545C3"/>
    <w:rsid w:val="00A5466E"/>
    <w:rsid w:val="00A546ED"/>
    <w:rsid w:val="00A547FC"/>
    <w:rsid w:val="00A54A7C"/>
    <w:rsid w:val="00A54B95"/>
    <w:rsid w:val="00A5504E"/>
    <w:rsid w:val="00A5506E"/>
    <w:rsid w:val="00A55097"/>
    <w:rsid w:val="00A55210"/>
    <w:rsid w:val="00A55326"/>
    <w:rsid w:val="00A559C0"/>
    <w:rsid w:val="00A55C66"/>
    <w:rsid w:val="00A55E5E"/>
    <w:rsid w:val="00A55F73"/>
    <w:rsid w:val="00A560E4"/>
    <w:rsid w:val="00A56376"/>
    <w:rsid w:val="00A56415"/>
    <w:rsid w:val="00A56551"/>
    <w:rsid w:val="00A56594"/>
    <w:rsid w:val="00A566B2"/>
    <w:rsid w:val="00A56709"/>
    <w:rsid w:val="00A568AA"/>
    <w:rsid w:val="00A5690E"/>
    <w:rsid w:val="00A56C50"/>
    <w:rsid w:val="00A56CE8"/>
    <w:rsid w:val="00A56E6C"/>
    <w:rsid w:val="00A5752D"/>
    <w:rsid w:val="00A575C6"/>
    <w:rsid w:val="00A57664"/>
    <w:rsid w:val="00A57B94"/>
    <w:rsid w:val="00A57BF0"/>
    <w:rsid w:val="00A57D1C"/>
    <w:rsid w:val="00A57E0E"/>
    <w:rsid w:val="00A6001D"/>
    <w:rsid w:val="00A60512"/>
    <w:rsid w:val="00A6065A"/>
    <w:rsid w:val="00A60677"/>
    <w:rsid w:val="00A608D1"/>
    <w:rsid w:val="00A6090A"/>
    <w:rsid w:val="00A6099C"/>
    <w:rsid w:val="00A60C2E"/>
    <w:rsid w:val="00A60C3F"/>
    <w:rsid w:val="00A60CEE"/>
    <w:rsid w:val="00A60D5A"/>
    <w:rsid w:val="00A60DF3"/>
    <w:rsid w:val="00A611CF"/>
    <w:rsid w:val="00A611DA"/>
    <w:rsid w:val="00A61255"/>
    <w:rsid w:val="00A61278"/>
    <w:rsid w:val="00A61383"/>
    <w:rsid w:val="00A613DB"/>
    <w:rsid w:val="00A6155F"/>
    <w:rsid w:val="00A61711"/>
    <w:rsid w:val="00A61C0B"/>
    <w:rsid w:val="00A61CC1"/>
    <w:rsid w:val="00A61EBF"/>
    <w:rsid w:val="00A62080"/>
    <w:rsid w:val="00A6211B"/>
    <w:rsid w:val="00A62192"/>
    <w:rsid w:val="00A6247D"/>
    <w:rsid w:val="00A62535"/>
    <w:rsid w:val="00A62559"/>
    <w:rsid w:val="00A625AA"/>
    <w:rsid w:val="00A625CA"/>
    <w:rsid w:val="00A6266E"/>
    <w:rsid w:val="00A629E2"/>
    <w:rsid w:val="00A62B11"/>
    <w:rsid w:val="00A62C62"/>
    <w:rsid w:val="00A62F19"/>
    <w:rsid w:val="00A62F7F"/>
    <w:rsid w:val="00A62FC5"/>
    <w:rsid w:val="00A6320F"/>
    <w:rsid w:val="00A632F9"/>
    <w:rsid w:val="00A63323"/>
    <w:rsid w:val="00A635D5"/>
    <w:rsid w:val="00A6368B"/>
    <w:rsid w:val="00A63859"/>
    <w:rsid w:val="00A63EA7"/>
    <w:rsid w:val="00A64062"/>
    <w:rsid w:val="00A64278"/>
    <w:rsid w:val="00A6434F"/>
    <w:rsid w:val="00A64353"/>
    <w:rsid w:val="00A6454A"/>
    <w:rsid w:val="00A645D2"/>
    <w:rsid w:val="00A64791"/>
    <w:rsid w:val="00A647C3"/>
    <w:rsid w:val="00A648B4"/>
    <w:rsid w:val="00A64928"/>
    <w:rsid w:val="00A64B05"/>
    <w:rsid w:val="00A64DE2"/>
    <w:rsid w:val="00A64FDF"/>
    <w:rsid w:val="00A6516B"/>
    <w:rsid w:val="00A653F0"/>
    <w:rsid w:val="00A65460"/>
    <w:rsid w:val="00A654AA"/>
    <w:rsid w:val="00A654D7"/>
    <w:rsid w:val="00A656DE"/>
    <w:rsid w:val="00A658EF"/>
    <w:rsid w:val="00A65B41"/>
    <w:rsid w:val="00A65B5D"/>
    <w:rsid w:val="00A65F85"/>
    <w:rsid w:val="00A66150"/>
    <w:rsid w:val="00A6644D"/>
    <w:rsid w:val="00A668A1"/>
    <w:rsid w:val="00A66C31"/>
    <w:rsid w:val="00A66C99"/>
    <w:rsid w:val="00A66CA8"/>
    <w:rsid w:val="00A66CE6"/>
    <w:rsid w:val="00A66CE8"/>
    <w:rsid w:val="00A66E6A"/>
    <w:rsid w:val="00A67143"/>
    <w:rsid w:val="00A6716D"/>
    <w:rsid w:val="00A672D2"/>
    <w:rsid w:val="00A67347"/>
    <w:rsid w:val="00A673EA"/>
    <w:rsid w:val="00A6742D"/>
    <w:rsid w:val="00A67472"/>
    <w:rsid w:val="00A67701"/>
    <w:rsid w:val="00A678E5"/>
    <w:rsid w:val="00A679F2"/>
    <w:rsid w:val="00A67C5C"/>
    <w:rsid w:val="00A67DDF"/>
    <w:rsid w:val="00A70135"/>
    <w:rsid w:val="00A704A5"/>
    <w:rsid w:val="00A7083B"/>
    <w:rsid w:val="00A70A17"/>
    <w:rsid w:val="00A70B76"/>
    <w:rsid w:val="00A70DBA"/>
    <w:rsid w:val="00A70FF2"/>
    <w:rsid w:val="00A7109D"/>
    <w:rsid w:val="00A710A9"/>
    <w:rsid w:val="00A71100"/>
    <w:rsid w:val="00A71153"/>
    <w:rsid w:val="00A71380"/>
    <w:rsid w:val="00A7162E"/>
    <w:rsid w:val="00A71773"/>
    <w:rsid w:val="00A7185A"/>
    <w:rsid w:val="00A71903"/>
    <w:rsid w:val="00A71AE4"/>
    <w:rsid w:val="00A71DEC"/>
    <w:rsid w:val="00A71E11"/>
    <w:rsid w:val="00A71E17"/>
    <w:rsid w:val="00A71E6D"/>
    <w:rsid w:val="00A71E9B"/>
    <w:rsid w:val="00A7207D"/>
    <w:rsid w:val="00A7218D"/>
    <w:rsid w:val="00A721A4"/>
    <w:rsid w:val="00A7239B"/>
    <w:rsid w:val="00A723BE"/>
    <w:rsid w:val="00A7245B"/>
    <w:rsid w:val="00A72651"/>
    <w:rsid w:val="00A726B2"/>
    <w:rsid w:val="00A72AE3"/>
    <w:rsid w:val="00A72C27"/>
    <w:rsid w:val="00A72DB5"/>
    <w:rsid w:val="00A7326C"/>
    <w:rsid w:val="00A73381"/>
    <w:rsid w:val="00A735BC"/>
    <w:rsid w:val="00A7372A"/>
    <w:rsid w:val="00A7374C"/>
    <w:rsid w:val="00A73B38"/>
    <w:rsid w:val="00A73D8A"/>
    <w:rsid w:val="00A73DCF"/>
    <w:rsid w:val="00A73FC2"/>
    <w:rsid w:val="00A74452"/>
    <w:rsid w:val="00A748CE"/>
    <w:rsid w:val="00A749FF"/>
    <w:rsid w:val="00A74A7E"/>
    <w:rsid w:val="00A74AA4"/>
    <w:rsid w:val="00A74AA8"/>
    <w:rsid w:val="00A74BEB"/>
    <w:rsid w:val="00A74C95"/>
    <w:rsid w:val="00A74D0C"/>
    <w:rsid w:val="00A74D76"/>
    <w:rsid w:val="00A74D83"/>
    <w:rsid w:val="00A74E7D"/>
    <w:rsid w:val="00A75058"/>
    <w:rsid w:val="00A750C7"/>
    <w:rsid w:val="00A752C6"/>
    <w:rsid w:val="00A7545B"/>
    <w:rsid w:val="00A755C3"/>
    <w:rsid w:val="00A75618"/>
    <w:rsid w:val="00A75632"/>
    <w:rsid w:val="00A75C07"/>
    <w:rsid w:val="00A761CE"/>
    <w:rsid w:val="00A76632"/>
    <w:rsid w:val="00A7664A"/>
    <w:rsid w:val="00A767B1"/>
    <w:rsid w:val="00A767EE"/>
    <w:rsid w:val="00A76A21"/>
    <w:rsid w:val="00A76EC7"/>
    <w:rsid w:val="00A776BC"/>
    <w:rsid w:val="00A779E8"/>
    <w:rsid w:val="00A77BE5"/>
    <w:rsid w:val="00A77E2A"/>
    <w:rsid w:val="00A77F27"/>
    <w:rsid w:val="00A80207"/>
    <w:rsid w:val="00A80214"/>
    <w:rsid w:val="00A80274"/>
    <w:rsid w:val="00A8027E"/>
    <w:rsid w:val="00A806E3"/>
    <w:rsid w:val="00A80863"/>
    <w:rsid w:val="00A8086D"/>
    <w:rsid w:val="00A80BF0"/>
    <w:rsid w:val="00A80C19"/>
    <w:rsid w:val="00A80C2C"/>
    <w:rsid w:val="00A80F52"/>
    <w:rsid w:val="00A81086"/>
    <w:rsid w:val="00A811A8"/>
    <w:rsid w:val="00A8123F"/>
    <w:rsid w:val="00A815F3"/>
    <w:rsid w:val="00A81616"/>
    <w:rsid w:val="00A819FC"/>
    <w:rsid w:val="00A81CB0"/>
    <w:rsid w:val="00A81D09"/>
    <w:rsid w:val="00A81E47"/>
    <w:rsid w:val="00A81F5E"/>
    <w:rsid w:val="00A8236F"/>
    <w:rsid w:val="00A82446"/>
    <w:rsid w:val="00A82629"/>
    <w:rsid w:val="00A82653"/>
    <w:rsid w:val="00A82720"/>
    <w:rsid w:val="00A82902"/>
    <w:rsid w:val="00A82B6D"/>
    <w:rsid w:val="00A82BE5"/>
    <w:rsid w:val="00A82C5D"/>
    <w:rsid w:val="00A82ED1"/>
    <w:rsid w:val="00A8315B"/>
    <w:rsid w:val="00A83183"/>
    <w:rsid w:val="00A83531"/>
    <w:rsid w:val="00A8365E"/>
    <w:rsid w:val="00A838C2"/>
    <w:rsid w:val="00A83AD8"/>
    <w:rsid w:val="00A83AEB"/>
    <w:rsid w:val="00A83C05"/>
    <w:rsid w:val="00A83F33"/>
    <w:rsid w:val="00A83F8E"/>
    <w:rsid w:val="00A84022"/>
    <w:rsid w:val="00A840C6"/>
    <w:rsid w:val="00A84139"/>
    <w:rsid w:val="00A84287"/>
    <w:rsid w:val="00A8429D"/>
    <w:rsid w:val="00A843D0"/>
    <w:rsid w:val="00A844EC"/>
    <w:rsid w:val="00A844F1"/>
    <w:rsid w:val="00A8451F"/>
    <w:rsid w:val="00A84785"/>
    <w:rsid w:val="00A848D8"/>
    <w:rsid w:val="00A8499E"/>
    <w:rsid w:val="00A84B7A"/>
    <w:rsid w:val="00A84BAC"/>
    <w:rsid w:val="00A84BF1"/>
    <w:rsid w:val="00A84DC4"/>
    <w:rsid w:val="00A84F46"/>
    <w:rsid w:val="00A85211"/>
    <w:rsid w:val="00A85409"/>
    <w:rsid w:val="00A85433"/>
    <w:rsid w:val="00A858A7"/>
    <w:rsid w:val="00A858E5"/>
    <w:rsid w:val="00A85A87"/>
    <w:rsid w:val="00A85A8B"/>
    <w:rsid w:val="00A85BD3"/>
    <w:rsid w:val="00A85F5E"/>
    <w:rsid w:val="00A860B7"/>
    <w:rsid w:val="00A8613A"/>
    <w:rsid w:val="00A86190"/>
    <w:rsid w:val="00A862B2"/>
    <w:rsid w:val="00A86401"/>
    <w:rsid w:val="00A86523"/>
    <w:rsid w:val="00A86564"/>
    <w:rsid w:val="00A866B7"/>
    <w:rsid w:val="00A86802"/>
    <w:rsid w:val="00A86910"/>
    <w:rsid w:val="00A86E26"/>
    <w:rsid w:val="00A86E51"/>
    <w:rsid w:val="00A86E61"/>
    <w:rsid w:val="00A86E95"/>
    <w:rsid w:val="00A86EE1"/>
    <w:rsid w:val="00A86EE7"/>
    <w:rsid w:val="00A87029"/>
    <w:rsid w:val="00A8754A"/>
    <w:rsid w:val="00A8768B"/>
    <w:rsid w:val="00A877B4"/>
    <w:rsid w:val="00A8786E"/>
    <w:rsid w:val="00A8787B"/>
    <w:rsid w:val="00A87B1C"/>
    <w:rsid w:val="00A87B44"/>
    <w:rsid w:val="00A87C14"/>
    <w:rsid w:val="00A87CD7"/>
    <w:rsid w:val="00A87CE1"/>
    <w:rsid w:val="00A87E10"/>
    <w:rsid w:val="00A900FC"/>
    <w:rsid w:val="00A902A4"/>
    <w:rsid w:val="00A902F4"/>
    <w:rsid w:val="00A90495"/>
    <w:rsid w:val="00A90745"/>
    <w:rsid w:val="00A90A01"/>
    <w:rsid w:val="00A90BA0"/>
    <w:rsid w:val="00A90EB8"/>
    <w:rsid w:val="00A910BD"/>
    <w:rsid w:val="00A91173"/>
    <w:rsid w:val="00A91187"/>
    <w:rsid w:val="00A9121D"/>
    <w:rsid w:val="00A91358"/>
    <w:rsid w:val="00A9167C"/>
    <w:rsid w:val="00A916B2"/>
    <w:rsid w:val="00A919BA"/>
    <w:rsid w:val="00A91AA8"/>
    <w:rsid w:val="00A91AF3"/>
    <w:rsid w:val="00A91B7D"/>
    <w:rsid w:val="00A91C0B"/>
    <w:rsid w:val="00A91D50"/>
    <w:rsid w:val="00A91E08"/>
    <w:rsid w:val="00A923B2"/>
    <w:rsid w:val="00A92580"/>
    <w:rsid w:val="00A92605"/>
    <w:rsid w:val="00A92793"/>
    <w:rsid w:val="00A927AF"/>
    <w:rsid w:val="00A92952"/>
    <w:rsid w:val="00A92AA5"/>
    <w:rsid w:val="00A92D24"/>
    <w:rsid w:val="00A92D3A"/>
    <w:rsid w:val="00A9311E"/>
    <w:rsid w:val="00A93158"/>
    <w:rsid w:val="00A931BB"/>
    <w:rsid w:val="00A93340"/>
    <w:rsid w:val="00A9354B"/>
    <w:rsid w:val="00A935DE"/>
    <w:rsid w:val="00A93A4D"/>
    <w:rsid w:val="00A93C25"/>
    <w:rsid w:val="00A93D46"/>
    <w:rsid w:val="00A93DD2"/>
    <w:rsid w:val="00A93F3D"/>
    <w:rsid w:val="00A93F46"/>
    <w:rsid w:val="00A94026"/>
    <w:rsid w:val="00A9402F"/>
    <w:rsid w:val="00A94268"/>
    <w:rsid w:val="00A94294"/>
    <w:rsid w:val="00A94361"/>
    <w:rsid w:val="00A943CF"/>
    <w:rsid w:val="00A943ED"/>
    <w:rsid w:val="00A9483B"/>
    <w:rsid w:val="00A9488D"/>
    <w:rsid w:val="00A949AA"/>
    <w:rsid w:val="00A94A29"/>
    <w:rsid w:val="00A94FC5"/>
    <w:rsid w:val="00A950F1"/>
    <w:rsid w:val="00A951BF"/>
    <w:rsid w:val="00A95303"/>
    <w:rsid w:val="00A9550C"/>
    <w:rsid w:val="00A95584"/>
    <w:rsid w:val="00A95816"/>
    <w:rsid w:val="00A95830"/>
    <w:rsid w:val="00A959D9"/>
    <w:rsid w:val="00A95B59"/>
    <w:rsid w:val="00A95DBA"/>
    <w:rsid w:val="00A95E60"/>
    <w:rsid w:val="00A95ED2"/>
    <w:rsid w:val="00A9606F"/>
    <w:rsid w:val="00A96104"/>
    <w:rsid w:val="00A9613D"/>
    <w:rsid w:val="00A961C1"/>
    <w:rsid w:val="00A9621F"/>
    <w:rsid w:val="00A96510"/>
    <w:rsid w:val="00A96687"/>
    <w:rsid w:val="00A966A5"/>
    <w:rsid w:val="00A96748"/>
    <w:rsid w:val="00A967F4"/>
    <w:rsid w:val="00A967F5"/>
    <w:rsid w:val="00A9695D"/>
    <w:rsid w:val="00A96BEB"/>
    <w:rsid w:val="00A96C9D"/>
    <w:rsid w:val="00A97286"/>
    <w:rsid w:val="00A97303"/>
    <w:rsid w:val="00A973B4"/>
    <w:rsid w:val="00A97C4B"/>
    <w:rsid w:val="00A97D4E"/>
    <w:rsid w:val="00A97E27"/>
    <w:rsid w:val="00AA0066"/>
    <w:rsid w:val="00AA0093"/>
    <w:rsid w:val="00AA02E5"/>
    <w:rsid w:val="00AA03AC"/>
    <w:rsid w:val="00AA0875"/>
    <w:rsid w:val="00AA0ACB"/>
    <w:rsid w:val="00AA0B87"/>
    <w:rsid w:val="00AA0CCA"/>
    <w:rsid w:val="00AA0D6D"/>
    <w:rsid w:val="00AA0DE3"/>
    <w:rsid w:val="00AA1361"/>
    <w:rsid w:val="00AA1386"/>
    <w:rsid w:val="00AA172F"/>
    <w:rsid w:val="00AA181C"/>
    <w:rsid w:val="00AA1917"/>
    <w:rsid w:val="00AA198C"/>
    <w:rsid w:val="00AA1A88"/>
    <w:rsid w:val="00AA1B24"/>
    <w:rsid w:val="00AA1E82"/>
    <w:rsid w:val="00AA228B"/>
    <w:rsid w:val="00AA2405"/>
    <w:rsid w:val="00AA26E5"/>
    <w:rsid w:val="00AA282E"/>
    <w:rsid w:val="00AA287C"/>
    <w:rsid w:val="00AA2BA0"/>
    <w:rsid w:val="00AA2C1E"/>
    <w:rsid w:val="00AA2E93"/>
    <w:rsid w:val="00AA2F3C"/>
    <w:rsid w:val="00AA2FFC"/>
    <w:rsid w:val="00AA3451"/>
    <w:rsid w:val="00AA35FF"/>
    <w:rsid w:val="00AA3D6E"/>
    <w:rsid w:val="00AA3EC6"/>
    <w:rsid w:val="00AA414D"/>
    <w:rsid w:val="00AA4168"/>
    <w:rsid w:val="00AA4183"/>
    <w:rsid w:val="00AA4204"/>
    <w:rsid w:val="00AA4258"/>
    <w:rsid w:val="00AA433C"/>
    <w:rsid w:val="00AA4653"/>
    <w:rsid w:val="00AA4673"/>
    <w:rsid w:val="00AA4A87"/>
    <w:rsid w:val="00AA4CE3"/>
    <w:rsid w:val="00AA4CE8"/>
    <w:rsid w:val="00AA5739"/>
    <w:rsid w:val="00AA5799"/>
    <w:rsid w:val="00AA583C"/>
    <w:rsid w:val="00AA584F"/>
    <w:rsid w:val="00AA5899"/>
    <w:rsid w:val="00AA5B75"/>
    <w:rsid w:val="00AA5E6A"/>
    <w:rsid w:val="00AA5F42"/>
    <w:rsid w:val="00AA600A"/>
    <w:rsid w:val="00AA61B5"/>
    <w:rsid w:val="00AA6200"/>
    <w:rsid w:val="00AA6226"/>
    <w:rsid w:val="00AA62F8"/>
    <w:rsid w:val="00AA63A0"/>
    <w:rsid w:val="00AA65B1"/>
    <w:rsid w:val="00AA6914"/>
    <w:rsid w:val="00AA69ED"/>
    <w:rsid w:val="00AA6BC6"/>
    <w:rsid w:val="00AA6D40"/>
    <w:rsid w:val="00AA6D47"/>
    <w:rsid w:val="00AA6E65"/>
    <w:rsid w:val="00AA6F78"/>
    <w:rsid w:val="00AA716E"/>
    <w:rsid w:val="00AA7187"/>
    <w:rsid w:val="00AA740C"/>
    <w:rsid w:val="00AA74BF"/>
    <w:rsid w:val="00AA786F"/>
    <w:rsid w:val="00AA7943"/>
    <w:rsid w:val="00AA7965"/>
    <w:rsid w:val="00AA7B34"/>
    <w:rsid w:val="00AA7B70"/>
    <w:rsid w:val="00AA7D20"/>
    <w:rsid w:val="00AA7DEC"/>
    <w:rsid w:val="00AA7F3A"/>
    <w:rsid w:val="00AA7FF4"/>
    <w:rsid w:val="00AB02F7"/>
    <w:rsid w:val="00AB08A2"/>
    <w:rsid w:val="00AB091F"/>
    <w:rsid w:val="00AB0AA0"/>
    <w:rsid w:val="00AB0C62"/>
    <w:rsid w:val="00AB0C84"/>
    <w:rsid w:val="00AB0D71"/>
    <w:rsid w:val="00AB0DA4"/>
    <w:rsid w:val="00AB0E6D"/>
    <w:rsid w:val="00AB0E7E"/>
    <w:rsid w:val="00AB10B2"/>
    <w:rsid w:val="00AB1317"/>
    <w:rsid w:val="00AB1493"/>
    <w:rsid w:val="00AB14BD"/>
    <w:rsid w:val="00AB14CF"/>
    <w:rsid w:val="00AB162E"/>
    <w:rsid w:val="00AB16CA"/>
    <w:rsid w:val="00AB1707"/>
    <w:rsid w:val="00AB1820"/>
    <w:rsid w:val="00AB1B1D"/>
    <w:rsid w:val="00AB1DA1"/>
    <w:rsid w:val="00AB23BE"/>
    <w:rsid w:val="00AB23C1"/>
    <w:rsid w:val="00AB257C"/>
    <w:rsid w:val="00AB2658"/>
    <w:rsid w:val="00AB26C1"/>
    <w:rsid w:val="00AB29FC"/>
    <w:rsid w:val="00AB2A3D"/>
    <w:rsid w:val="00AB2B2A"/>
    <w:rsid w:val="00AB2C1A"/>
    <w:rsid w:val="00AB2F5D"/>
    <w:rsid w:val="00AB30AF"/>
    <w:rsid w:val="00AB318A"/>
    <w:rsid w:val="00AB3191"/>
    <w:rsid w:val="00AB34FE"/>
    <w:rsid w:val="00AB350C"/>
    <w:rsid w:val="00AB3654"/>
    <w:rsid w:val="00AB377A"/>
    <w:rsid w:val="00AB37A5"/>
    <w:rsid w:val="00AB3BAE"/>
    <w:rsid w:val="00AB3C78"/>
    <w:rsid w:val="00AB3CD3"/>
    <w:rsid w:val="00AB3DA5"/>
    <w:rsid w:val="00AB3E13"/>
    <w:rsid w:val="00AB3F51"/>
    <w:rsid w:val="00AB404A"/>
    <w:rsid w:val="00AB408D"/>
    <w:rsid w:val="00AB410C"/>
    <w:rsid w:val="00AB4157"/>
    <w:rsid w:val="00AB4210"/>
    <w:rsid w:val="00AB46FF"/>
    <w:rsid w:val="00AB4CC3"/>
    <w:rsid w:val="00AB4DA5"/>
    <w:rsid w:val="00AB4EDE"/>
    <w:rsid w:val="00AB509F"/>
    <w:rsid w:val="00AB560F"/>
    <w:rsid w:val="00AB5664"/>
    <w:rsid w:val="00AB57F5"/>
    <w:rsid w:val="00AB5B4F"/>
    <w:rsid w:val="00AB5C4D"/>
    <w:rsid w:val="00AB5CBF"/>
    <w:rsid w:val="00AB5E75"/>
    <w:rsid w:val="00AB6000"/>
    <w:rsid w:val="00AB6217"/>
    <w:rsid w:val="00AB67F4"/>
    <w:rsid w:val="00AB6826"/>
    <w:rsid w:val="00AB6866"/>
    <w:rsid w:val="00AB6A2F"/>
    <w:rsid w:val="00AB6A4A"/>
    <w:rsid w:val="00AB6BC0"/>
    <w:rsid w:val="00AB6D15"/>
    <w:rsid w:val="00AB6E17"/>
    <w:rsid w:val="00AB6E1C"/>
    <w:rsid w:val="00AB70F7"/>
    <w:rsid w:val="00AB71FE"/>
    <w:rsid w:val="00AB73A4"/>
    <w:rsid w:val="00AB75F0"/>
    <w:rsid w:val="00AB76F7"/>
    <w:rsid w:val="00AB7710"/>
    <w:rsid w:val="00AB7AB3"/>
    <w:rsid w:val="00AB7EDB"/>
    <w:rsid w:val="00AB7F05"/>
    <w:rsid w:val="00AB7FFC"/>
    <w:rsid w:val="00AC0066"/>
    <w:rsid w:val="00AC00B0"/>
    <w:rsid w:val="00AC00D1"/>
    <w:rsid w:val="00AC0174"/>
    <w:rsid w:val="00AC04F3"/>
    <w:rsid w:val="00AC0877"/>
    <w:rsid w:val="00AC0BA4"/>
    <w:rsid w:val="00AC0FF1"/>
    <w:rsid w:val="00AC117C"/>
    <w:rsid w:val="00AC13A4"/>
    <w:rsid w:val="00AC13DB"/>
    <w:rsid w:val="00AC1438"/>
    <w:rsid w:val="00AC1558"/>
    <w:rsid w:val="00AC1710"/>
    <w:rsid w:val="00AC1765"/>
    <w:rsid w:val="00AC1886"/>
    <w:rsid w:val="00AC1A9F"/>
    <w:rsid w:val="00AC1AA3"/>
    <w:rsid w:val="00AC1D63"/>
    <w:rsid w:val="00AC1DBE"/>
    <w:rsid w:val="00AC1DF5"/>
    <w:rsid w:val="00AC1DFB"/>
    <w:rsid w:val="00AC1E52"/>
    <w:rsid w:val="00AC20A2"/>
    <w:rsid w:val="00AC20C1"/>
    <w:rsid w:val="00AC2102"/>
    <w:rsid w:val="00AC21C1"/>
    <w:rsid w:val="00AC234A"/>
    <w:rsid w:val="00AC23BD"/>
    <w:rsid w:val="00AC25E1"/>
    <w:rsid w:val="00AC276D"/>
    <w:rsid w:val="00AC2B51"/>
    <w:rsid w:val="00AC2BD2"/>
    <w:rsid w:val="00AC2BE7"/>
    <w:rsid w:val="00AC2C97"/>
    <w:rsid w:val="00AC2D32"/>
    <w:rsid w:val="00AC2F40"/>
    <w:rsid w:val="00AC314A"/>
    <w:rsid w:val="00AC3241"/>
    <w:rsid w:val="00AC32B1"/>
    <w:rsid w:val="00AC32BC"/>
    <w:rsid w:val="00AC3436"/>
    <w:rsid w:val="00AC34AE"/>
    <w:rsid w:val="00AC35D1"/>
    <w:rsid w:val="00AC3789"/>
    <w:rsid w:val="00AC3D1C"/>
    <w:rsid w:val="00AC439B"/>
    <w:rsid w:val="00AC4558"/>
    <w:rsid w:val="00AC4778"/>
    <w:rsid w:val="00AC47D2"/>
    <w:rsid w:val="00AC4CB4"/>
    <w:rsid w:val="00AC4D4B"/>
    <w:rsid w:val="00AC52F2"/>
    <w:rsid w:val="00AC550E"/>
    <w:rsid w:val="00AC55BB"/>
    <w:rsid w:val="00AC55E0"/>
    <w:rsid w:val="00AC579B"/>
    <w:rsid w:val="00AC58EA"/>
    <w:rsid w:val="00AC5A5D"/>
    <w:rsid w:val="00AC5B7B"/>
    <w:rsid w:val="00AC5C39"/>
    <w:rsid w:val="00AC5C79"/>
    <w:rsid w:val="00AC5C8E"/>
    <w:rsid w:val="00AC5EB1"/>
    <w:rsid w:val="00AC5FFA"/>
    <w:rsid w:val="00AC60BA"/>
    <w:rsid w:val="00AC63D0"/>
    <w:rsid w:val="00AC682C"/>
    <w:rsid w:val="00AC6AE8"/>
    <w:rsid w:val="00AC6B02"/>
    <w:rsid w:val="00AC6B6C"/>
    <w:rsid w:val="00AC6D34"/>
    <w:rsid w:val="00AC71B6"/>
    <w:rsid w:val="00AC75E6"/>
    <w:rsid w:val="00AC7798"/>
    <w:rsid w:val="00AC7919"/>
    <w:rsid w:val="00AC7A7F"/>
    <w:rsid w:val="00AC7B3D"/>
    <w:rsid w:val="00AC7CE1"/>
    <w:rsid w:val="00AC7E87"/>
    <w:rsid w:val="00AD042C"/>
    <w:rsid w:val="00AD05B1"/>
    <w:rsid w:val="00AD0645"/>
    <w:rsid w:val="00AD07DF"/>
    <w:rsid w:val="00AD08D0"/>
    <w:rsid w:val="00AD08F5"/>
    <w:rsid w:val="00AD090C"/>
    <w:rsid w:val="00AD0BBE"/>
    <w:rsid w:val="00AD0C3C"/>
    <w:rsid w:val="00AD0D60"/>
    <w:rsid w:val="00AD1225"/>
    <w:rsid w:val="00AD13C4"/>
    <w:rsid w:val="00AD1752"/>
    <w:rsid w:val="00AD1858"/>
    <w:rsid w:val="00AD19D3"/>
    <w:rsid w:val="00AD1A6B"/>
    <w:rsid w:val="00AD1DD9"/>
    <w:rsid w:val="00AD1F81"/>
    <w:rsid w:val="00AD1F9B"/>
    <w:rsid w:val="00AD201C"/>
    <w:rsid w:val="00AD212C"/>
    <w:rsid w:val="00AD2253"/>
    <w:rsid w:val="00AD24AA"/>
    <w:rsid w:val="00AD26A7"/>
    <w:rsid w:val="00AD2A1D"/>
    <w:rsid w:val="00AD2BC4"/>
    <w:rsid w:val="00AD2DD1"/>
    <w:rsid w:val="00AD2DFD"/>
    <w:rsid w:val="00AD2E80"/>
    <w:rsid w:val="00AD3083"/>
    <w:rsid w:val="00AD330D"/>
    <w:rsid w:val="00AD3455"/>
    <w:rsid w:val="00AD3B39"/>
    <w:rsid w:val="00AD3F33"/>
    <w:rsid w:val="00AD3F81"/>
    <w:rsid w:val="00AD4012"/>
    <w:rsid w:val="00AD419E"/>
    <w:rsid w:val="00AD4479"/>
    <w:rsid w:val="00AD4594"/>
    <w:rsid w:val="00AD45C6"/>
    <w:rsid w:val="00AD4AE1"/>
    <w:rsid w:val="00AD4BA0"/>
    <w:rsid w:val="00AD4D2B"/>
    <w:rsid w:val="00AD4E96"/>
    <w:rsid w:val="00AD4EAF"/>
    <w:rsid w:val="00AD4FC7"/>
    <w:rsid w:val="00AD4FD9"/>
    <w:rsid w:val="00AD510A"/>
    <w:rsid w:val="00AD51E7"/>
    <w:rsid w:val="00AD54D7"/>
    <w:rsid w:val="00AD569B"/>
    <w:rsid w:val="00AD585E"/>
    <w:rsid w:val="00AD5863"/>
    <w:rsid w:val="00AD58A2"/>
    <w:rsid w:val="00AD5B5E"/>
    <w:rsid w:val="00AD5DD3"/>
    <w:rsid w:val="00AD5F2D"/>
    <w:rsid w:val="00AD6117"/>
    <w:rsid w:val="00AD611E"/>
    <w:rsid w:val="00AD612B"/>
    <w:rsid w:val="00AD6260"/>
    <w:rsid w:val="00AD62FD"/>
    <w:rsid w:val="00AD656D"/>
    <w:rsid w:val="00AD67A4"/>
    <w:rsid w:val="00AD67B0"/>
    <w:rsid w:val="00AD687C"/>
    <w:rsid w:val="00AD68DD"/>
    <w:rsid w:val="00AD6A6A"/>
    <w:rsid w:val="00AD6BA3"/>
    <w:rsid w:val="00AD6BC2"/>
    <w:rsid w:val="00AD6C46"/>
    <w:rsid w:val="00AD6E10"/>
    <w:rsid w:val="00AD6F81"/>
    <w:rsid w:val="00AD6FD6"/>
    <w:rsid w:val="00AD7071"/>
    <w:rsid w:val="00AD7122"/>
    <w:rsid w:val="00AD732E"/>
    <w:rsid w:val="00AD73EA"/>
    <w:rsid w:val="00AD747A"/>
    <w:rsid w:val="00AD756F"/>
    <w:rsid w:val="00AD7725"/>
    <w:rsid w:val="00AD7983"/>
    <w:rsid w:val="00AD7A47"/>
    <w:rsid w:val="00AD7A74"/>
    <w:rsid w:val="00AD7BD3"/>
    <w:rsid w:val="00AD7C3B"/>
    <w:rsid w:val="00AD7CB0"/>
    <w:rsid w:val="00AD7CE1"/>
    <w:rsid w:val="00AD7D5E"/>
    <w:rsid w:val="00AD7E65"/>
    <w:rsid w:val="00AE008E"/>
    <w:rsid w:val="00AE0425"/>
    <w:rsid w:val="00AE049B"/>
    <w:rsid w:val="00AE06C9"/>
    <w:rsid w:val="00AE079A"/>
    <w:rsid w:val="00AE0A4A"/>
    <w:rsid w:val="00AE0A64"/>
    <w:rsid w:val="00AE0C70"/>
    <w:rsid w:val="00AE0E38"/>
    <w:rsid w:val="00AE0ECA"/>
    <w:rsid w:val="00AE10C3"/>
    <w:rsid w:val="00AE1121"/>
    <w:rsid w:val="00AE1321"/>
    <w:rsid w:val="00AE13D0"/>
    <w:rsid w:val="00AE142D"/>
    <w:rsid w:val="00AE1460"/>
    <w:rsid w:val="00AE14EF"/>
    <w:rsid w:val="00AE16EF"/>
    <w:rsid w:val="00AE1803"/>
    <w:rsid w:val="00AE1A08"/>
    <w:rsid w:val="00AE1A11"/>
    <w:rsid w:val="00AE1A5C"/>
    <w:rsid w:val="00AE21E7"/>
    <w:rsid w:val="00AE24EE"/>
    <w:rsid w:val="00AE2577"/>
    <w:rsid w:val="00AE2586"/>
    <w:rsid w:val="00AE270E"/>
    <w:rsid w:val="00AE2934"/>
    <w:rsid w:val="00AE297B"/>
    <w:rsid w:val="00AE2AE1"/>
    <w:rsid w:val="00AE300E"/>
    <w:rsid w:val="00AE3362"/>
    <w:rsid w:val="00AE35A8"/>
    <w:rsid w:val="00AE3683"/>
    <w:rsid w:val="00AE36E6"/>
    <w:rsid w:val="00AE3A58"/>
    <w:rsid w:val="00AE3C07"/>
    <w:rsid w:val="00AE3C1F"/>
    <w:rsid w:val="00AE3D7B"/>
    <w:rsid w:val="00AE3E4D"/>
    <w:rsid w:val="00AE4186"/>
    <w:rsid w:val="00AE4320"/>
    <w:rsid w:val="00AE44CD"/>
    <w:rsid w:val="00AE45EA"/>
    <w:rsid w:val="00AE482B"/>
    <w:rsid w:val="00AE48F2"/>
    <w:rsid w:val="00AE4DBD"/>
    <w:rsid w:val="00AE5355"/>
    <w:rsid w:val="00AE539F"/>
    <w:rsid w:val="00AE5511"/>
    <w:rsid w:val="00AE5585"/>
    <w:rsid w:val="00AE58D5"/>
    <w:rsid w:val="00AE5906"/>
    <w:rsid w:val="00AE5A18"/>
    <w:rsid w:val="00AE5E1B"/>
    <w:rsid w:val="00AE5EF5"/>
    <w:rsid w:val="00AE5F7B"/>
    <w:rsid w:val="00AE60DA"/>
    <w:rsid w:val="00AE611A"/>
    <w:rsid w:val="00AE6686"/>
    <w:rsid w:val="00AE66A7"/>
    <w:rsid w:val="00AE68F8"/>
    <w:rsid w:val="00AE68FD"/>
    <w:rsid w:val="00AE6C90"/>
    <w:rsid w:val="00AE6CB3"/>
    <w:rsid w:val="00AE6E90"/>
    <w:rsid w:val="00AE6F8A"/>
    <w:rsid w:val="00AE720C"/>
    <w:rsid w:val="00AE7318"/>
    <w:rsid w:val="00AE7385"/>
    <w:rsid w:val="00AE7396"/>
    <w:rsid w:val="00AE7728"/>
    <w:rsid w:val="00AE797E"/>
    <w:rsid w:val="00AE79F7"/>
    <w:rsid w:val="00AE7A39"/>
    <w:rsid w:val="00AE7C41"/>
    <w:rsid w:val="00AE7C43"/>
    <w:rsid w:val="00AE7D40"/>
    <w:rsid w:val="00AE7D76"/>
    <w:rsid w:val="00AE7DC4"/>
    <w:rsid w:val="00AE7E91"/>
    <w:rsid w:val="00AE7EA8"/>
    <w:rsid w:val="00AE7F2F"/>
    <w:rsid w:val="00AF0266"/>
    <w:rsid w:val="00AF02D1"/>
    <w:rsid w:val="00AF03CF"/>
    <w:rsid w:val="00AF06D5"/>
    <w:rsid w:val="00AF082B"/>
    <w:rsid w:val="00AF0920"/>
    <w:rsid w:val="00AF0B11"/>
    <w:rsid w:val="00AF0BC1"/>
    <w:rsid w:val="00AF0EF6"/>
    <w:rsid w:val="00AF108D"/>
    <w:rsid w:val="00AF13AE"/>
    <w:rsid w:val="00AF14F6"/>
    <w:rsid w:val="00AF170E"/>
    <w:rsid w:val="00AF186C"/>
    <w:rsid w:val="00AF19B4"/>
    <w:rsid w:val="00AF1A0E"/>
    <w:rsid w:val="00AF1B91"/>
    <w:rsid w:val="00AF1CE7"/>
    <w:rsid w:val="00AF1DD6"/>
    <w:rsid w:val="00AF1EB5"/>
    <w:rsid w:val="00AF1F54"/>
    <w:rsid w:val="00AF204C"/>
    <w:rsid w:val="00AF212D"/>
    <w:rsid w:val="00AF2157"/>
    <w:rsid w:val="00AF226D"/>
    <w:rsid w:val="00AF22A0"/>
    <w:rsid w:val="00AF23A2"/>
    <w:rsid w:val="00AF2591"/>
    <w:rsid w:val="00AF2655"/>
    <w:rsid w:val="00AF2670"/>
    <w:rsid w:val="00AF26F6"/>
    <w:rsid w:val="00AF27B4"/>
    <w:rsid w:val="00AF2B3D"/>
    <w:rsid w:val="00AF2B7E"/>
    <w:rsid w:val="00AF2CCC"/>
    <w:rsid w:val="00AF2FE7"/>
    <w:rsid w:val="00AF30E5"/>
    <w:rsid w:val="00AF3258"/>
    <w:rsid w:val="00AF335E"/>
    <w:rsid w:val="00AF35B7"/>
    <w:rsid w:val="00AF36F0"/>
    <w:rsid w:val="00AF3AE9"/>
    <w:rsid w:val="00AF3B84"/>
    <w:rsid w:val="00AF3C55"/>
    <w:rsid w:val="00AF3DA2"/>
    <w:rsid w:val="00AF41ED"/>
    <w:rsid w:val="00AF422B"/>
    <w:rsid w:val="00AF4542"/>
    <w:rsid w:val="00AF4821"/>
    <w:rsid w:val="00AF48F2"/>
    <w:rsid w:val="00AF4985"/>
    <w:rsid w:val="00AF49E2"/>
    <w:rsid w:val="00AF49E5"/>
    <w:rsid w:val="00AF4ABB"/>
    <w:rsid w:val="00AF4BD3"/>
    <w:rsid w:val="00AF4BF3"/>
    <w:rsid w:val="00AF50AA"/>
    <w:rsid w:val="00AF5386"/>
    <w:rsid w:val="00AF549A"/>
    <w:rsid w:val="00AF55C4"/>
    <w:rsid w:val="00AF5620"/>
    <w:rsid w:val="00AF575A"/>
    <w:rsid w:val="00AF57FC"/>
    <w:rsid w:val="00AF5918"/>
    <w:rsid w:val="00AF5A7E"/>
    <w:rsid w:val="00AF5B00"/>
    <w:rsid w:val="00AF5C95"/>
    <w:rsid w:val="00AF5F43"/>
    <w:rsid w:val="00AF6161"/>
    <w:rsid w:val="00AF6430"/>
    <w:rsid w:val="00AF643C"/>
    <w:rsid w:val="00AF6854"/>
    <w:rsid w:val="00AF6C3C"/>
    <w:rsid w:val="00AF6C76"/>
    <w:rsid w:val="00AF6CF5"/>
    <w:rsid w:val="00AF6D7B"/>
    <w:rsid w:val="00AF71DF"/>
    <w:rsid w:val="00AF72D8"/>
    <w:rsid w:val="00AF7337"/>
    <w:rsid w:val="00AF7414"/>
    <w:rsid w:val="00AF755D"/>
    <w:rsid w:val="00AF7B09"/>
    <w:rsid w:val="00AF7B74"/>
    <w:rsid w:val="00B0003F"/>
    <w:rsid w:val="00B00557"/>
    <w:rsid w:val="00B00785"/>
    <w:rsid w:val="00B00A63"/>
    <w:rsid w:val="00B00B8A"/>
    <w:rsid w:val="00B00DC3"/>
    <w:rsid w:val="00B00E0B"/>
    <w:rsid w:val="00B00F27"/>
    <w:rsid w:val="00B015A7"/>
    <w:rsid w:val="00B015F3"/>
    <w:rsid w:val="00B01634"/>
    <w:rsid w:val="00B01642"/>
    <w:rsid w:val="00B01655"/>
    <w:rsid w:val="00B01799"/>
    <w:rsid w:val="00B01A89"/>
    <w:rsid w:val="00B01B93"/>
    <w:rsid w:val="00B01E4F"/>
    <w:rsid w:val="00B01E70"/>
    <w:rsid w:val="00B01EFE"/>
    <w:rsid w:val="00B021D9"/>
    <w:rsid w:val="00B0245B"/>
    <w:rsid w:val="00B025DB"/>
    <w:rsid w:val="00B02626"/>
    <w:rsid w:val="00B02706"/>
    <w:rsid w:val="00B02771"/>
    <w:rsid w:val="00B027BF"/>
    <w:rsid w:val="00B02A63"/>
    <w:rsid w:val="00B02C6C"/>
    <w:rsid w:val="00B03447"/>
    <w:rsid w:val="00B0344A"/>
    <w:rsid w:val="00B035B9"/>
    <w:rsid w:val="00B03625"/>
    <w:rsid w:val="00B03891"/>
    <w:rsid w:val="00B039CC"/>
    <w:rsid w:val="00B03C4A"/>
    <w:rsid w:val="00B03D18"/>
    <w:rsid w:val="00B03E04"/>
    <w:rsid w:val="00B03EF1"/>
    <w:rsid w:val="00B040AE"/>
    <w:rsid w:val="00B0423D"/>
    <w:rsid w:val="00B0428E"/>
    <w:rsid w:val="00B04299"/>
    <w:rsid w:val="00B044E5"/>
    <w:rsid w:val="00B0474C"/>
    <w:rsid w:val="00B04A77"/>
    <w:rsid w:val="00B04AE9"/>
    <w:rsid w:val="00B04C54"/>
    <w:rsid w:val="00B04D3C"/>
    <w:rsid w:val="00B04F0C"/>
    <w:rsid w:val="00B04F3C"/>
    <w:rsid w:val="00B052AD"/>
    <w:rsid w:val="00B053C6"/>
    <w:rsid w:val="00B056CA"/>
    <w:rsid w:val="00B057B8"/>
    <w:rsid w:val="00B05816"/>
    <w:rsid w:val="00B0591F"/>
    <w:rsid w:val="00B05AF0"/>
    <w:rsid w:val="00B05B57"/>
    <w:rsid w:val="00B05C8C"/>
    <w:rsid w:val="00B05CA6"/>
    <w:rsid w:val="00B05F1B"/>
    <w:rsid w:val="00B05FF9"/>
    <w:rsid w:val="00B061CF"/>
    <w:rsid w:val="00B0627D"/>
    <w:rsid w:val="00B06360"/>
    <w:rsid w:val="00B06546"/>
    <w:rsid w:val="00B06565"/>
    <w:rsid w:val="00B06805"/>
    <w:rsid w:val="00B068A2"/>
    <w:rsid w:val="00B06AC4"/>
    <w:rsid w:val="00B06C44"/>
    <w:rsid w:val="00B06CC5"/>
    <w:rsid w:val="00B06D0C"/>
    <w:rsid w:val="00B06E43"/>
    <w:rsid w:val="00B06F3E"/>
    <w:rsid w:val="00B06F44"/>
    <w:rsid w:val="00B07496"/>
    <w:rsid w:val="00B079F8"/>
    <w:rsid w:val="00B07BDF"/>
    <w:rsid w:val="00B07C23"/>
    <w:rsid w:val="00B07C76"/>
    <w:rsid w:val="00B07C88"/>
    <w:rsid w:val="00B07E50"/>
    <w:rsid w:val="00B1025C"/>
    <w:rsid w:val="00B104A7"/>
    <w:rsid w:val="00B1058E"/>
    <w:rsid w:val="00B10687"/>
    <w:rsid w:val="00B10707"/>
    <w:rsid w:val="00B107A3"/>
    <w:rsid w:val="00B108F6"/>
    <w:rsid w:val="00B10A7D"/>
    <w:rsid w:val="00B10CBF"/>
    <w:rsid w:val="00B10E2A"/>
    <w:rsid w:val="00B110F0"/>
    <w:rsid w:val="00B112D7"/>
    <w:rsid w:val="00B1166E"/>
    <w:rsid w:val="00B1178F"/>
    <w:rsid w:val="00B11793"/>
    <w:rsid w:val="00B119C1"/>
    <w:rsid w:val="00B11A8C"/>
    <w:rsid w:val="00B11C7D"/>
    <w:rsid w:val="00B11D70"/>
    <w:rsid w:val="00B11E35"/>
    <w:rsid w:val="00B1201D"/>
    <w:rsid w:val="00B12433"/>
    <w:rsid w:val="00B124EF"/>
    <w:rsid w:val="00B12A15"/>
    <w:rsid w:val="00B12A4D"/>
    <w:rsid w:val="00B13760"/>
    <w:rsid w:val="00B138BF"/>
    <w:rsid w:val="00B13B46"/>
    <w:rsid w:val="00B13B6B"/>
    <w:rsid w:val="00B13FA3"/>
    <w:rsid w:val="00B142FB"/>
    <w:rsid w:val="00B1439E"/>
    <w:rsid w:val="00B14501"/>
    <w:rsid w:val="00B14549"/>
    <w:rsid w:val="00B146DD"/>
    <w:rsid w:val="00B14855"/>
    <w:rsid w:val="00B14E9A"/>
    <w:rsid w:val="00B1515E"/>
    <w:rsid w:val="00B151E5"/>
    <w:rsid w:val="00B1530A"/>
    <w:rsid w:val="00B15369"/>
    <w:rsid w:val="00B15599"/>
    <w:rsid w:val="00B1569C"/>
    <w:rsid w:val="00B15889"/>
    <w:rsid w:val="00B158BA"/>
    <w:rsid w:val="00B159F7"/>
    <w:rsid w:val="00B15A25"/>
    <w:rsid w:val="00B15C8F"/>
    <w:rsid w:val="00B15D1E"/>
    <w:rsid w:val="00B165BE"/>
    <w:rsid w:val="00B165DF"/>
    <w:rsid w:val="00B1675C"/>
    <w:rsid w:val="00B16980"/>
    <w:rsid w:val="00B16AA9"/>
    <w:rsid w:val="00B16AD6"/>
    <w:rsid w:val="00B16B7B"/>
    <w:rsid w:val="00B16BA5"/>
    <w:rsid w:val="00B171BC"/>
    <w:rsid w:val="00B172BE"/>
    <w:rsid w:val="00B1732F"/>
    <w:rsid w:val="00B17642"/>
    <w:rsid w:val="00B17752"/>
    <w:rsid w:val="00B17791"/>
    <w:rsid w:val="00B177D7"/>
    <w:rsid w:val="00B17958"/>
    <w:rsid w:val="00B17ACE"/>
    <w:rsid w:val="00B17C20"/>
    <w:rsid w:val="00B17EDD"/>
    <w:rsid w:val="00B20455"/>
    <w:rsid w:val="00B204B4"/>
    <w:rsid w:val="00B2068A"/>
    <w:rsid w:val="00B20785"/>
    <w:rsid w:val="00B207F4"/>
    <w:rsid w:val="00B20911"/>
    <w:rsid w:val="00B20C71"/>
    <w:rsid w:val="00B20CCC"/>
    <w:rsid w:val="00B20CEB"/>
    <w:rsid w:val="00B210F1"/>
    <w:rsid w:val="00B210F5"/>
    <w:rsid w:val="00B211E6"/>
    <w:rsid w:val="00B212AD"/>
    <w:rsid w:val="00B21310"/>
    <w:rsid w:val="00B21543"/>
    <w:rsid w:val="00B21696"/>
    <w:rsid w:val="00B2180A"/>
    <w:rsid w:val="00B218E1"/>
    <w:rsid w:val="00B21BA3"/>
    <w:rsid w:val="00B21F56"/>
    <w:rsid w:val="00B220FA"/>
    <w:rsid w:val="00B221F4"/>
    <w:rsid w:val="00B2223D"/>
    <w:rsid w:val="00B22374"/>
    <w:rsid w:val="00B224EB"/>
    <w:rsid w:val="00B229BE"/>
    <w:rsid w:val="00B22A77"/>
    <w:rsid w:val="00B22B03"/>
    <w:rsid w:val="00B22D17"/>
    <w:rsid w:val="00B22D86"/>
    <w:rsid w:val="00B22DAE"/>
    <w:rsid w:val="00B22ED8"/>
    <w:rsid w:val="00B230D0"/>
    <w:rsid w:val="00B23195"/>
    <w:rsid w:val="00B23402"/>
    <w:rsid w:val="00B23502"/>
    <w:rsid w:val="00B2369E"/>
    <w:rsid w:val="00B23816"/>
    <w:rsid w:val="00B2384A"/>
    <w:rsid w:val="00B23A06"/>
    <w:rsid w:val="00B23A1C"/>
    <w:rsid w:val="00B23B51"/>
    <w:rsid w:val="00B23BA4"/>
    <w:rsid w:val="00B23C7A"/>
    <w:rsid w:val="00B23EBC"/>
    <w:rsid w:val="00B23EC8"/>
    <w:rsid w:val="00B24044"/>
    <w:rsid w:val="00B24227"/>
    <w:rsid w:val="00B2437F"/>
    <w:rsid w:val="00B2444C"/>
    <w:rsid w:val="00B2450E"/>
    <w:rsid w:val="00B24525"/>
    <w:rsid w:val="00B24624"/>
    <w:rsid w:val="00B24699"/>
    <w:rsid w:val="00B246A3"/>
    <w:rsid w:val="00B2478E"/>
    <w:rsid w:val="00B24926"/>
    <w:rsid w:val="00B2493D"/>
    <w:rsid w:val="00B249A3"/>
    <w:rsid w:val="00B24A04"/>
    <w:rsid w:val="00B24B3A"/>
    <w:rsid w:val="00B24D0A"/>
    <w:rsid w:val="00B24E49"/>
    <w:rsid w:val="00B24F96"/>
    <w:rsid w:val="00B2517B"/>
    <w:rsid w:val="00B253FC"/>
    <w:rsid w:val="00B2541C"/>
    <w:rsid w:val="00B25497"/>
    <w:rsid w:val="00B256DE"/>
    <w:rsid w:val="00B2574A"/>
    <w:rsid w:val="00B25965"/>
    <w:rsid w:val="00B25A90"/>
    <w:rsid w:val="00B25C63"/>
    <w:rsid w:val="00B25D64"/>
    <w:rsid w:val="00B25DC5"/>
    <w:rsid w:val="00B25F26"/>
    <w:rsid w:val="00B26034"/>
    <w:rsid w:val="00B26368"/>
    <w:rsid w:val="00B263E3"/>
    <w:rsid w:val="00B264E8"/>
    <w:rsid w:val="00B267F5"/>
    <w:rsid w:val="00B2688D"/>
    <w:rsid w:val="00B26920"/>
    <w:rsid w:val="00B269EB"/>
    <w:rsid w:val="00B2747F"/>
    <w:rsid w:val="00B276E4"/>
    <w:rsid w:val="00B277CF"/>
    <w:rsid w:val="00B279EE"/>
    <w:rsid w:val="00B27A9E"/>
    <w:rsid w:val="00B27B88"/>
    <w:rsid w:val="00B27D96"/>
    <w:rsid w:val="00B27DBB"/>
    <w:rsid w:val="00B27F96"/>
    <w:rsid w:val="00B30066"/>
    <w:rsid w:val="00B3044F"/>
    <w:rsid w:val="00B30558"/>
    <w:rsid w:val="00B305AD"/>
    <w:rsid w:val="00B30612"/>
    <w:rsid w:val="00B306FC"/>
    <w:rsid w:val="00B3086C"/>
    <w:rsid w:val="00B30A74"/>
    <w:rsid w:val="00B30C7F"/>
    <w:rsid w:val="00B30EC3"/>
    <w:rsid w:val="00B30F83"/>
    <w:rsid w:val="00B312C2"/>
    <w:rsid w:val="00B3133E"/>
    <w:rsid w:val="00B31689"/>
    <w:rsid w:val="00B316B9"/>
    <w:rsid w:val="00B317D9"/>
    <w:rsid w:val="00B31978"/>
    <w:rsid w:val="00B319B8"/>
    <w:rsid w:val="00B31A7E"/>
    <w:rsid w:val="00B31AF6"/>
    <w:rsid w:val="00B31B3F"/>
    <w:rsid w:val="00B31B71"/>
    <w:rsid w:val="00B31E8E"/>
    <w:rsid w:val="00B31EAC"/>
    <w:rsid w:val="00B31F8F"/>
    <w:rsid w:val="00B32080"/>
    <w:rsid w:val="00B3228D"/>
    <w:rsid w:val="00B323AC"/>
    <w:rsid w:val="00B323E0"/>
    <w:rsid w:val="00B323F2"/>
    <w:rsid w:val="00B3246E"/>
    <w:rsid w:val="00B32584"/>
    <w:rsid w:val="00B326C5"/>
    <w:rsid w:val="00B32E91"/>
    <w:rsid w:val="00B330F8"/>
    <w:rsid w:val="00B3317D"/>
    <w:rsid w:val="00B33738"/>
    <w:rsid w:val="00B33758"/>
    <w:rsid w:val="00B337AC"/>
    <w:rsid w:val="00B3388C"/>
    <w:rsid w:val="00B338AB"/>
    <w:rsid w:val="00B33923"/>
    <w:rsid w:val="00B33C17"/>
    <w:rsid w:val="00B33C45"/>
    <w:rsid w:val="00B33C7E"/>
    <w:rsid w:val="00B33E82"/>
    <w:rsid w:val="00B33F7B"/>
    <w:rsid w:val="00B33FB9"/>
    <w:rsid w:val="00B34039"/>
    <w:rsid w:val="00B34062"/>
    <w:rsid w:val="00B340F2"/>
    <w:rsid w:val="00B343D5"/>
    <w:rsid w:val="00B3457F"/>
    <w:rsid w:val="00B345DE"/>
    <w:rsid w:val="00B3473F"/>
    <w:rsid w:val="00B34796"/>
    <w:rsid w:val="00B34C1F"/>
    <w:rsid w:val="00B34CAD"/>
    <w:rsid w:val="00B34CF2"/>
    <w:rsid w:val="00B34FAD"/>
    <w:rsid w:val="00B35053"/>
    <w:rsid w:val="00B3505A"/>
    <w:rsid w:val="00B353CF"/>
    <w:rsid w:val="00B356C1"/>
    <w:rsid w:val="00B35908"/>
    <w:rsid w:val="00B359A0"/>
    <w:rsid w:val="00B35A27"/>
    <w:rsid w:val="00B35A51"/>
    <w:rsid w:val="00B35A53"/>
    <w:rsid w:val="00B35CAC"/>
    <w:rsid w:val="00B35D36"/>
    <w:rsid w:val="00B3609B"/>
    <w:rsid w:val="00B36168"/>
    <w:rsid w:val="00B362EF"/>
    <w:rsid w:val="00B36583"/>
    <w:rsid w:val="00B36683"/>
    <w:rsid w:val="00B3668D"/>
    <w:rsid w:val="00B36805"/>
    <w:rsid w:val="00B3690D"/>
    <w:rsid w:val="00B3693E"/>
    <w:rsid w:val="00B36D0D"/>
    <w:rsid w:val="00B36D3B"/>
    <w:rsid w:val="00B36F88"/>
    <w:rsid w:val="00B37200"/>
    <w:rsid w:val="00B375EA"/>
    <w:rsid w:val="00B376F3"/>
    <w:rsid w:val="00B378F0"/>
    <w:rsid w:val="00B379B4"/>
    <w:rsid w:val="00B37C29"/>
    <w:rsid w:val="00B4038D"/>
    <w:rsid w:val="00B4046B"/>
    <w:rsid w:val="00B4047C"/>
    <w:rsid w:val="00B40495"/>
    <w:rsid w:val="00B404FB"/>
    <w:rsid w:val="00B40503"/>
    <w:rsid w:val="00B40792"/>
    <w:rsid w:val="00B40804"/>
    <w:rsid w:val="00B40816"/>
    <w:rsid w:val="00B408A1"/>
    <w:rsid w:val="00B4095A"/>
    <w:rsid w:val="00B40E0C"/>
    <w:rsid w:val="00B40EF4"/>
    <w:rsid w:val="00B41096"/>
    <w:rsid w:val="00B410E7"/>
    <w:rsid w:val="00B41134"/>
    <w:rsid w:val="00B4135E"/>
    <w:rsid w:val="00B41490"/>
    <w:rsid w:val="00B41499"/>
    <w:rsid w:val="00B415B1"/>
    <w:rsid w:val="00B41E28"/>
    <w:rsid w:val="00B41E8B"/>
    <w:rsid w:val="00B41EC4"/>
    <w:rsid w:val="00B41FDA"/>
    <w:rsid w:val="00B41FFD"/>
    <w:rsid w:val="00B42254"/>
    <w:rsid w:val="00B42898"/>
    <w:rsid w:val="00B429B1"/>
    <w:rsid w:val="00B42ACE"/>
    <w:rsid w:val="00B42B54"/>
    <w:rsid w:val="00B42F0E"/>
    <w:rsid w:val="00B431C4"/>
    <w:rsid w:val="00B43417"/>
    <w:rsid w:val="00B434A4"/>
    <w:rsid w:val="00B436A4"/>
    <w:rsid w:val="00B4387D"/>
    <w:rsid w:val="00B438DF"/>
    <w:rsid w:val="00B43910"/>
    <w:rsid w:val="00B43953"/>
    <w:rsid w:val="00B439AE"/>
    <w:rsid w:val="00B43A17"/>
    <w:rsid w:val="00B43A71"/>
    <w:rsid w:val="00B43ABC"/>
    <w:rsid w:val="00B43AD6"/>
    <w:rsid w:val="00B43CA0"/>
    <w:rsid w:val="00B43DB2"/>
    <w:rsid w:val="00B43FD2"/>
    <w:rsid w:val="00B4438F"/>
    <w:rsid w:val="00B443A4"/>
    <w:rsid w:val="00B443C7"/>
    <w:rsid w:val="00B444E7"/>
    <w:rsid w:val="00B447FF"/>
    <w:rsid w:val="00B449AA"/>
    <w:rsid w:val="00B44A6A"/>
    <w:rsid w:val="00B44EE5"/>
    <w:rsid w:val="00B4502D"/>
    <w:rsid w:val="00B455C1"/>
    <w:rsid w:val="00B4584A"/>
    <w:rsid w:val="00B45A95"/>
    <w:rsid w:val="00B45BC0"/>
    <w:rsid w:val="00B45F64"/>
    <w:rsid w:val="00B45FB8"/>
    <w:rsid w:val="00B46488"/>
    <w:rsid w:val="00B464A1"/>
    <w:rsid w:val="00B46E1C"/>
    <w:rsid w:val="00B46FA5"/>
    <w:rsid w:val="00B46FE6"/>
    <w:rsid w:val="00B472FD"/>
    <w:rsid w:val="00B473D6"/>
    <w:rsid w:val="00B47444"/>
    <w:rsid w:val="00B47584"/>
    <w:rsid w:val="00B47884"/>
    <w:rsid w:val="00B47962"/>
    <w:rsid w:val="00B47A6A"/>
    <w:rsid w:val="00B47B0C"/>
    <w:rsid w:val="00B501F6"/>
    <w:rsid w:val="00B50615"/>
    <w:rsid w:val="00B50814"/>
    <w:rsid w:val="00B50BB7"/>
    <w:rsid w:val="00B50D86"/>
    <w:rsid w:val="00B50E85"/>
    <w:rsid w:val="00B510F3"/>
    <w:rsid w:val="00B514C9"/>
    <w:rsid w:val="00B51558"/>
    <w:rsid w:val="00B51820"/>
    <w:rsid w:val="00B51920"/>
    <w:rsid w:val="00B51C49"/>
    <w:rsid w:val="00B51D81"/>
    <w:rsid w:val="00B51DC4"/>
    <w:rsid w:val="00B51DF7"/>
    <w:rsid w:val="00B51DF8"/>
    <w:rsid w:val="00B51E83"/>
    <w:rsid w:val="00B51FCF"/>
    <w:rsid w:val="00B525CD"/>
    <w:rsid w:val="00B52667"/>
    <w:rsid w:val="00B527F1"/>
    <w:rsid w:val="00B52A46"/>
    <w:rsid w:val="00B52AC5"/>
    <w:rsid w:val="00B52AD5"/>
    <w:rsid w:val="00B52B9A"/>
    <w:rsid w:val="00B52BB3"/>
    <w:rsid w:val="00B52C9C"/>
    <w:rsid w:val="00B52CDF"/>
    <w:rsid w:val="00B52D1A"/>
    <w:rsid w:val="00B52DEE"/>
    <w:rsid w:val="00B52E19"/>
    <w:rsid w:val="00B53058"/>
    <w:rsid w:val="00B532C8"/>
    <w:rsid w:val="00B533C1"/>
    <w:rsid w:val="00B539BC"/>
    <w:rsid w:val="00B53AB1"/>
    <w:rsid w:val="00B53B34"/>
    <w:rsid w:val="00B53B51"/>
    <w:rsid w:val="00B53C04"/>
    <w:rsid w:val="00B53C3C"/>
    <w:rsid w:val="00B53C59"/>
    <w:rsid w:val="00B53DBC"/>
    <w:rsid w:val="00B53E0B"/>
    <w:rsid w:val="00B53F71"/>
    <w:rsid w:val="00B53FB6"/>
    <w:rsid w:val="00B54261"/>
    <w:rsid w:val="00B54476"/>
    <w:rsid w:val="00B546CC"/>
    <w:rsid w:val="00B547D6"/>
    <w:rsid w:val="00B54E01"/>
    <w:rsid w:val="00B54F0F"/>
    <w:rsid w:val="00B54FE7"/>
    <w:rsid w:val="00B551FE"/>
    <w:rsid w:val="00B55267"/>
    <w:rsid w:val="00B554CF"/>
    <w:rsid w:val="00B5555C"/>
    <w:rsid w:val="00B5595B"/>
    <w:rsid w:val="00B55A3F"/>
    <w:rsid w:val="00B55ABC"/>
    <w:rsid w:val="00B55B7D"/>
    <w:rsid w:val="00B55BDB"/>
    <w:rsid w:val="00B55E29"/>
    <w:rsid w:val="00B55E35"/>
    <w:rsid w:val="00B56066"/>
    <w:rsid w:val="00B56506"/>
    <w:rsid w:val="00B568A6"/>
    <w:rsid w:val="00B5697D"/>
    <w:rsid w:val="00B56ABD"/>
    <w:rsid w:val="00B5715B"/>
    <w:rsid w:val="00B5716C"/>
    <w:rsid w:val="00B57216"/>
    <w:rsid w:val="00B5733F"/>
    <w:rsid w:val="00B5739A"/>
    <w:rsid w:val="00B57619"/>
    <w:rsid w:val="00B5763D"/>
    <w:rsid w:val="00B57700"/>
    <w:rsid w:val="00B57991"/>
    <w:rsid w:val="00B579CC"/>
    <w:rsid w:val="00B57A05"/>
    <w:rsid w:val="00B57A96"/>
    <w:rsid w:val="00B57BA3"/>
    <w:rsid w:val="00B57D7B"/>
    <w:rsid w:val="00B57DF5"/>
    <w:rsid w:val="00B57FA2"/>
    <w:rsid w:val="00B57FB8"/>
    <w:rsid w:val="00B6014C"/>
    <w:rsid w:val="00B60170"/>
    <w:rsid w:val="00B605E3"/>
    <w:rsid w:val="00B60C3C"/>
    <w:rsid w:val="00B60EB2"/>
    <w:rsid w:val="00B6101D"/>
    <w:rsid w:val="00B610EB"/>
    <w:rsid w:val="00B611BB"/>
    <w:rsid w:val="00B612B7"/>
    <w:rsid w:val="00B61508"/>
    <w:rsid w:val="00B6199A"/>
    <w:rsid w:val="00B61AE3"/>
    <w:rsid w:val="00B61C1C"/>
    <w:rsid w:val="00B61D8D"/>
    <w:rsid w:val="00B61DD1"/>
    <w:rsid w:val="00B62198"/>
    <w:rsid w:val="00B6229B"/>
    <w:rsid w:val="00B622B6"/>
    <w:rsid w:val="00B62693"/>
    <w:rsid w:val="00B62782"/>
    <w:rsid w:val="00B627F7"/>
    <w:rsid w:val="00B6284F"/>
    <w:rsid w:val="00B6296C"/>
    <w:rsid w:val="00B62C98"/>
    <w:rsid w:val="00B63440"/>
    <w:rsid w:val="00B63620"/>
    <w:rsid w:val="00B63758"/>
    <w:rsid w:val="00B63794"/>
    <w:rsid w:val="00B637EE"/>
    <w:rsid w:val="00B6389F"/>
    <w:rsid w:val="00B63979"/>
    <w:rsid w:val="00B639F2"/>
    <w:rsid w:val="00B63A84"/>
    <w:rsid w:val="00B63AE0"/>
    <w:rsid w:val="00B63BA4"/>
    <w:rsid w:val="00B63CC8"/>
    <w:rsid w:val="00B63CE8"/>
    <w:rsid w:val="00B63F1C"/>
    <w:rsid w:val="00B63F6C"/>
    <w:rsid w:val="00B63FBC"/>
    <w:rsid w:val="00B640C5"/>
    <w:rsid w:val="00B64114"/>
    <w:rsid w:val="00B64135"/>
    <w:rsid w:val="00B645BD"/>
    <w:rsid w:val="00B64CE8"/>
    <w:rsid w:val="00B64E57"/>
    <w:rsid w:val="00B64FD8"/>
    <w:rsid w:val="00B651AB"/>
    <w:rsid w:val="00B651F7"/>
    <w:rsid w:val="00B6536C"/>
    <w:rsid w:val="00B6548C"/>
    <w:rsid w:val="00B65542"/>
    <w:rsid w:val="00B65821"/>
    <w:rsid w:val="00B65ACA"/>
    <w:rsid w:val="00B660AF"/>
    <w:rsid w:val="00B66105"/>
    <w:rsid w:val="00B66310"/>
    <w:rsid w:val="00B6632E"/>
    <w:rsid w:val="00B6645D"/>
    <w:rsid w:val="00B67069"/>
    <w:rsid w:val="00B6719C"/>
    <w:rsid w:val="00B67235"/>
    <w:rsid w:val="00B6725A"/>
    <w:rsid w:val="00B675A7"/>
    <w:rsid w:val="00B675AA"/>
    <w:rsid w:val="00B675FA"/>
    <w:rsid w:val="00B67642"/>
    <w:rsid w:val="00B6782B"/>
    <w:rsid w:val="00B67A6B"/>
    <w:rsid w:val="00B67D8E"/>
    <w:rsid w:val="00B67DCA"/>
    <w:rsid w:val="00B67E42"/>
    <w:rsid w:val="00B67E64"/>
    <w:rsid w:val="00B67E65"/>
    <w:rsid w:val="00B700C9"/>
    <w:rsid w:val="00B70116"/>
    <w:rsid w:val="00B701ED"/>
    <w:rsid w:val="00B70263"/>
    <w:rsid w:val="00B70490"/>
    <w:rsid w:val="00B704E3"/>
    <w:rsid w:val="00B70746"/>
    <w:rsid w:val="00B7074F"/>
    <w:rsid w:val="00B708C2"/>
    <w:rsid w:val="00B709A1"/>
    <w:rsid w:val="00B70A89"/>
    <w:rsid w:val="00B70BF5"/>
    <w:rsid w:val="00B70F01"/>
    <w:rsid w:val="00B70F55"/>
    <w:rsid w:val="00B71044"/>
    <w:rsid w:val="00B710E5"/>
    <w:rsid w:val="00B7126E"/>
    <w:rsid w:val="00B7186D"/>
    <w:rsid w:val="00B71C00"/>
    <w:rsid w:val="00B71F54"/>
    <w:rsid w:val="00B721B2"/>
    <w:rsid w:val="00B7232C"/>
    <w:rsid w:val="00B72382"/>
    <w:rsid w:val="00B72941"/>
    <w:rsid w:val="00B72A76"/>
    <w:rsid w:val="00B72C16"/>
    <w:rsid w:val="00B72CB5"/>
    <w:rsid w:val="00B72D60"/>
    <w:rsid w:val="00B72F39"/>
    <w:rsid w:val="00B73020"/>
    <w:rsid w:val="00B73109"/>
    <w:rsid w:val="00B7323E"/>
    <w:rsid w:val="00B73244"/>
    <w:rsid w:val="00B73458"/>
    <w:rsid w:val="00B734B3"/>
    <w:rsid w:val="00B73835"/>
    <w:rsid w:val="00B73856"/>
    <w:rsid w:val="00B73B77"/>
    <w:rsid w:val="00B73EB8"/>
    <w:rsid w:val="00B7408F"/>
    <w:rsid w:val="00B740B9"/>
    <w:rsid w:val="00B740C2"/>
    <w:rsid w:val="00B7442A"/>
    <w:rsid w:val="00B7481A"/>
    <w:rsid w:val="00B7494A"/>
    <w:rsid w:val="00B74B93"/>
    <w:rsid w:val="00B74CD6"/>
    <w:rsid w:val="00B7563F"/>
    <w:rsid w:val="00B75703"/>
    <w:rsid w:val="00B757B9"/>
    <w:rsid w:val="00B7587C"/>
    <w:rsid w:val="00B75A6C"/>
    <w:rsid w:val="00B75AF0"/>
    <w:rsid w:val="00B75DE8"/>
    <w:rsid w:val="00B75DFF"/>
    <w:rsid w:val="00B75E8D"/>
    <w:rsid w:val="00B75EBD"/>
    <w:rsid w:val="00B75FDD"/>
    <w:rsid w:val="00B76254"/>
    <w:rsid w:val="00B762F4"/>
    <w:rsid w:val="00B763B3"/>
    <w:rsid w:val="00B765AF"/>
    <w:rsid w:val="00B7693A"/>
    <w:rsid w:val="00B7694E"/>
    <w:rsid w:val="00B769FE"/>
    <w:rsid w:val="00B76A8A"/>
    <w:rsid w:val="00B76BE3"/>
    <w:rsid w:val="00B76C17"/>
    <w:rsid w:val="00B76D68"/>
    <w:rsid w:val="00B76DAC"/>
    <w:rsid w:val="00B76E5C"/>
    <w:rsid w:val="00B76F4D"/>
    <w:rsid w:val="00B77167"/>
    <w:rsid w:val="00B77273"/>
    <w:rsid w:val="00B773B8"/>
    <w:rsid w:val="00B773BF"/>
    <w:rsid w:val="00B773C8"/>
    <w:rsid w:val="00B773CB"/>
    <w:rsid w:val="00B7761C"/>
    <w:rsid w:val="00B77726"/>
    <w:rsid w:val="00B779C4"/>
    <w:rsid w:val="00B77A1F"/>
    <w:rsid w:val="00B77AC0"/>
    <w:rsid w:val="00B77D30"/>
    <w:rsid w:val="00B77D9A"/>
    <w:rsid w:val="00B77F28"/>
    <w:rsid w:val="00B77F53"/>
    <w:rsid w:val="00B800C5"/>
    <w:rsid w:val="00B80270"/>
    <w:rsid w:val="00B803E2"/>
    <w:rsid w:val="00B804C1"/>
    <w:rsid w:val="00B806D0"/>
    <w:rsid w:val="00B807D2"/>
    <w:rsid w:val="00B80E25"/>
    <w:rsid w:val="00B80E83"/>
    <w:rsid w:val="00B81003"/>
    <w:rsid w:val="00B8116D"/>
    <w:rsid w:val="00B812E7"/>
    <w:rsid w:val="00B81335"/>
    <w:rsid w:val="00B819C1"/>
    <w:rsid w:val="00B81A06"/>
    <w:rsid w:val="00B81A84"/>
    <w:rsid w:val="00B81DFF"/>
    <w:rsid w:val="00B81E33"/>
    <w:rsid w:val="00B81F19"/>
    <w:rsid w:val="00B81F4B"/>
    <w:rsid w:val="00B81FDF"/>
    <w:rsid w:val="00B82104"/>
    <w:rsid w:val="00B821C8"/>
    <w:rsid w:val="00B82225"/>
    <w:rsid w:val="00B82252"/>
    <w:rsid w:val="00B822B5"/>
    <w:rsid w:val="00B82803"/>
    <w:rsid w:val="00B82849"/>
    <w:rsid w:val="00B828AE"/>
    <w:rsid w:val="00B828FC"/>
    <w:rsid w:val="00B82A77"/>
    <w:rsid w:val="00B82BE4"/>
    <w:rsid w:val="00B83299"/>
    <w:rsid w:val="00B834BA"/>
    <w:rsid w:val="00B8382B"/>
    <w:rsid w:val="00B83843"/>
    <w:rsid w:val="00B8386A"/>
    <w:rsid w:val="00B839A1"/>
    <w:rsid w:val="00B83A16"/>
    <w:rsid w:val="00B83DA0"/>
    <w:rsid w:val="00B83F6E"/>
    <w:rsid w:val="00B83F96"/>
    <w:rsid w:val="00B8426B"/>
    <w:rsid w:val="00B842FE"/>
    <w:rsid w:val="00B8436F"/>
    <w:rsid w:val="00B8437A"/>
    <w:rsid w:val="00B844C8"/>
    <w:rsid w:val="00B845F9"/>
    <w:rsid w:val="00B84621"/>
    <w:rsid w:val="00B84642"/>
    <w:rsid w:val="00B84731"/>
    <w:rsid w:val="00B84885"/>
    <w:rsid w:val="00B84A4E"/>
    <w:rsid w:val="00B84A85"/>
    <w:rsid w:val="00B84A8D"/>
    <w:rsid w:val="00B84D02"/>
    <w:rsid w:val="00B84DB7"/>
    <w:rsid w:val="00B8522E"/>
    <w:rsid w:val="00B8525C"/>
    <w:rsid w:val="00B85482"/>
    <w:rsid w:val="00B8563B"/>
    <w:rsid w:val="00B857B0"/>
    <w:rsid w:val="00B8581A"/>
    <w:rsid w:val="00B8584F"/>
    <w:rsid w:val="00B8599A"/>
    <w:rsid w:val="00B85AD3"/>
    <w:rsid w:val="00B85B95"/>
    <w:rsid w:val="00B85D91"/>
    <w:rsid w:val="00B85E6C"/>
    <w:rsid w:val="00B861FF"/>
    <w:rsid w:val="00B86826"/>
    <w:rsid w:val="00B8705B"/>
    <w:rsid w:val="00B87303"/>
    <w:rsid w:val="00B8752B"/>
    <w:rsid w:val="00B876A5"/>
    <w:rsid w:val="00B87836"/>
    <w:rsid w:val="00B87B23"/>
    <w:rsid w:val="00B87C6F"/>
    <w:rsid w:val="00B87E28"/>
    <w:rsid w:val="00B87E41"/>
    <w:rsid w:val="00B87E45"/>
    <w:rsid w:val="00B87E7E"/>
    <w:rsid w:val="00B90298"/>
    <w:rsid w:val="00B90315"/>
    <w:rsid w:val="00B9033F"/>
    <w:rsid w:val="00B90349"/>
    <w:rsid w:val="00B906B4"/>
    <w:rsid w:val="00B9087D"/>
    <w:rsid w:val="00B91173"/>
    <w:rsid w:val="00B9121C"/>
    <w:rsid w:val="00B9127D"/>
    <w:rsid w:val="00B91318"/>
    <w:rsid w:val="00B9163E"/>
    <w:rsid w:val="00B916AF"/>
    <w:rsid w:val="00B917B3"/>
    <w:rsid w:val="00B91854"/>
    <w:rsid w:val="00B919F2"/>
    <w:rsid w:val="00B91B86"/>
    <w:rsid w:val="00B91B92"/>
    <w:rsid w:val="00B91D02"/>
    <w:rsid w:val="00B91D42"/>
    <w:rsid w:val="00B91FC3"/>
    <w:rsid w:val="00B92013"/>
    <w:rsid w:val="00B92128"/>
    <w:rsid w:val="00B92312"/>
    <w:rsid w:val="00B9252E"/>
    <w:rsid w:val="00B9256D"/>
    <w:rsid w:val="00B9265E"/>
    <w:rsid w:val="00B92704"/>
    <w:rsid w:val="00B929A1"/>
    <w:rsid w:val="00B92A6B"/>
    <w:rsid w:val="00B93268"/>
    <w:rsid w:val="00B93353"/>
    <w:rsid w:val="00B936FF"/>
    <w:rsid w:val="00B9391A"/>
    <w:rsid w:val="00B9393C"/>
    <w:rsid w:val="00B9393F"/>
    <w:rsid w:val="00B93A8F"/>
    <w:rsid w:val="00B941BB"/>
    <w:rsid w:val="00B9432C"/>
    <w:rsid w:val="00B94798"/>
    <w:rsid w:val="00B947BB"/>
    <w:rsid w:val="00B947E6"/>
    <w:rsid w:val="00B948E4"/>
    <w:rsid w:val="00B94A1F"/>
    <w:rsid w:val="00B94B12"/>
    <w:rsid w:val="00B94B3D"/>
    <w:rsid w:val="00B94E0F"/>
    <w:rsid w:val="00B95073"/>
    <w:rsid w:val="00B95306"/>
    <w:rsid w:val="00B953D6"/>
    <w:rsid w:val="00B954F6"/>
    <w:rsid w:val="00B95533"/>
    <w:rsid w:val="00B957F2"/>
    <w:rsid w:val="00B95A9D"/>
    <w:rsid w:val="00B95CCE"/>
    <w:rsid w:val="00B95FC2"/>
    <w:rsid w:val="00B96061"/>
    <w:rsid w:val="00B96072"/>
    <w:rsid w:val="00B96107"/>
    <w:rsid w:val="00B9620B"/>
    <w:rsid w:val="00B96253"/>
    <w:rsid w:val="00B964E5"/>
    <w:rsid w:val="00B96605"/>
    <w:rsid w:val="00B968E5"/>
    <w:rsid w:val="00B96BC8"/>
    <w:rsid w:val="00B96C5B"/>
    <w:rsid w:val="00B970B7"/>
    <w:rsid w:val="00B970E5"/>
    <w:rsid w:val="00B9717F"/>
    <w:rsid w:val="00B97202"/>
    <w:rsid w:val="00B9722D"/>
    <w:rsid w:val="00B975FA"/>
    <w:rsid w:val="00B97685"/>
    <w:rsid w:val="00B9797D"/>
    <w:rsid w:val="00B97BF8"/>
    <w:rsid w:val="00B97F11"/>
    <w:rsid w:val="00B97F32"/>
    <w:rsid w:val="00BA0120"/>
    <w:rsid w:val="00BA0154"/>
    <w:rsid w:val="00BA030A"/>
    <w:rsid w:val="00BA0390"/>
    <w:rsid w:val="00BA03FF"/>
    <w:rsid w:val="00BA05E2"/>
    <w:rsid w:val="00BA07B8"/>
    <w:rsid w:val="00BA0942"/>
    <w:rsid w:val="00BA0962"/>
    <w:rsid w:val="00BA0A55"/>
    <w:rsid w:val="00BA0D00"/>
    <w:rsid w:val="00BA0DAA"/>
    <w:rsid w:val="00BA0F9B"/>
    <w:rsid w:val="00BA103E"/>
    <w:rsid w:val="00BA1241"/>
    <w:rsid w:val="00BA157E"/>
    <w:rsid w:val="00BA1673"/>
    <w:rsid w:val="00BA168C"/>
    <w:rsid w:val="00BA1702"/>
    <w:rsid w:val="00BA1716"/>
    <w:rsid w:val="00BA182A"/>
    <w:rsid w:val="00BA18DC"/>
    <w:rsid w:val="00BA1905"/>
    <w:rsid w:val="00BA1955"/>
    <w:rsid w:val="00BA1999"/>
    <w:rsid w:val="00BA1C0A"/>
    <w:rsid w:val="00BA1E77"/>
    <w:rsid w:val="00BA1F12"/>
    <w:rsid w:val="00BA1F83"/>
    <w:rsid w:val="00BA2008"/>
    <w:rsid w:val="00BA20E9"/>
    <w:rsid w:val="00BA2283"/>
    <w:rsid w:val="00BA22AC"/>
    <w:rsid w:val="00BA276B"/>
    <w:rsid w:val="00BA283B"/>
    <w:rsid w:val="00BA291A"/>
    <w:rsid w:val="00BA294A"/>
    <w:rsid w:val="00BA2B22"/>
    <w:rsid w:val="00BA2C5F"/>
    <w:rsid w:val="00BA2DB2"/>
    <w:rsid w:val="00BA2E0B"/>
    <w:rsid w:val="00BA3107"/>
    <w:rsid w:val="00BA32CE"/>
    <w:rsid w:val="00BA32F3"/>
    <w:rsid w:val="00BA3305"/>
    <w:rsid w:val="00BA3563"/>
    <w:rsid w:val="00BA3A9D"/>
    <w:rsid w:val="00BA3C81"/>
    <w:rsid w:val="00BA3D52"/>
    <w:rsid w:val="00BA3D93"/>
    <w:rsid w:val="00BA3EB9"/>
    <w:rsid w:val="00BA3F02"/>
    <w:rsid w:val="00BA40B4"/>
    <w:rsid w:val="00BA4121"/>
    <w:rsid w:val="00BA41D0"/>
    <w:rsid w:val="00BA4526"/>
    <w:rsid w:val="00BA47E9"/>
    <w:rsid w:val="00BA4836"/>
    <w:rsid w:val="00BA487C"/>
    <w:rsid w:val="00BA49F1"/>
    <w:rsid w:val="00BA4A29"/>
    <w:rsid w:val="00BA5259"/>
    <w:rsid w:val="00BA5284"/>
    <w:rsid w:val="00BA541B"/>
    <w:rsid w:val="00BA565E"/>
    <w:rsid w:val="00BA5985"/>
    <w:rsid w:val="00BA5A87"/>
    <w:rsid w:val="00BA5B72"/>
    <w:rsid w:val="00BA5D24"/>
    <w:rsid w:val="00BA5DF4"/>
    <w:rsid w:val="00BA5FA8"/>
    <w:rsid w:val="00BA5FD7"/>
    <w:rsid w:val="00BA6223"/>
    <w:rsid w:val="00BA62DF"/>
    <w:rsid w:val="00BA62FC"/>
    <w:rsid w:val="00BA632D"/>
    <w:rsid w:val="00BA668B"/>
    <w:rsid w:val="00BA72F6"/>
    <w:rsid w:val="00BA7681"/>
    <w:rsid w:val="00BA7754"/>
    <w:rsid w:val="00BA7B37"/>
    <w:rsid w:val="00BA7D0D"/>
    <w:rsid w:val="00BA7F80"/>
    <w:rsid w:val="00BB001C"/>
    <w:rsid w:val="00BB021E"/>
    <w:rsid w:val="00BB023C"/>
    <w:rsid w:val="00BB03CB"/>
    <w:rsid w:val="00BB0441"/>
    <w:rsid w:val="00BB0462"/>
    <w:rsid w:val="00BB08AC"/>
    <w:rsid w:val="00BB08F4"/>
    <w:rsid w:val="00BB0AB2"/>
    <w:rsid w:val="00BB0ADB"/>
    <w:rsid w:val="00BB0D93"/>
    <w:rsid w:val="00BB0E5F"/>
    <w:rsid w:val="00BB11C9"/>
    <w:rsid w:val="00BB11F5"/>
    <w:rsid w:val="00BB1324"/>
    <w:rsid w:val="00BB13B1"/>
    <w:rsid w:val="00BB14C2"/>
    <w:rsid w:val="00BB157E"/>
    <w:rsid w:val="00BB16D7"/>
    <w:rsid w:val="00BB17D7"/>
    <w:rsid w:val="00BB1B51"/>
    <w:rsid w:val="00BB1EDF"/>
    <w:rsid w:val="00BB1F89"/>
    <w:rsid w:val="00BB1FFF"/>
    <w:rsid w:val="00BB20E2"/>
    <w:rsid w:val="00BB23BD"/>
    <w:rsid w:val="00BB249F"/>
    <w:rsid w:val="00BB2574"/>
    <w:rsid w:val="00BB25D9"/>
    <w:rsid w:val="00BB29C5"/>
    <w:rsid w:val="00BB2ACA"/>
    <w:rsid w:val="00BB2BD5"/>
    <w:rsid w:val="00BB3233"/>
    <w:rsid w:val="00BB3348"/>
    <w:rsid w:val="00BB3413"/>
    <w:rsid w:val="00BB3B3D"/>
    <w:rsid w:val="00BB3C47"/>
    <w:rsid w:val="00BB3D2F"/>
    <w:rsid w:val="00BB3F71"/>
    <w:rsid w:val="00BB40B5"/>
    <w:rsid w:val="00BB40D7"/>
    <w:rsid w:val="00BB42C8"/>
    <w:rsid w:val="00BB4355"/>
    <w:rsid w:val="00BB4502"/>
    <w:rsid w:val="00BB4675"/>
    <w:rsid w:val="00BB46E4"/>
    <w:rsid w:val="00BB4871"/>
    <w:rsid w:val="00BB48FA"/>
    <w:rsid w:val="00BB4975"/>
    <w:rsid w:val="00BB4B32"/>
    <w:rsid w:val="00BB4DE1"/>
    <w:rsid w:val="00BB51C6"/>
    <w:rsid w:val="00BB5456"/>
    <w:rsid w:val="00BB54D7"/>
    <w:rsid w:val="00BB5667"/>
    <w:rsid w:val="00BB575B"/>
    <w:rsid w:val="00BB5794"/>
    <w:rsid w:val="00BB5925"/>
    <w:rsid w:val="00BB5A7D"/>
    <w:rsid w:val="00BB5D81"/>
    <w:rsid w:val="00BB5E76"/>
    <w:rsid w:val="00BB5E9F"/>
    <w:rsid w:val="00BB5F3A"/>
    <w:rsid w:val="00BB600E"/>
    <w:rsid w:val="00BB6044"/>
    <w:rsid w:val="00BB6153"/>
    <w:rsid w:val="00BB624A"/>
    <w:rsid w:val="00BB657C"/>
    <w:rsid w:val="00BB6622"/>
    <w:rsid w:val="00BB6872"/>
    <w:rsid w:val="00BB69F5"/>
    <w:rsid w:val="00BB6B80"/>
    <w:rsid w:val="00BB6CAC"/>
    <w:rsid w:val="00BB704B"/>
    <w:rsid w:val="00BB7163"/>
    <w:rsid w:val="00BB741C"/>
    <w:rsid w:val="00BB74A4"/>
    <w:rsid w:val="00BB79C1"/>
    <w:rsid w:val="00BB7B3D"/>
    <w:rsid w:val="00BB7BDF"/>
    <w:rsid w:val="00BB7C77"/>
    <w:rsid w:val="00BB7D70"/>
    <w:rsid w:val="00BB7E01"/>
    <w:rsid w:val="00BB7E0D"/>
    <w:rsid w:val="00BB7E60"/>
    <w:rsid w:val="00BC0251"/>
    <w:rsid w:val="00BC04CC"/>
    <w:rsid w:val="00BC055A"/>
    <w:rsid w:val="00BC0587"/>
    <w:rsid w:val="00BC0604"/>
    <w:rsid w:val="00BC0759"/>
    <w:rsid w:val="00BC0866"/>
    <w:rsid w:val="00BC0C82"/>
    <w:rsid w:val="00BC0D9D"/>
    <w:rsid w:val="00BC110C"/>
    <w:rsid w:val="00BC14BA"/>
    <w:rsid w:val="00BC1512"/>
    <w:rsid w:val="00BC1582"/>
    <w:rsid w:val="00BC16A6"/>
    <w:rsid w:val="00BC179F"/>
    <w:rsid w:val="00BC17B2"/>
    <w:rsid w:val="00BC1972"/>
    <w:rsid w:val="00BC19D1"/>
    <w:rsid w:val="00BC1B3E"/>
    <w:rsid w:val="00BC1CAE"/>
    <w:rsid w:val="00BC2486"/>
    <w:rsid w:val="00BC24CA"/>
    <w:rsid w:val="00BC2542"/>
    <w:rsid w:val="00BC27A3"/>
    <w:rsid w:val="00BC299D"/>
    <w:rsid w:val="00BC2C50"/>
    <w:rsid w:val="00BC2D18"/>
    <w:rsid w:val="00BC2E0B"/>
    <w:rsid w:val="00BC307D"/>
    <w:rsid w:val="00BC3124"/>
    <w:rsid w:val="00BC32D7"/>
    <w:rsid w:val="00BC38DC"/>
    <w:rsid w:val="00BC3AA0"/>
    <w:rsid w:val="00BC3D1F"/>
    <w:rsid w:val="00BC3DBE"/>
    <w:rsid w:val="00BC3E72"/>
    <w:rsid w:val="00BC3ED8"/>
    <w:rsid w:val="00BC4042"/>
    <w:rsid w:val="00BC40AD"/>
    <w:rsid w:val="00BC418D"/>
    <w:rsid w:val="00BC41D8"/>
    <w:rsid w:val="00BC4258"/>
    <w:rsid w:val="00BC430E"/>
    <w:rsid w:val="00BC43B8"/>
    <w:rsid w:val="00BC44FF"/>
    <w:rsid w:val="00BC4530"/>
    <w:rsid w:val="00BC4A0A"/>
    <w:rsid w:val="00BC4C67"/>
    <w:rsid w:val="00BC4C97"/>
    <w:rsid w:val="00BC517B"/>
    <w:rsid w:val="00BC51B8"/>
    <w:rsid w:val="00BC53D8"/>
    <w:rsid w:val="00BC5866"/>
    <w:rsid w:val="00BC5900"/>
    <w:rsid w:val="00BC5A2B"/>
    <w:rsid w:val="00BC5B30"/>
    <w:rsid w:val="00BC5B94"/>
    <w:rsid w:val="00BC5C7E"/>
    <w:rsid w:val="00BC5EE2"/>
    <w:rsid w:val="00BC5FD3"/>
    <w:rsid w:val="00BC6003"/>
    <w:rsid w:val="00BC60ED"/>
    <w:rsid w:val="00BC60F4"/>
    <w:rsid w:val="00BC6325"/>
    <w:rsid w:val="00BC645B"/>
    <w:rsid w:val="00BC648E"/>
    <w:rsid w:val="00BC6522"/>
    <w:rsid w:val="00BC6592"/>
    <w:rsid w:val="00BC65CD"/>
    <w:rsid w:val="00BC69B1"/>
    <w:rsid w:val="00BC6BF7"/>
    <w:rsid w:val="00BC6D65"/>
    <w:rsid w:val="00BC6D9E"/>
    <w:rsid w:val="00BC6F62"/>
    <w:rsid w:val="00BC6F98"/>
    <w:rsid w:val="00BC70A2"/>
    <w:rsid w:val="00BC7144"/>
    <w:rsid w:val="00BC7262"/>
    <w:rsid w:val="00BC72E4"/>
    <w:rsid w:val="00BC74E5"/>
    <w:rsid w:val="00BC757C"/>
    <w:rsid w:val="00BC7590"/>
    <w:rsid w:val="00BC75BE"/>
    <w:rsid w:val="00BC767C"/>
    <w:rsid w:val="00BC77A4"/>
    <w:rsid w:val="00BC786A"/>
    <w:rsid w:val="00BC7A60"/>
    <w:rsid w:val="00BC7A64"/>
    <w:rsid w:val="00BC7CCF"/>
    <w:rsid w:val="00BC7DEE"/>
    <w:rsid w:val="00BC7E91"/>
    <w:rsid w:val="00BD001E"/>
    <w:rsid w:val="00BD006B"/>
    <w:rsid w:val="00BD05C9"/>
    <w:rsid w:val="00BD0641"/>
    <w:rsid w:val="00BD07F1"/>
    <w:rsid w:val="00BD0D46"/>
    <w:rsid w:val="00BD0D71"/>
    <w:rsid w:val="00BD113A"/>
    <w:rsid w:val="00BD147B"/>
    <w:rsid w:val="00BD14E1"/>
    <w:rsid w:val="00BD1631"/>
    <w:rsid w:val="00BD16B9"/>
    <w:rsid w:val="00BD1C8D"/>
    <w:rsid w:val="00BD27E4"/>
    <w:rsid w:val="00BD2B00"/>
    <w:rsid w:val="00BD2BDC"/>
    <w:rsid w:val="00BD2CFE"/>
    <w:rsid w:val="00BD2F3B"/>
    <w:rsid w:val="00BD302B"/>
    <w:rsid w:val="00BD305D"/>
    <w:rsid w:val="00BD31D8"/>
    <w:rsid w:val="00BD3222"/>
    <w:rsid w:val="00BD357B"/>
    <w:rsid w:val="00BD3593"/>
    <w:rsid w:val="00BD35D4"/>
    <w:rsid w:val="00BD35EB"/>
    <w:rsid w:val="00BD360D"/>
    <w:rsid w:val="00BD3A64"/>
    <w:rsid w:val="00BD3BBF"/>
    <w:rsid w:val="00BD3BC4"/>
    <w:rsid w:val="00BD3D8C"/>
    <w:rsid w:val="00BD3DA8"/>
    <w:rsid w:val="00BD3DF6"/>
    <w:rsid w:val="00BD4092"/>
    <w:rsid w:val="00BD41F2"/>
    <w:rsid w:val="00BD427B"/>
    <w:rsid w:val="00BD4474"/>
    <w:rsid w:val="00BD45CE"/>
    <w:rsid w:val="00BD45D5"/>
    <w:rsid w:val="00BD466C"/>
    <w:rsid w:val="00BD47F2"/>
    <w:rsid w:val="00BD49A6"/>
    <w:rsid w:val="00BD4BBC"/>
    <w:rsid w:val="00BD4C6E"/>
    <w:rsid w:val="00BD4F20"/>
    <w:rsid w:val="00BD548E"/>
    <w:rsid w:val="00BD54DC"/>
    <w:rsid w:val="00BD5675"/>
    <w:rsid w:val="00BD578A"/>
    <w:rsid w:val="00BD58D0"/>
    <w:rsid w:val="00BD593B"/>
    <w:rsid w:val="00BD5AC8"/>
    <w:rsid w:val="00BD5B60"/>
    <w:rsid w:val="00BD5C06"/>
    <w:rsid w:val="00BD5D66"/>
    <w:rsid w:val="00BD5F75"/>
    <w:rsid w:val="00BD6251"/>
    <w:rsid w:val="00BD645B"/>
    <w:rsid w:val="00BD6590"/>
    <w:rsid w:val="00BD66E1"/>
    <w:rsid w:val="00BD6CAF"/>
    <w:rsid w:val="00BD6CF6"/>
    <w:rsid w:val="00BD6D9A"/>
    <w:rsid w:val="00BD72A6"/>
    <w:rsid w:val="00BD765C"/>
    <w:rsid w:val="00BD7666"/>
    <w:rsid w:val="00BD76B4"/>
    <w:rsid w:val="00BD7817"/>
    <w:rsid w:val="00BD7F0A"/>
    <w:rsid w:val="00BD7FE9"/>
    <w:rsid w:val="00BE017E"/>
    <w:rsid w:val="00BE01C5"/>
    <w:rsid w:val="00BE02B3"/>
    <w:rsid w:val="00BE0381"/>
    <w:rsid w:val="00BE0403"/>
    <w:rsid w:val="00BE04EF"/>
    <w:rsid w:val="00BE057D"/>
    <w:rsid w:val="00BE06D2"/>
    <w:rsid w:val="00BE06E0"/>
    <w:rsid w:val="00BE08DB"/>
    <w:rsid w:val="00BE08EA"/>
    <w:rsid w:val="00BE0B19"/>
    <w:rsid w:val="00BE0B9E"/>
    <w:rsid w:val="00BE0BE6"/>
    <w:rsid w:val="00BE0C11"/>
    <w:rsid w:val="00BE0C92"/>
    <w:rsid w:val="00BE0E2F"/>
    <w:rsid w:val="00BE1742"/>
    <w:rsid w:val="00BE17EB"/>
    <w:rsid w:val="00BE188B"/>
    <w:rsid w:val="00BE1D4B"/>
    <w:rsid w:val="00BE20FD"/>
    <w:rsid w:val="00BE211C"/>
    <w:rsid w:val="00BE293E"/>
    <w:rsid w:val="00BE296E"/>
    <w:rsid w:val="00BE2AE1"/>
    <w:rsid w:val="00BE2D0C"/>
    <w:rsid w:val="00BE2DAE"/>
    <w:rsid w:val="00BE2E18"/>
    <w:rsid w:val="00BE2FDD"/>
    <w:rsid w:val="00BE3038"/>
    <w:rsid w:val="00BE3206"/>
    <w:rsid w:val="00BE350E"/>
    <w:rsid w:val="00BE35E4"/>
    <w:rsid w:val="00BE386A"/>
    <w:rsid w:val="00BE3944"/>
    <w:rsid w:val="00BE39A5"/>
    <w:rsid w:val="00BE3A1A"/>
    <w:rsid w:val="00BE3A9D"/>
    <w:rsid w:val="00BE3C63"/>
    <w:rsid w:val="00BE3D17"/>
    <w:rsid w:val="00BE3DBE"/>
    <w:rsid w:val="00BE3DD2"/>
    <w:rsid w:val="00BE3FDF"/>
    <w:rsid w:val="00BE424E"/>
    <w:rsid w:val="00BE4506"/>
    <w:rsid w:val="00BE466D"/>
    <w:rsid w:val="00BE470E"/>
    <w:rsid w:val="00BE475F"/>
    <w:rsid w:val="00BE47D1"/>
    <w:rsid w:val="00BE4841"/>
    <w:rsid w:val="00BE4882"/>
    <w:rsid w:val="00BE49CE"/>
    <w:rsid w:val="00BE4AEE"/>
    <w:rsid w:val="00BE4FAA"/>
    <w:rsid w:val="00BE5348"/>
    <w:rsid w:val="00BE5369"/>
    <w:rsid w:val="00BE58FA"/>
    <w:rsid w:val="00BE5AF6"/>
    <w:rsid w:val="00BE5BD3"/>
    <w:rsid w:val="00BE5D45"/>
    <w:rsid w:val="00BE5E79"/>
    <w:rsid w:val="00BE6225"/>
    <w:rsid w:val="00BE656D"/>
    <w:rsid w:val="00BE666F"/>
    <w:rsid w:val="00BE6839"/>
    <w:rsid w:val="00BE68E1"/>
    <w:rsid w:val="00BE6DBC"/>
    <w:rsid w:val="00BE6E3C"/>
    <w:rsid w:val="00BE6F18"/>
    <w:rsid w:val="00BE7084"/>
    <w:rsid w:val="00BE7143"/>
    <w:rsid w:val="00BE77F9"/>
    <w:rsid w:val="00BE7A6B"/>
    <w:rsid w:val="00BE7D62"/>
    <w:rsid w:val="00BE7F75"/>
    <w:rsid w:val="00BE7FA0"/>
    <w:rsid w:val="00BE7FB2"/>
    <w:rsid w:val="00BF02AE"/>
    <w:rsid w:val="00BF0493"/>
    <w:rsid w:val="00BF05A5"/>
    <w:rsid w:val="00BF0919"/>
    <w:rsid w:val="00BF0BD3"/>
    <w:rsid w:val="00BF0CA4"/>
    <w:rsid w:val="00BF0F94"/>
    <w:rsid w:val="00BF0FA8"/>
    <w:rsid w:val="00BF11AE"/>
    <w:rsid w:val="00BF11C3"/>
    <w:rsid w:val="00BF11F4"/>
    <w:rsid w:val="00BF14E9"/>
    <w:rsid w:val="00BF184D"/>
    <w:rsid w:val="00BF18E9"/>
    <w:rsid w:val="00BF1992"/>
    <w:rsid w:val="00BF1B13"/>
    <w:rsid w:val="00BF1DF3"/>
    <w:rsid w:val="00BF1E74"/>
    <w:rsid w:val="00BF1EF2"/>
    <w:rsid w:val="00BF20C1"/>
    <w:rsid w:val="00BF21EF"/>
    <w:rsid w:val="00BF21F1"/>
    <w:rsid w:val="00BF236D"/>
    <w:rsid w:val="00BF2460"/>
    <w:rsid w:val="00BF2520"/>
    <w:rsid w:val="00BF26CB"/>
    <w:rsid w:val="00BF27C6"/>
    <w:rsid w:val="00BF2A07"/>
    <w:rsid w:val="00BF2AA7"/>
    <w:rsid w:val="00BF2C12"/>
    <w:rsid w:val="00BF2C76"/>
    <w:rsid w:val="00BF2FD8"/>
    <w:rsid w:val="00BF2FE2"/>
    <w:rsid w:val="00BF30B2"/>
    <w:rsid w:val="00BF354D"/>
    <w:rsid w:val="00BF3867"/>
    <w:rsid w:val="00BF3BE8"/>
    <w:rsid w:val="00BF3C3A"/>
    <w:rsid w:val="00BF3CD3"/>
    <w:rsid w:val="00BF3D52"/>
    <w:rsid w:val="00BF3D60"/>
    <w:rsid w:val="00BF3D94"/>
    <w:rsid w:val="00BF3DE4"/>
    <w:rsid w:val="00BF3E39"/>
    <w:rsid w:val="00BF3F35"/>
    <w:rsid w:val="00BF3F57"/>
    <w:rsid w:val="00BF3F81"/>
    <w:rsid w:val="00BF40C1"/>
    <w:rsid w:val="00BF41EF"/>
    <w:rsid w:val="00BF4380"/>
    <w:rsid w:val="00BF43D2"/>
    <w:rsid w:val="00BF43E9"/>
    <w:rsid w:val="00BF4423"/>
    <w:rsid w:val="00BF4436"/>
    <w:rsid w:val="00BF45F3"/>
    <w:rsid w:val="00BF4902"/>
    <w:rsid w:val="00BF4997"/>
    <w:rsid w:val="00BF4B44"/>
    <w:rsid w:val="00BF4B4A"/>
    <w:rsid w:val="00BF4B6F"/>
    <w:rsid w:val="00BF4FE2"/>
    <w:rsid w:val="00BF4FEF"/>
    <w:rsid w:val="00BF511D"/>
    <w:rsid w:val="00BF51A4"/>
    <w:rsid w:val="00BF51EF"/>
    <w:rsid w:val="00BF520A"/>
    <w:rsid w:val="00BF5269"/>
    <w:rsid w:val="00BF546D"/>
    <w:rsid w:val="00BF5803"/>
    <w:rsid w:val="00BF58B5"/>
    <w:rsid w:val="00BF5A08"/>
    <w:rsid w:val="00BF5A18"/>
    <w:rsid w:val="00BF5ADA"/>
    <w:rsid w:val="00BF5E5F"/>
    <w:rsid w:val="00BF5EA0"/>
    <w:rsid w:val="00BF5EBB"/>
    <w:rsid w:val="00BF6B4B"/>
    <w:rsid w:val="00BF6BC9"/>
    <w:rsid w:val="00BF6BF2"/>
    <w:rsid w:val="00BF6CC2"/>
    <w:rsid w:val="00BF6DAD"/>
    <w:rsid w:val="00BF7021"/>
    <w:rsid w:val="00BF7144"/>
    <w:rsid w:val="00BF71D5"/>
    <w:rsid w:val="00BF71ED"/>
    <w:rsid w:val="00BF73B0"/>
    <w:rsid w:val="00BF7501"/>
    <w:rsid w:val="00BF7591"/>
    <w:rsid w:val="00BF77EB"/>
    <w:rsid w:val="00BF79B8"/>
    <w:rsid w:val="00BF7A98"/>
    <w:rsid w:val="00BF7AC3"/>
    <w:rsid w:val="00BF7D90"/>
    <w:rsid w:val="00BF7EFF"/>
    <w:rsid w:val="00BF7FCC"/>
    <w:rsid w:val="00C00129"/>
    <w:rsid w:val="00C00251"/>
    <w:rsid w:val="00C0031C"/>
    <w:rsid w:val="00C00345"/>
    <w:rsid w:val="00C0037E"/>
    <w:rsid w:val="00C00425"/>
    <w:rsid w:val="00C004E9"/>
    <w:rsid w:val="00C005E6"/>
    <w:rsid w:val="00C00611"/>
    <w:rsid w:val="00C00623"/>
    <w:rsid w:val="00C00697"/>
    <w:rsid w:val="00C00778"/>
    <w:rsid w:val="00C0095A"/>
    <w:rsid w:val="00C00BE5"/>
    <w:rsid w:val="00C00C0B"/>
    <w:rsid w:val="00C00DDA"/>
    <w:rsid w:val="00C00EC6"/>
    <w:rsid w:val="00C00F3E"/>
    <w:rsid w:val="00C01191"/>
    <w:rsid w:val="00C01237"/>
    <w:rsid w:val="00C0129C"/>
    <w:rsid w:val="00C0173C"/>
    <w:rsid w:val="00C01C43"/>
    <w:rsid w:val="00C02061"/>
    <w:rsid w:val="00C02261"/>
    <w:rsid w:val="00C023F3"/>
    <w:rsid w:val="00C0268E"/>
    <w:rsid w:val="00C02892"/>
    <w:rsid w:val="00C0297B"/>
    <w:rsid w:val="00C02992"/>
    <w:rsid w:val="00C02A40"/>
    <w:rsid w:val="00C02C22"/>
    <w:rsid w:val="00C02CE4"/>
    <w:rsid w:val="00C02ED0"/>
    <w:rsid w:val="00C03187"/>
    <w:rsid w:val="00C03466"/>
    <w:rsid w:val="00C039B7"/>
    <w:rsid w:val="00C03D42"/>
    <w:rsid w:val="00C03E6A"/>
    <w:rsid w:val="00C0414E"/>
    <w:rsid w:val="00C041BD"/>
    <w:rsid w:val="00C0436B"/>
    <w:rsid w:val="00C04E9D"/>
    <w:rsid w:val="00C04FA8"/>
    <w:rsid w:val="00C050B5"/>
    <w:rsid w:val="00C051AE"/>
    <w:rsid w:val="00C05457"/>
    <w:rsid w:val="00C054A6"/>
    <w:rsid w:val="00C05678"/>
    <w:rsid w:val="00C057C9"/>
    <w:rsid w:val="00C0588E"/>
    <w:rsid w:val="00C05919"/>
    <w:rsid w:val="00C05B21"/>
    <w:rsid w:val="00C05BCB"/>
    <w:rsid w:val="00C05C03"/>
    <w:rsid w:val="00C05CD0"/>
    <w:rsid w:val="00C05D5A"/>
    <w:rsid w:val="00C06098"/>
    <w:rsid w:val="00C063A3"/>
    <w:rsid w:val="00C066C3"/>
    <w:rsid w:val="00C0698B"/>
    <w:rsid w:val="00C06ADE"/>
    <w:rsid w:val="00C0732B"/>
    <w:rsid w:val="00C0732C"/>
    <w:rsid w:val="00C073B3"/>
    <w:rsid w:val="00C074A7"/>
    <w:rsid w:val="00C074C5"/>
    <w:rsid w:val="00C07574"/>
    <w:rsid w:val="00C07712"/>
    <w:rsid w:val="00C07B64"/>
    <w:rsid w:val="00C07B85"/>
    <w:rsid w:val="00C07E20"/>
    <w:rsid w:val="00C07F23"/>
    <w:rsid w:val="00C100BC"/>
    <w:rsid w:val="00C10286"/>
    <w:rsid w:val="00C106AC"/>
    <w:rsid w:val="00C10755"/>
    <w:rsid w:val="00C10796"/>
    <w:rsid w:val="00C109AB"/>
    <w:rsid w:val="00C109F9"/>
    <w:rsid w:val="00C10B63"/>
    <w:rsid w:val="00C11091"/>
    <w:rsid w:val="00C111AB"/>
    <w:rsid w:val="00C112BA"/>
    <w:rsid w:val="00C113F2"/>
    <w:rsid w:val="00C115F8"/>
    <w:rsid w:val="00C11729"/>
    <w:rsid w:val="00C1178B"/>
    <w:rsid w:val="00C1194E"/>
    <w:rsid w:val="00C11BA9"/>
    <w:rsid w:val="00C11C5C"/>
    <w:rsid w:val="00C11EAC"/>
    <w:rsid w:val="00C120B5"/>
    <w:rsid w:val="00C120D8"/>
    <w:rsid w:val="00C12253"/>
    <w:rsid w:val="00C124B8"/>
    <w:rsid w:val="00C1258C"/>
    <w:rsid w:val="00C1271F"/>
    <w:rsid w:val="00C1273C"/>
    <w:rsid w:val="00C127D8"/>
    <w:rsid w:val="00C127E1"/>
    <w:rsid w:val="00C12803"/>
    <w:rsid w:val="00C12939"/>
    <w:rsid w:val="00C12AFF"/>
    <w:rsid w:val="00C12B5C"/>
    <w:rsid w:val="00C12C25"/>
    <w:rsid w:val="00C12D2F"/>
    <w:rsid w:val="00C12F9F"/>
    <w:rsid w:val="00C130CC"/>
    <w:rsid w:val="00C1310F"/>
    <w:rsid w:val="00C1335D"/>
    <w:rsid w:val="00C13621"/>
    <w:rsid w:val="00C13644"/>
    <w:rsid w:val="00C1383E"/>
    <w:rsid w:val="00C13843"/>
    <w:rsid w:val="00C13A5A"/>
    <w:rsid w:val="00C13A5C"/>
    <w:rsid w:val="00C13BF8"/>
    <w:rsid w:val="00C1416F"/>
    <w:rsid w:val="00C14298"/>
    <w:rsid w:val="00C142B0"/>
    <w:rsid w:val="00C1433E"/>
    <w:rsid w:val="00C148C1"/>
    <w:rsid w:val="00C14BC9"/>
    <w:rsid w:val="00C14BED"/>
    <w:rsid w:val="00C14C0C"/>
    <w:rsid w:val="00C14E58"/>
    <w:rsid w:val="00C15262"/>
    <w:rsid w:val="00C15437"/>
    <w:rsid w:val="00C1570E"/>
    <w:rsid w:val="00C15A09"/>
    <w:rsid w:val="00C15B10"/>
    <w:rsid w:val="00C15BFB"/>
    <w:rsid w:val="00C15C8C"/>
    <w:rsid w:val="00C15F00"/>
    <w:rsid w:val="00C1617D"/>
    <w:rsid w:val="00C163B1"/>
    <w:rsid w:val="00C16474"/>
    <w:rsid w:val="00C166E0"/>
    <w:rsid w:val="00C16766"/>
    <w:rsid w:val="00C1682F"/>
    <w:rsid w:val="00C16B70"/>
    <w:rsid w:val="00C16BEC"/>
    <w:rsid w:val="00C16BF7"/>
    <w:rsid w:val="00C16DC9"/>
    <w:rsid w:val="00C16E70"/>
    <w:rsid w:val="00C16FBA"/>
    <w:rsid w:val="00C17434"/>
    <w:rsid w:val="00C17515"/>
    <w:rsid w:val="00C176E1"/>
    <w:rsid w:val="00C177BD"/>
    <w:rsid w:val="00C17866"/>
    <w:rsid w:val="00C17A9D"/>
    <w:rsid w:val="00C17B35"/>
    <w:rsid w:val="00C17E3D"/>
    <w:rsid w:val="00C17EEE"/>
    <w:rsid w:val="00C17F3E"/>
    <w:rsid w:val="00C17F5D"/>
    <w:rsid w:val="00C1E754"/>
    <w:rsid w:val="00C200E0"/>
    <w:rsid w:val="00C20309"/>
    <w:rsid w:val="00C20AD5"/>
    <w:rsid w:val="00C20B22"/>
    <w:rsid w:val="00C20C57"/>
    <w:rsid w:val="00C20F00"/>
    <w:rsid w:val="00C20F64"/>
    <w:rsid w:val="00C2132A"/>
    <w:rsid w:val="00C21A1B"/>
    <w:rsid w:val="00C21B06"/>
    <w:rsid w:val="00C21DCB"/>
    <w:rsid w:val="00C21EC7"/>
    <w:rsid w:val="00C21F7E"/>
    <w:rsid w:val="00C224F4"/>
    <w:rsid w:val="00C22798"/>
    <w:rsid w:val="00C229A0"/>
    <w:rsid w:val="00C22BDC"/>
    <w:rsid w:val="00C22E2A"/>
    <w:rsid w:val="00C22E6B"/>
    <w:rsid w:val="00C22F1E"/>
    <w:rsid w:val="00C22FDE"/>
    <w:rsid w:val="00C23244"/>
    <w:rsid w:val="00C233A0"/>
    <w:rsid w:val="00C233A6"/>
    <w:rsid w:val="00C233DA"/>
    <w:rsid w:val="00C23684"/>
    <w:rsid w:val="00C236AF"/>
    <w:rsid w:val="00C237E5"/>
    <w:rsid w:val="00C23817"/>
    <w:rsid w:val="00C238FF"/>
    <w:rsid w:val="00C23A7F"/>
    <w:rsid w:val="00C23BE2"/>
    <w:rsid w:val="00C23E16"/>
    <w:rsid w:val="00C2405D"/>
    <w:rsid w:val="00C24071"/>
    <w:rsid w:val="00C240ED"/>
    <w:rsid w:val="00C24189"/>
    <w:rsid w:val="00C2428D"/>
    <w:rsid w:val="00C249AB"/>
    <w:rsid w:val="00C24A6F"/>
    <w:rsid w:val="00C24B46"/>
    <w:rsid w:val="00C24CB9"/>
    <w:rsid w:val="00C25331"/>
    <w:rsid w:val="00C25444"/>
    <w:rsid w:val="00C256F2"/>
    <w:rsid w:val="00C25F18"/>
    <w:rsid w:val="00C25FC8"/>
    <w:rsid w:val="00C26079"/>
    <w:rsid w:val="00C261EB"/>
    <w:rsid w:val="00C261EF"/>
    <w:rsid w:val="00C2625D"/>
    <w:rsid w:val="00C262EB"/>
    <w:rsid w:val="00C26874"/>
    <w:rsid w:val="00C268B4"/>
    <w:rsid w:val="00C26E1F"/>
    <w:rsid w:val="00C26F65"/>
    <w:rsid w:val="00C2716E"/>
    <w:rsid w:val="00C272F1"/>
    <w:rsid w:val="00C276D9"/>
    <w:rsid w:val="00C27985"/>
    <w:rsid w:val="00C27BB5"/>
    <w:rsid w:val="00C27BDC"/>
    <w:rsid w:val="00C27C91"/>
    <w:rsid w:val="00C27DA8"/>
    <w:rsid w:val="00C27F34"/>
    <w:rsid w:val="00C27FDF"/>
    <w:rsid w:val="00C300F3"/>
    <w:rsid w:val="00C3041A"/>
    <w:rsid w:val="00C307B4"/>
    <w:rsid w:val="00C30B51"/>
    <w:rsid w:val="00C30B63"/>
    <w:rsid w:val="00C30D65"/>
    <w:rsid w:val="00C30DA5"/>
    <w:rsid w:val="00C30E81"/>
    <w:rsid w:val="00C30F4D"/>
    <w:rsid w:val="00C3108F"/>
    <w:rsid w:val="00C3118E"/>
    <w:rsid w:val="00C31372"/>
    <w:rsid w:val="00C31440"/>
    <w:rsid w:val="00C3151C"/>
    <w:rsid w:val="00C31741"/>
    <w:rsid w:val="00C317D7"/>
    <w:rsid w:val="00C31B23"/>
    <w:rsid w:val="00C31C1E"/>
    <w:rsid w:val="00C321A1"/>
    <w:rsid w:val="00C321EF"/>
    <w:rsid w:val="00C32274"/>
    <w:rsid w:val="00C322FB"/>
    <w:rsid w:val="00C3240E"/>
    <w:rsid w:val="00C3244B"/>
    <w:rsid w:val="00C32497"/>
    <w:rsid w:val="00C32688"/>
    <w:rsid w:val="00C32B13"/>
    <w:rsid w:val="00C32B23"/>
    <w:rsid w:val="00C32B60"/>
    <w:rsid w:val="00C32BF6"/>
    <w:rsid w:val="00C32CB2"/>
    <w:rsid w:val="00C32E33"/>
    <w:rsid w:val="00C332D9"/>
    <w:rsid w:val="00C332E3"/>
    <w:rsid w:val="00C33366"/>
    <w:rsid w:val="00C33442"/>
    <w:rsid w:val="00C33617"/>
    <w:rsid w:val="00C33768"/>
    <w:rsid w:val="00C338C8"/>
    <w:rsid w:val="00C33AA0"/>
    <w:rsid w:val="00C33C05"/>
    <w:rsid w:val="00C33C35"/>
    <w:rsid w:val="00C34011"/>
    <w:rsid w:val="00C3406A"/>
    <w:rsid w:val="00C3417F"/>
    <w:rsid w:val="00C344EE"/>
    <w:rsid w:val="00C34537"/>
    <w:rsid w:val="00C34557"/>
    <w:rsid w:val="00C34565"/>
    <w:rsid w:val="00C34637"/>
    <w:rsid w:val="00C3499E"/>
    <w:rsid w:val="00C349CC"/>
    <w:rsid w:val="00C34A92"/>
    <w:rsid w:val="00C34D52"/>
    <w:rsid w:val="00C34E2C"/>
    <w:rsid w:val="00C34EBA"/>
    <w:rsid w:val="00C35076"/>
    <w:rsid w:val="00C350CD"/>
    <w:rsid w:val="00C35461"/>
    <w:rsid w:val="00C354ED"/>
    <w:rsid w:val="00C35576"/>
    <w:rsid w:val="00C355A4"/>
    <w:rsid w:val="00C3572F"/>
    <w:rsid w:val="00C358DF"/>
    <w:rsid w:val="00C35A81"/>
    <w:rsid w:val="00C35B08"/>
    <w:rsid w:val="00C35E30"/>
    <w:rsid w:val="00C35ED7"/>
    <w:rsid w:val="00C35F57"/>
    <w:rsid w:val="00C362C4"/>
    <w:rsid w:val="00C3636F"/>
    <w:rsid w:val="00C36682"/>
    <w:rsid w:val="00C3668F"/>
    <w:rsid w:val="00C367F6"/>
    <w:rsid w:val="00C36834"/>
    <w:rsid w:val="00C368DD"/>
    <w:rsid w:val="00C36DDB"/>
    <w:rsid w:val="00C36E28"/>
    <w:rsid w:val="00C371E9"/>
    <w:rsid w:val="00C3744E"/>
    <w:rsid w:val="00C3756E"/>
    <w:rsid w:val="00C3772A"/>
    <w:rsid w:val="00C37BF5"/>
    <w:rsid w:val="00C37C65"/>
    <w:rsid w:val="00C37CBE"/>
    <w:rsid w:val="00C37F9B"/>
    <w:rsid w:val="00C400B5"/>
    <w:rsid w:val="00C402D0"/>
    <w:rsid w:val="00C40382"/>
    <w:rsid w:val="00C403AF"/>
    <w:rsid w:val="00C40512"/>
    <w:rsid w:val="00C40582"/>
    <w:rsid w:val="00C4071A"/>
    <w:rsid w:val="00C407BA"/>
    <w:rsid w:val="00C40E1E"/>
    <w:rsid w:val="00C40F39"/>
    <w:rsid w:val="00C410D8"/>
    <w:rsid w:val="00C411EE"/>
    <w:rsid w:val="00C4126E"/>
    <w:rsid w:val="00C413A0"/>
    <w:rsid w:val="00C41403"/>
    <w:rsid w:val="00C416EB"/>
    <w:rsid w:val="00C4177B"/>
    <w:rsid w:val="00C41912"/>
    <w:rsid w:val="00C41989"/>
    <w:rsid w:val="00C41A99"/>
    <w:rsid w:val="00C422AB"/>
    <w:rsid w:val="00C42342"/>
    <w:rsid w:val="00C4246B"/>
    <w:rsid w:val="00C425FE"/>
    <w:rsid w:val="00C427CF"/>
    <w:rsid w:val="00C42901"/>
    <w:rsid w:val="00C42DED"/>
    <w:rsid w:val="00C43322"/>
    <w:rsid w:val="00C43333"/>
    <w:rsid w:val="00C433C4"/>
    <w:rsid w:val="00C4361A"/>
    <w:rsid w:val="00C43655"/>
    <w:rsid w:val="00C436A7"/>
    <w:rsid w:val="00C4377C"/>
    <w:rsid w:val="00C4389C"/>
    <w:rsid w:val="00C43B3F"/>
    <w:rsid w:val="00C43C74"/>
    <w:rsid w:val="00C43DE0"/>
    <w:rsid w:val="00C43EA1"/>
    <w:rsid w:val="00C43F09"/>
    <w:rsid w:val="00C441CA"/>
    <w:rsid w:val="00C44233"/>
    <w:rsid w:val="00C445AE"/>
    <w:rsid w:val="00C447D4"/>
    <w:rsid w:val="00C44987"/>
    <w:rsid w:val="00C44A02"/>
    <w:rsid w:val="00C44A48"/>
    <w:rsid w:val="00C44ACC"/>
    <w:rsid w:val="00C44B74"/>
    <w:rsid w:val="00C44B9A"/>
    <w:rsid w:val="00C44C41"/>
    <w:rsid w:val="00C44F69"/>
    <w:rsid w:val="00C450D7"/>
    <w:rsid w:val="00C45420"/>
    <w:rsid w:val="00C454D0"/>
    <w:rsid w:val="00C4555A"/>
    <w:rsid w:val="00C4572E"/>
    <w:rsid w:val="00C4574A"/>
    <w:rsid w:val="00C458A0"/>
    <w:rsid w:val="00C458A7"/>
    <w:rsid w:val="00C45CE9"/>
    <w:rsid w:val="00C45F1B"/>
    <w:rsid w:val="00C4603D"/>
    <w:rsid w:val="00C4613B"/>
    <w:rsid w:val="00C461A3"/>
    <w:rsid w:val="00C46339"/>
    <w:rsid w:val="00C464E9"/>
    <w:rsid w:val="00C466C7"/>
    <w:rsid w:val="00C468CB"/>
    <w:rsid w:val="00C4698A"/>
    <w:rsid w:val="00C46A60"/>
    <w:rsid w:val="00C46B76"/>
    <w:rsid w:val="00C46B99"/>
    <w:rsid w:val="00C46BF2"/>
    <w:rsid w:val="00C46DBE"/>
    <w:rsid w:val="00C46E53"/>
    <w:rsid w:val="00C46E67"/>
    <w:rsid w:val="00C473F8"/>
    <w:rsid w:val="00C474DA"/>
    <w:rsid w:val="00C4752F"/>
    <w:rsid w:val="00C476CB"/>
    <w:rsid w:val="00C4775A"/>
    <w:rsid w:val="00C4778A"/>
    <w:rsid w:val="00C47AB5"/>
    <w:rsid w:val="00C47D56"/>
    <w:rsid w:val="00C47DA5"/>
    <w:rsid w:val="00C47EFF"/>
    <w:rsid w:val="00C50090"/>
    <w:rsid w:val="00C500BF"/>
    <w:rsid w:val="00C506CE"/>
    <w:rsid w:val="00C50751"/>
    <w:rsid w:val="00C50773"/>
    <w:rsid w:val="00C5088C"/>
    <w:rsid w:val="00C50933"/>
    <w:rsid w:val="00C509E2"/>
    <w:rsid w:val="00C50A28"/>
    <w:rsid w:val="00C50AB1"/>
    <w:rsid w:val="00C50BDC"/>
    <w:rsid w:val="00C50CFC"/>
    <w:rsid w:val="00C50D3F"/>
    <w:rsid w:val="00C50D8C"/>
    <w:rsid w:val="00C50E78"/>
    <w:rsid w:val="00C50F73"/>
    <w:rsid w:val="00C5133D"/>
    <w:rsid w:val="00C51551"/>
    <w:rsid w:val="00C5164E"/>
    <w:rsid w:val="00C51682"/>
    <w:rsid w:val="00C517E1"/>
    <w:rsid w:val="00C51972"/>
    <w:rsid w:val="00C51BC4"/>
    <w:rsid w:val="00C51C42"/>
    <w:rsid w:val="00C51C6B"/>
    <w:rsid w:val="00C51CBB"/>
    <w:rsid w:val="00C51E20"/>
    <w:rsid w:val="00C51E27"/>
    <w:rsid w:val="00C51F10"/>
    <w:rsid w:val="00C51F2F"/>
    <w:rsid w:val="00C52085"/>
    <w:rsid w:val="00C520BD"/>
    <w:rsid w:val="00C52165"/>
    <w:rsid w:val="00C521C2"/>
    <w:rsid w:val="00C52223"/>
    <w:rsid w:val="00C522B4"/>
    <w:rsid w:val="00C523E3"/>
    <w:rsid w:val="00C525AC"/>
    <w:rsid w:val="00C525BF"/>
    <w:rsid w:val="00C52636"/>
    <w:rsid w:val="00C526CF"/>
    <w:rsid w:val="00C5290D"/>
    <w:rsid w:val="00C52950"/>
    <w:rsid w:val="00C52A1C"/>
    <w:rsid w:val="00C52BDA"/>
    <w:rsid w:val="00C52C7A"/>
    <w:rsid w:val="00C52E0C"/>
    <w:rsid w:val="00C53058"/>
    <w:rsid w:val="00C53143"/>
    <w:rsid w:val="00C53155"/>
    <w:rsid w:val="00C531C4"/>
    <w:rsid w:val="00C531DC"/>
    <w:rsid w:val="00C532B9"/>
    <w:rsid w:val="00C532D8"/>
    <w:rsid w:val="00C533ED"/>
    <w:rsid w:val="00C5382B"/>
    <w:rsid w:val="00C539C2"/>
    <w:rsid w:val="00C539C7"/>
    <w:rsid w:val="00C53AC3"/>
    <w:rsid w:val="00C53BAC"/>
    <w:rsid w:val="00C53BF4"/>
    <w:rsid w:val="00C53D1D"/>
    <w:rsid w:val="00C53D3D"/>
    <w:rsid w:val="00C53E7E"/>
    <w:rsid w:val="00C542CA"/>
    <w:rsid w:val="00C544B9"/>
    <w:rsid w:val="00C544CF"/>
    <w:rsid w:val="00C5463E"/>
    <w:rsid w:val="00C54811"/>
    <w:rsid w:val="00C54A08"/>
    <w:rsid w:val="00C54B9E"/>
    <w:rsid w:val="00C54D25"/>
    <w:rsid w:val="00C54D27"/>
    <w:rsid w:val="00C54E2F"/>
    <w:rsid w:val="00C553FC"/>
    <w:rsid w:val="00C556E7"/>
    <w:rsid w:val="00C557EE"/>
    <w:rsid w:val="00C55B68"/>
    <w:rsid w:val="00C55CAA"/>
    <w:rsid w:val="00C55ECE"/>
    <w:rsid w:val="00C55FEA"/>
    <w:rsid w:val="00C5632F"/>
    <w:rsid w:val="00C56398"/>
    <w:rsid w:val="00C56A41"/>
    <w:rsid w:val="00C56A4A"/>
    <w:rsid w:val="00C56CA5"/>
    <w:rsid w:val="00C56E0D"/>
    <w:rsid w:val="00C56FBE"/>
    <w:rsid w:val="00C57021"/>
    <w:rsid w:val="00C574C3"/>
    <w:rsid w:val="00C574C9"/>
    <w:rsid w:val="00C57667"/>
    <w:rsid w:val="00C57B24"/>
    <w:rsid w:val="00C6027C"/>
    <w:rsid w:val="00C60280"/>
    <w:rsid w:val="00C603C3"/>
    <w:rsid w:val="00C603FE"/>
    <w:rsid w:val="00C60556"/>
    <w:rsid w:val="00C60671"/>
    <w:rsid w:val="00C608D5"/>
    <w:rsid w:val="00C608E3"/>
    <w:rsid w:val="00C6097C"/>
    <w:rsid w:val="00C60AB3"/>
    <w:rsid w:val="00C60BA8"/>
    <w:rsid w:val="00C60C63"/>
    <w:rsid w:val="00C60C9C"/>
    <w:rsid w:val="00C60DF6"/>
    <w:rsid w:val="00C61062"/>
    <w:rsid w:val="00C611E6"/>
    <w:rsid w:val="00C612D2"/>
    <w:rsid w:val="00C614D2"/>
    <w:rsid w:val="00C61569"/>
    <w:rsid w:val="00C6158F"/>
    <w:rsid w:val="00C6166D"/>
    <w:rsid w:val="00C618B8"/>
    <w:rsid w:val="00C6197C"/>
    <w:rsid w:val="00C619CA"/>
    <w:rsid w:val="00C61AE8"/>
    <w:rsid w:val="00C61B07"/>
    <w:rsid w:val="00C61C1F"/>
    <w:rsid w:val="00C61E55"/>
    <w:rsid w:val="00C61E85"/>
    <w:rsid w:val="00C61F34"/>
    <w:rsid w:val="00C6232E"/>
    <w:rsid w:val="00C6260E"/>
    <w:rsid w:val="00C6265C"/>
    <w:rsid w:val="00C62689"/>
    <w:rsid w:val="00C628A1"/>
    <w:rsid w:val="00C62960"/>
    <w:rsid w:val="00C62AB2"/>
    <w:rsid w:val="00C62BB1"/>
    <w:rsid w:val="00C62EC9"/>
    <w:rsid w:val="00C63309"/>
    <w:rsid w:val="00C634C3"/>
    <w:rsid w:val="00C6368F"/>
    <w:rsid w:val="00C63745"/>
    <w:rsid w:val="00C63946"/>
    <w:rsid w:val="00C639BB"/>
    <w:rsid w:val="00C63BB7"/>
    <w:rsid w:val="00C63C54"/>
    <w:rsid w:val="00C63D0D"/>
    <w:rsid w:val="00C63D33"/>
    <w:rsid w:val="00C63EC0"/>
    <w:rsid w:val="00C6417B"/>
    <w:rsid w:val="00C6425C"/>
    <w:rsid w:val="00C64283"/>
    <w:rsid w:val="00C64309"/>
    <w:rsid w:val="00C64324"/>
    <w:rsid w:val="00C64892"/>
    <w:rsid w:val="00C64924"/>
    <w:rsid w:val="00C64B68"/>
    <w:rsid w:val="00C64B73"/>
    <w:rsid w:val="00C64BAF"/>
    <w:rsid w:val="00C64E5F"/>
    <w:rsid w:val="00C64F37"/>
    <w:rsid w:val="00C6547D"/>
    <w:rsid w:val="00C654CC"/>
    <w:rsid w:val="00C655A8"/>
    <w:rsid w:val="00C65807"/>
    <w:rsid w:val="00C6582E"/>
    <w:rsid w:val="00C65A6A"/>
    <w:rsid w:val="00C65BE5"/>
    <w:rsid w:val="00C65D0B"/>
    <w:rsid w:val="00C65D56"/>
    <w:rsid w:val="00C65DAE"/>
    <w:rsid w:val="00C65E60"/>
    <w:rsid w:val="00C66091"/>
    <w:rsid w:val="00C66124"/>
    <w:rsid w:val="00C6616E"/>
    <w:rsid w:val="00C661C2"/>
    <w:rsid w:val="00C66563"/>
    <w:rsid w:val="00C66650"/>
    <w:rsid w:val="00C6685B"/>
    <w:rsid w:val="00C66A73"/>
    <w:rsid w:val="00C66C5F"/>
    <w:rsid w:val="00C66C6E"/>
    <w:rsid w:val="00C66CBA"/>
    <w:rsid w:val="00C66D1E"/>
    <w:rsid w:val="00C673F5"/>
    <w:rsid w:val="00C677AD"/>
    <w:rsid w:val="00C67AA6"/>
    <w:rsid w:val="00C67B82"/>
    <w:rsid w:val="00C67E85"/>
    <w:rsid w:val="00C67ED6"/>
    <w:rsid w:val="00C700F8"/>
    <w:rsid w:val="00C7017F"/>
    <w:rsid w:val="00C701EC"/>
    <w:rsid w:val="00C70289"/>
    <w:rsid w:val="00C70400"/>
    <w:rsid w:val="00C70434"/>
    <w:rsid w:val="00C70553"/>
    <w:rsid w:val="00C705B3"/>
    <w:rsid w:val="00C70723"/>
    <w:rsid w:val="00C709B5"/>
    <w:rsid w:val="00C70B85"/>
    <w:rsid w:val="00C70C9E"/>
    <w:rsid w:val="00C70E51"/>
    <w:rsid w:val="00C71036"/>
    <w:rsid w:val="00C71080"/>
    <w:rsid w:val="00C711D5"/>
    <w:rsid w:val="00C7144C"/>
    <w:rsid w:val="00C715B2"/>
    <w:rsid w:val="00C71A6C"/>
    <w:rsid w:val="00C71ADB"/>
    <w:rsid w:val="00C71BAC"/>
    <w:rsid w:val="00C71C88"/>
    <w:rsid w:val="00C71CD2"/>
    <w:rsid w:val="00C71D6D"/>
    <w:rsid w:val="00C71DAF"/>
    <w:rsid w:val="00C71EC5"/>
    <w:rsid w:val="00C71F0B"/>
    <w:rsid w:val="00C72253"/>
    <w:rsid w:val="00C722BD"/>
    <w:rsid w:val="00C72381"/>
    <w:rsid w:val="00C72681"/>
    <w:rsid w:val="00C72739"/>
    <w:rsid w:val="00C72C96"/>
    <w:rsid w:val="00C72E17"/>
    <w:rsid w:val="00C73020"/>
    <w:rsid w:val="00C7330B"/>
    <w:rsid w:val="00C734EC"/>
    <w:rsid w:val="00C7356D"/>
    <w:rsid w:val="00C73570"/>
    <w:rsid w:val="00C7378D"/>
    <w:rsid w:val="00C7395F"/>
    <w:rsid w:val="00C73AF7"/>
    <w:rsid w:val="00C73BC0"/>
    <w:rsid w:val="00C73DC1"/>
    <w:rsid w:val="00C73ECE"/>
    <w:rsid w:val="00C73F2E"/>
    <w:rsid w:val="00C743A1"/>
    <w:rsid w:val="00C744CF"/>
    <w:rsid w:val="00C7468E"/>
    <w:rsid w:val="00C746F9"/>
    <w:rsid w:val="00C74721"/>
    <w:rsid w:val="00C747A3"/>
    <w:rsid w:val="00C747EC"/>
    <w:rsid w:val="00C74838"/>
    <w:rsid w:val="00C74A34"/>
    <w:rsid w:val="00C74A95"/>
    <w:rsid w:val="00C74B06"/>
    <w:rsid w:val="00C74BA9"/>
    <w:rsid w:val="00C74BE7"/>
    <w:rsid w:val="00C75049"/>
    <w:rsid w:val="00C751C2"/>
    <w:rsid w:val="00C751D9"/>
    <w:rsid w:val="00C7522B"/>
    <w:rsid w:val="00C75317"/>
    <w:rsid w:val="00C75547"/>
    <w:rsid w:val="00C756EB"/>
    <w:rsid w:val="00C758ED"/>
    <w:rsid w:val="00C75B9D"/>
    <w:rsid w:val="00C75BD7"/>
    <w:rsid w:val="00C75C56"/>
    <w:rsid w:val="00C75D93"/>
    <w:rsid w:val="00C761AF"/>
    <w:rsid w:val="00C765DC"/>
    <w:rsid w:val="00C769AE"/>
    <w:rsid w:val="00C76E5A"/>
    <w:rsid w:val="00C76FAB"/>
    <w:rsid w:val="00C77094"/>
    <w:rsid w:val="00C7721E"/>
    <w:rsid w:val="00C77259"/>
    <w:rsid w:val="00C77596"/>
    <w:rsid w:val="00C7783D"/>
    <w:rsid w:val="00C77A0A"/>
    <w:rsid w:val="00C77D55"/>
    <w:rsid w:val="00C77DE0"/>
    <w:rsid w:val="00C77FA0"/>
    <w:rsid w:val="00C77FBE"/>
    <w:rsid w:val="00C77FFC"/>
    <w:rsid w:val="00C80198"/>
    <w:rsid w:val="00C8048B"/>
    <w:rsid w:val="00C80572"/>
    <w:rsid w:val="00C8059A"/>
    <w:rsid w:val="00C8063A"/>
    <w:rsid w:val="00C806EE"/>
    <w:rsid w:val="00C80BD9"/>
    <w:rsid w:val="00C80CAE"/>
    <w:rsid w:val="00C80CF8"/>
    <w:rsid w:val="00C80D25"/>
    <w:rsid w:val="00C80DFC"/>
    <w:rsid w:val="00C80F70"/>
    <w:rsid w:val="00C811D2"/>
    <w:rsid w:val="00C811E3"/>
    <w:rsid w:val="00C81433"/>
    <w:rsid w:val="00C8143E"/>
    <w:rsid w:val="00C81486"/>
    <w:rsid w:val="00C814B9"/>
    <w:rsid w:val="00C8168E"/>
    <w:rsid w:val="00C816EC"/>
    <w:rsid w:val="00C81AE9"/>
    <w:rsid w:val="00C81C8B"/>
    <w:rsid w:val="00C81E02"/>
    <w:rsid w:val="00C81E06"/>
    <w:rsid w:val="00C81EC3"/>
    <w:rsid w:val="00C821CC"/>
    <w:rsid w:val="00C82342"/>
    <w:rsid w:val="00C825C0"/>
    <w:rsid w:val="00C825F9"/>
    <w:rsid w:val="00C827AF"/>
    <w:rsid w:val="00C829EE"/>
    <w:rsid w:val="00C82AE4"/>
    <w:rsid w:val="00C82C48"/>
    <w:rsid w:val="00C82D66"/>
    <w:rsid w:val="00C83031"/>
    <w:rsid w:val="00C83108"/>
    <w:rsid w:val="00C8316C"/>
    <w:rsid w:val="00C8339B"/>
    <w:rsid w:val="00C834C0"/>
    <w:rsid w:val="00C8374F"/>
    <w:rsid w:val="00C83847"/>
    <w:rsid w:val="00C8393C"/>
    <w:rsid w:val="00C83A6F"/>
    <w:rsid w:val="00C83A8F"/>
    <w:rsid w:val="00C83BF4"/>
    <w:rsid w:val="00C83E00"/>
    <w:rsid w:val="00C83F33"/>
    <w:rsid w:val="00C8401F"/>
    <w:rsid w:val="00C84149"/>
    <w:rsid w:val="00C84241"/>
    <w:rsid w:val="00C84510"/>
    <w:rsid w:val="00C8485D"/>
    <w:rsid w:val="00C84931"/>
    <w:rsid w:val="00C84996"/>
    <w:rsid w:val="00C84BAF"/>
    <w:rsid w:val="00C84DDA"/>
    <w:rsid w:val="00C84E4D"/>
    <w:rsid w:val="00C84FB6"/>
    <w:rsid w:val="00C852F8"/>
    <w:rsid w:val="00C8569B"/>
    <w:rsid w:val="00C857BC"/>
    <w:rsid w:val="00C857E6"/>
    <w:rsid w:val="00C858B1"/>
    <w:rsid w:val="00C85B8A"/>
    <w:rsid w:val="00C85D6C"/>
    <w:rsid w:val="00C86022"/>
    <w:rsid w:val="00C8638F"/>
    <w:rsid w:val="00C86399"/>
    <w:rsid w:val="00C863BE"/>
    <w:rsid w:val="00C864D5"/>
    <w:rsid w:val="00C864F8"/>
    <w:rsid w:val="00C86616"/>
    <w:rsid w:val="00C86622"/>
    <w:rsid w:val="00C86679"/>
    <w:rsid w:val="00C867FB"/>
    <w:rsid w:val="00C86956"/>
    <w:rsid w:val="00C86A22"/>
    <w:rsid w:val="00C86A52"/>
    <w:rsid w:val="00C86B57"/>
    <w:rsid w:val="00C86F22"/>
    <w:rsid w:val="00C86F8B"/>
    <w:rsid w:val="00C8708D"/>
    <w:rsid w:val="00C870C6"/>
    <w:rsid w:val="00C872BB"/>
    <w:rsid w:val="00C873C4"/>
    <w:rsid w:val="00C87673"/>
    <w:rsid w:val="00C8768E"/>
    <w:rsid w:val="00C87CA5"/>
    <w:rsid w:val="00C87D1F"/>
    <w:rsid w:val="00C9027E"/>
    <w:rsid w:val="00C903F8"/>
    <w:rsid w:val="00C907F3"/>
    <w:rsid w:val="00C909D5"/>
    <w:rsid w:val="00C90A4D"/>
    <w:rsid w:val="00C90C43"/>
    <w:rsid w:val="00C90CE5"/>
    <w:rsid w:val="00C90FB0"/>
    <w:rsid w:val="00C91147"/>
    <w:rsid w:val="00C91196"/>
    <w:rsid w:val="00C91466"/>
    <w:rsid w:val="00C91571"/>
    <w:rsid w:val="00C91717"/>
    <w:rsid w:val="00C919E9"/>
    <w:rsid w:val="00C91B32"/>
    <w:rsid w:val="00C91E1F"/>
    <w:rsid w:val="00C91ED4"/>
    <w:rsid w:val="00C923FE"/>
    <w:rsid w:val="00C92703"/>
    <w:rsid w:val="00C927BE"/>
    <w:rsid w:val="00C92843"/>
    <w:rsid w:val="00C9291E"/>
    <w:rsid w:val="00C929EF"/>
    <w:rsid w:val="00C92A95"/>
    <w:rsid w:val="00C92EF3"/>
    <w:rsid w:val="00C92F29"/>
    <w:rsid w:val="00C9306E"/>
    <w:rsid w:val="00C931D0"/>
    <w:rsid w:val="00C9321E"/>
    <w:rsid w:val="00C933C9"/>
    <w:rsid w:val="00C9345B"/>
    <w:rsid w:val="00C934DB"/>
    <w:rsid w:val="00C93533"/>
    <w:rsid w:val="00C9390A"/>
    <w:rsid w:val="00C939BC"/>
    <w:rsid w:val="00C93A99"/>
    <w:rsid w:val="00C93B42"/>
    <w:rsid w:val="00C93BA1"/>
    <w:rsid w:val="00C93C4C"/>
    <w:rsid w:val="00C93C81"/>
    <w:rsid w:val="00C93E8B"/>
    <w:rsid w:val="00C93E94"/>
    <w:rsid w:val="00C94075"/>
    <w:rsid w:val="00C9417C"/>
    <w:rsid w:val="00C94403"/>
    <w:rsid w:val="00C945B8"/>
    <w:rsid w:val="00C94785"/>
    <w:rsid w:val="00C94884"/>
    <w:rsid w:val="00C94ED0"/>
    <w:rsid w:val="00C9506D"/>
    <w:rsid w:val="00C9508B"/>
    <w:rsid w:val="00C9523C"/>
    <w:rsid w:val="00C9526D"/>
    <w:rsid w:val="00C9526E"/>
    <w:rsid w:val="00C95270"/>
    <w:rsid w:val="00C952B5"/>
    <w:rsid w:val="00C953B4"/>
    <w:rsid w:val="00C9548B"/>
    <w:rsid w:val="00C959B4"/>
    <w:rsid w:val="00C95C67"/>
    <w:rsid w:val="00C95D09"/>
    <w:rsid w:val="00C95D38"/>
    <w:rsid w:val="00C95D66"/>
    <w:rsid w:val="00C95EA2"/>
    <w:rsid w:val="00C95F04"/>
    <w:rsid w:val="00C9629C"/>
    <w:rsid w:val="00C964AD"/>
    <w:rsid w:val="00C9650F"/>
    <w:rsid w:val="00C9663F"/>
    <w:rsid w:val="00C96920"/>
    <w:rsid w:val="00C9696C"/>
    <w:rsid w:val="00C969DD"/>
    <w:rsid w:val="00C96CB1"/>
    <w:rsid w:val="00C96CDC"/>
    <w:rsid w:val="00C96D80"/>
    <w:rsid w:val="00C9712E"/>
    <w:rsid w:val="00C9713B"/>
    <w:rsid w:val="00C9731D"/>
    <w:rsid w:val="00C9741E"/>
    <w:rsid w:val="00C979FF"/>
    <w:rsid w:val="00C97B6D"/>
    <w:rsid w:val="00C97CF1"/>
    <w:rsid w:val="00C97FE9"/>
    <w:rsid w:val="00CA01C3"/>
    <w:rsid w:val="00CA0221"/>
    <w:rsid w:val="00CA04CD"/>
    <w:rsid w:val="00CA0516"/>
    <w:rsid w:val="00CA06AA"/>
    <w:rsid w:val="00CA09C2"/>
    <w:rsid w:val="00CA0B6F"/>
    <w:rsid w:val="00CA0D69"/>
    <w:rsid w:val="00CA1030"/>
    <w:rsid w:val="00CA12AC"/>
    <w:rsid w:val="00CA142A"/>
    <w:rsid w:val="00CA1568"/>
    <w:rsid w:val="00CA173A"/>
    <w:rsid w:val="00CA19C6"/>
    <w:rsid w:val="00CA1A3C"/>
    <w:rsid w:val="00CA1A68"/>
    <w:rsid w:val="00CA1DED"/>
    <w:rsid w:val="00CA1E59"/>
    <w:rsid w:val="00CA204E"/>
    <w:rsid w:val="00CA2058"/>
    <w:rsid w:val="00CA2198"/>
    <w:rsid w:val="00CA219D"/>
    <w:rsid w:val="00CA220D"/>
    <w:rsid w:val="00CA27A6"/>
    <w:rsid w:val="00CA27CC"/>
    <w:rsid w:val="00CA2A65"/>
    <w:rsid w:val="00CA2AA8"/>
    <w:rsid w:val="00CA2B81"/>
    <w:rsid w:val="00CA2FA1"/>
    <w:rsid w:val="00CA30F1"/>
    <w:rsid w:val="00CA3153"/>
    <w:rsid w:val="00CA32EE"/>
    <w:rsid w:val="00CA3352"/>
    <w:rsid w:val="00CA33C7"/>
    <w:rsid w:val="00CA37AF"/>
    <w:rsid w:val="00CA3892"/>
    <w:rsid w:val="00CA3B98"/>
    <w:rsid w:val="00CA3B99"/>
    <w:rsid w:val="00CA3C35"/>
    <w:rsid w:val="00CA3EB5"/>
    <w:rsid w:val="00CA4177"/>
    <w:rsid w:val="00CA4215"/>
    <w:rsid w:val="00CA461C"/>
    <w:rsid w:val="00CA4634"/>
    <w:rsid w:val="00CA4966"/>
    <w:rsid w:val="00CA5218"/>
    <w:rsid w:val="00CA540A"/>
    <w:rsid w:val="00CA577B"/>
    <w:rsid w:val="00CA5808"/>
    <w:rsid w:val="00CA587D"/>
    <w:rsid w:val="00CA5A25"/>
    <w:rsid w:val="00CA5A56"/>
    <w:rsid w:val="00CA5E91"/>
    <w:rsid w:val="00CA5ECD"/>
    <w:rsid w:val="00CA5FE4"/>
    <w:rsid w:val="00CA60A2"/>
    <w:rsid w:val="00CA64AC"/>
    <w:rsid w:val="00CA64C1"/>
    <w:rsid w:val="00CA65C7"/>
    <w:rsid w:val="00CA67F7"/>
    <w:rsid w:val="00CA68C0"/>
    <w:rsid w:val="00CA6947"/>
    <w:rsid w:val="00CA6A56"/>
    <w:rsid w:val="00CA6AA5"/>
    <w:rsid w:val="00CA6ACF"/>
    <w:rsid w:val="00CA6CBE"/>
    <w:rsid w:val="00CA6D43"/>
    <w:rsid w:val="00CA6D90"/>
    <w:rsid w:val="00CA6FEB"/>
    <w:rsid w:val="00CA7061"/>
    <w:rsid w:val="00CA70AA"/>
    <w:rsid w:val="00CA72A6"/>
    <w:rsid w:val="00CA7480"/>
    <w:rsid w:val="00CA7538"/>
    <w:rsid w:val="00CA796F"/>
    <w:rsid w:val="00CA7AA4"/>
    <w:rsid w:val="00CA7BEA"/>
    <w:rsid w:val="00CA7DA7"/>
    <w:rsid w:val="00CA7F31"/>
    <w:rsid w:val="00CA7F59"/>
    <w:rsid w:val="00CB0436"/>
    <w:rsid w:val="00CB055F"/>
    <w:rsid w:val="00CB070F"/>
    <w:rsid w:val="00CB07D4"/>
    <w:rsid w:val="00CB0935"/>
    <w:rsid w:val="00CB0A55"/>
    <w:rsid w:val="00CB0ED4"/>
    <w:rsid w:val="00CB1167"/>
    <w:rsid w:val="00CB1198"/>
    <w:rsid w:val="00CB12A6"/>
    <w:rsid w:val="00CB1560"/>
    <w:rsid w:val="00CB16B2"/>
    <w:rsid w:val="00CB16FE"/>
    <w:rsid w:val="00CB1730"/>
    <w:rsid w:val="00CB17BB"/>
    <w:rsid w:val="00CB1B42"/>
    <w:rsid w:val="00CB1C76"/>
    <w:rsid w:val="00CB1D9E"/>
    <w:rsid w:val="00CB1E3D"/>
    <w:rsid w:val="00CB1F78"/>
    <w:rsid w:val="00CB2029"/>
    <w:rsid w:val="00CB20F9"/>
    <w:rsid w:val="00CB24E0"/>
    <w:rsid w:val="00CB2517"/>
    <w:rsid w:val="00CB2551"/>
    <w:rsid w:val="00CB2620"/>
    <w:rsid w:val="00CB2625"/>
    <w:rsid w:val="00CB2961"/>
    <w:rsid w:val="00CB29B1"/>
    <w:rsid w:val="00CB29FE"/>
    <w:rsid w:val="00CB2A97"/>
    <w:rsid w:val="00CB2C58"/>
    <w:rsid w:val="00CB2C6A"/>
    <w:rsid w:val="00CB2CE2"/>
    <w:rsid w:val="00CB2D83"/>
    <w:rsid w:val="00CB300F"/>
    <w:rsid w:val="00CB301A"/>
    <w:rsid w:val="00CB3116"/>
    <w:rsid w:val="00CB32C3"/>
    <w:rsid w:val="00CB34BC"/>
    <w:rsid w:val="00CB352E"/>
    <w:rsid w:val="00CB38A3"/>
    <w:rsid w:val="00CB3953"/>
    <w:rsid w:val="00CB3AA1"/>
    <w:rsid w:val="00CB3ED0"/>
    <w:rsid w:val="00CB40B9"/>
    <w:rsid w:val="00CB40DE"/>
    <w:rsid w:val="00CB4573"/>
    <w:rsid w:val="00CB457D"/>
    <w:rsid w:val="00CB45AC"/>
    <w:rsid w:val="00CB49CC"/>
    <w:rsid w:val="00CB4A3C"/>
    <w:rsid w:val="00CB4C14"/>
    <w:rsid w:val="00CB4DCF"/>
    <w:rsid w:val="00CB4E0D"/>
    <w:rsid w:val="00CB50D2"/>
    <w:rsid w:val="00CB50D4"/>
    <w:rsid w:val="00CB5111"/>
    <w:rsid w:val="00CB516D"/>
    <w:rsid w:val="00CB53BE"/>
    <w:rsid w:val="00CB54AF"/>
    <w:rsid w:val="00CB5887"/>
    <w:rsid w:val="00CB5AF5"/>
    <w:rsid w:val="00CB5E45"/>
    <w:rsid w:val="00CB5FC3"/>
    <w:rsid w:val="00CB635A"/>
    <w:rsid w:val="00CB63A7"/>
    <w:rsid w:val="00CB6980"/>
    <w:rsid w:val="00CB6C40"/>
    <w:rsid w:val="00CB6CE0"/>
    <w:rsid w:val="00CB6F34"/>
    <w:rsid w:val="00CB72C3"/>
    <w:rsid w:val="00CB7396"/>
    <w:rsid w:val="00CB74EE"/>
    <w:rsid w:val="00CB75E0"/>
    <w:rsid w:val="00CB7AA8"/>
    <w:rsid w:val="00CB7BAE"/>
    <w:rsid w:val="00CB7C5C"/>
    <w:rsid w:val="00CB7EF5"/>
    <w:rsid w:val="00CB7F4A"/>
    <w:rsid w:val="00CB7FA4"/>
    <w:rsid w:val="00CC0077"/>
    <w:rsid w:val="00CC00D1"/>
    <w:rsid w:val="00CC052A"/>
    <w:rsid w:val="00CC0571"/>
    <w:rsid w:val="00CC06B6"/>
    <w:rsid w:val="00CC0A32"/>
    <w:rsid w:val="00CC0BF9"/>
    <w:rsid w:val="00CC0C9E"/>
    <w:rsid w:val="00CC0E2C"/>
    <w:rsid w:val="00CC1641"/>
    <w:rsid w:val="00CC184C"/>
    <w:rsid w:val="00CC1ACA"/>
    <w:rsid w:val="00CC1BFC"/>
    <w:rsid w:val="00CC1D6F"/>
    <w:rsid w:val="00CC1F8D"/>
    <w:rsid w:val="00CC2154"/>
    <w:rsid w:val="00CC22BC"/>
    <w:rsid w:val="00CC2343"/>
    <w:rsid w:val="00CC2390"/>
    <w:rsid w:val="00CC2611"/>
    <w:rsid w:val="00CC2628"/>
    <w:rsid w:val="00CC2763"/>
    <w:rsid w:val="00CC299A"/>
    <w:rsid w:val="00CC2B49"/>
    <w:rsid w:val="00CC2FDE"/>
    <w:rsid w:val="00CC36B9"/>
    <w:rsid w:val="00CC37A4"/>
    <w:rsid w:val="00CC390B"/>
    <w:rsid w:val="00CC39D3"/>
    <w:rsid w:val="00CC3CB3"/>
    <w:rsid w:val="00CC3CEB"/>
    <w:rsid w:val="00CC3E33"/>
    <w:rsid w:val="00CC3E4E"/>
    <w:rsid w:val="00CC3F74"/>
    <w:rsid w:val="00CC4691"/>
    <w:rsid w:val="00CC4788"/>
    <w:rsid w:val="00CC4835"/>
    <w:rsid w:val="00CC4905"/>
    <w:rsid w:val="00CC490C"/>
    <w:rsid w:val="00CC4AE9"/>
    <w:rsid w:val="00CC4E3B"/>
    <w:rsid w:val="00CC4F39"/>
    <w:rsid w:val="00CC5288"/>
    <w:rsid w:val="00CC52A8"/>
    <w:rsid w:val="00CC546F"/>
    <w:rsid w:val="00CC5553"/>
    <w:rsid w:val="00CC56C0"/>
    <w:rsid w:val="00CC5768"/>
    <w:rsid w:val="00CC5890"/>
    <w:rsid w:val="00CC5916"/>
    <w:rsid w:val="00CC598F"/>
    <w:rsid w:val="00CC5C0C"/>
    <w:rsid w:val="00CC5C9C"/>
    <w:rsid w:val="00CC5D53"/>
    <w:rsid w:val="00CC6048"/>
    <w:rsid w:val="00CC6215"/>
    <w:rsid w:val="00CC6514"/>
    <w:rsid w:val="00CC65B9"/>
    <w:rsid w:val="00CC677A"/>
    <w:rsid w:val="00CC689A"/>
    <w:rsid w:val="00CC692B"/>
    <w:rsid w:val="00CC694F"/>
    <w:rsid w:val="00CC69C2"/>
    <w:rsid w:val="00CC6A42"/>
    <w:rsid w:val="00CC6BDC"/>
    <w:rsid w:val="00CC6DB7"/>
    <w:rsid w:val="00CC6E71"/>
    <w:rsid w:val="00CC70E7"/>
    <w:rsid w:val="00CC70FE"/>
    <w:rsid w:val="00CC7CA0"/>
    <w:rsid w:val="00CC7D3F"/>
    <w:rsid w:val="00CC7FD7"/>
    <w:rsid w:val="00CC7FEF"/>
    <w:rsid w:val="00CC7FF9"/>
    <w:rsid w:val="00CD01CA"/>
    <w:rsid w:val="00CD064B"/>
    <w:rsid w:val="00CD0B66"/>
    <w:rsid w:val="00CD0D75"/>
    <w:rsid w:val="00CD10DB"/>
    <w:rsid w:val="00CD1448"/>
    <w:rsid w:val="00CD1D46"/>
    <w:rsid w:val="00CD1DFC"/>
    <w:rsid w:val="00CD203D"/>
    <w:rsid w:val="00CD20D0"/>
    <w:rsid w:val="00CD218B"/>
    <w:rsid w:val="00CD21A7"/>
    <w:rsid w:val="00CD24DC"/>
    <w:rsid w:val="00CD2A81"/>
    <w:rsid w:val="00CD2AF8"/>
    <w:rsid w:val="00CD2B76"/>
    <w:rsid w:val="00CD2BDD"/>
    <w:rsid w:val="00CD2D5E"/>
    <w:rsid w:val="00CD2EBC"/>
    <w:rsid w:val="00CD303E"/>
    <w:rsid w:val="00CD32B1"/>
    <w:rsid w:val="00CD34DC"/>
    <w:rsid w:val="00CD37B7"/>
    <w:rsid w:val="00CD38BE"/>
    <w:rsid w:val="00CD3919"/>
    <w:rsid w:val="00CD3B62"/>
    <w:rsid w:val="00CD3D08"/>
    <w:rsid w:val="00CD3F0E"/>
    <w:rsid w:val="00CD3FD9"/>
    <w:rsid w:val="00CD4043"/>
    <w:rsid w:val="00CD42DE"/>
    <w:rsid w:val="00CD4460"/>
    <w:rsid w:val="00CD4509"/>
    <w:rsid w:val="00CD458E"/>
    <w:rsid w:val="00CD48AF"/>
    <w:rsid w:val="00CD4B1E"/>
    <w:rsid w:val="00CD4C14"/>
    <w:rsid w:val="00CD4C26"/>
    <w:rsid w:val="00CD4D4A"/>
    <w:rsid w:val="00CD4F6B"/>
    <w:rsid w:val="00CD5078"/>
    <w:rsid w:val="00CD5155"/>
    <w:rsid w:val="00CD5391"/>
    <w:rsid w:val="00CD5577"/>
    <w:rsid w:val="00CD5702"/>
    <w:rsid w:val="00CD57CB"/>
    <w:rsid w:val="00CD5BEF"/>
    <w:rsid w:val="00CD5CA2"/>
    <w:rsid w:val="00CD5CC5"/>
    <w:rsid w:val="00CD5F5B"/>
    <w:rsid w:val="00CD5FB6"/>
    <w:rsid w:val="00CD63CC"/>
    <w:rsid w:val="00CD6411"/>
    <w:rsid w:val="00CD6423"/>
    <w:rsid w:val="00CD6488"/>
    <w:rsid w:val="00CD649A"/>
    <w:rsid w:val="00CD67E7"/>
    <w:rsid w:val="00CD6986"/>
    <w:rsid w:val="00CD6C18"/>
    <w:rsid w:val="00CD6C50"/>
    <w:rsid w:val="00CD6E60"/>
    <w:rsid w:val="00CD6F19"/>
    <w:rsid w:val="00CD6FAB"/>
    <w:rsid w:val="00CD7029"/>
    <w:rsid w:val="00CD717D"/>
    <w:rsid w:val="00CD7203"/>
    <w:rsid w:val="00CD7207"/>
    <w:rsid w:val="00CD721B"/>
    <w:rsid w:val="00CD730D"/>
    <w:rsid w:val="00CD75A4"/>
    <w:rsid w:val="00CD770F"/>
    <w:rsid w:val="00CD7914"/>
    <w:rsid w:val="00CD79DD"/>
    <w:rsid w:val="00CD7D12"/>
    <w:rsid w:val="00CD7E8B"/>
    <w:rsid w:val="00CE0013"/>
    <w:rsid w:val="00CE00C2"/>
    <w:rsid w:val="00CE0108"/>
    <w:rsid w:val="00CE01F4"/>
    <w:rsid w:val="00CE03B6"/>
    <w:rsid w:val="00CE051F"/>
    <w:rsid w:val="00CE063D"/>
    <w:rsid w:val="00CE067A"/>
    <w:rsid w:val="00CE06A5"/>
    <w:rsid w:val="00CE0850"/>
    <w:rsid w:val="00CE0B12"/>
    <w:rsid w:val="00CE1482"/>
    <w:rsid w:val="00CE1635"/>
    <w:rsid w:val="00CE16B6"/>
    <w:rsid w:val="00CE171F"/>
    <w:rsid w:val="00CE17D9"/>
    <w:rsid w:val="00CE1963"/>
    <w:rsid w:val="00CE1E50"/>
    <w:rsid w:val="00CE1FD7"/>
    <w:rsid w:val="00CE2204"/>
    <w:rsid w:val="00CE2256"/>
    <w:rsid w:val="00CE2912"/>
    <w:rsid w:val="00CE2913"/>
    <w:rsid w:val="00CE2A04"/>
    <w:rsid w:val="00CE2B8C"/>
    <w:rsid w:val="00CE2E76"/>
    <w:rsid w:val="00CE2F2B"/>
    <w:rsid w:val="00CE2F63"/>
    <w:rsid w:val="00CE35C4"/>
    <w:rsid w:val="00CE363D"/>
    <w:rsid w:val="00CE3703"/>
    <w:rsid w:val="00CE37A4"/>
    <w:rsid w:val="00CE3822"/>
    <w:rsid w:val="00CE3856"/>
    <w:rsid w:val="00CE3894"/>
    <w:rsid w:val="00CE3B81"/>
    <w:rsid w:val="00CE3C3D"/>
    <w:rsid w:val="00CE3EF3"/>
    <w:rsid w:val="00CE40CF"/>
    <w:rsid w:val="00CE43A0"/>
    <w:rsid w:val="00CE43C7"/>
    <w:rsid w:val="00CE44D9"/>
    <w:rsid w:val="00CE4891"/>
    <w:rsid w:val="00CE4A13"/>
    <w:rsid w:val="00CE4A41"/>
    <w:rsid w:val="00CE4BDA"/>
    <w:rsid w:val="00CE4BFD"/>
    <w:rsid w:val="00CE4C59"/>
    <w:rsid w:val="00CE4E6D"/>
    <w:rsid w:val="00CE53AC"/>
    <w:rsid w:val="00CE550E"/>
    <w:rsid w:val="00CE569D"/>
    <w:rsid w:val="00CE56F3"/>
    <w:rsid w:val="00CE5734"/>
    <w:rsid w:val="00CE5A20"/>
    <w:rsid w:val="00CE5B5F"/>
    <w:rsid w:val="00CE5BC6"/>
    <w:rsid w:val="00CE5C12"/>
    <w:rsid w:val="00CE5DCF"/>
    <w:rsid w:val="00CE5F05"/>
    <w:rsid w:val="00CE643F"/>
    <w:rsid w:val="00CE6542"/>
    <w:rsid w:val="00CE654E"/>
    <w:rsid w:val="00CE66B7"/>
    <w:rsid w:val="00CE6865"/>
    <w:rsid w:val="00CE6915"/>
    <w:rsid w:val="00CE69CA"/>
    <w:rsid w:val="00CE6C97"/>
    <w:rsid w:val="00CE6CB8"/>
    <w:rsid w:val="00CE6E24"/>
    <w:rsid w:val="00CE6EC6"/>
    <w:rsid w:val="00CE6F53"/>
    <w:rsid w:val="00CE7487"/>
    <w:rsid w:val="00CE7569"/>
    <w:rsid w:val="00CE7822"/>
    <w:rsid w:val="00CE7FC2"/>
    <w:rsid w:val="00CF01E0"/>
    <w:rsid w:val="00CF0255"/>
    <w:rsid w:val="00CF026E"/>
    <w:rsid w:val="00CF028C"/>
    <w:rsid w:val="00CF02CB"/>
    <w:rsid w:val="00CF02FB"/>
    <w:rsid w:val="00CF0590"/>
    <w:rsid w:val="00CF0645"/>
    <w:rsid w:val="00CF0C15"/>
    <w:rsid w:val="00CF0D33"/>
    <w:rsid w:val="00CF0DD8"/>
    <w:rsid w:val="00CF10F9"/>
    <w:rsid w:val="00CF1252"/>
    <w:rsid w:val="00CF12E8"/>
    <w:rsid w:val="00CF158B"/>
    <w:rsid w:val="00CF1686"/>
    <w:rsid w:val="00CF1700"/>
    <w:rsid w:val="00CF1B96"/>
    <w:rsid w:val="00CF1EFD"/>
    <w:rsid w:val="00CF1FD1"/>
    <w:rsid w:val="00CF20C0"/>
    <w:rsid w:val="00CF2200"/>
    <w:rsid w:val="00CF2242"/>
    <w:rsid w:val="00CF2265"/>
    <w:rsid w:val="00CF22B7"/>
    <w:rsid w:val="00CF241B"/>
    <w:rsid w:val="00CF24DB"/>
    <w:rsid w:val="00CF284B"/>
    <w:rsid w:val="00CF287F"/>
    <w:rsid w:val="00CF2908"/>
    <w:rsid w:val="00CF297A"/>
    <w:rsid w:val="00CF2C3E"/>
    <w:rsid w:val="00CF2CAB"/>
    <w:rsid w:val="00CF2CF1"/>
    <w:rsid w:val="00CF2E7D"/>
    <w:rsid w:val="00CF36AB"/>
    <w:rsid w:val="00CF37CC"/>
    <w:rsid w:val="00CF3AA6"/>
    <w:rsid w:val="00CF3AA8"/>
    <w:rsid w:val="00CF3BFC"/>
    <w:rsid w:val="00CF3CDE"/>
    <w:rsid w:val="00CF3E7C"/>
    <w:rsid w:val="00CF3ECA"/>
    <w:rsid w:val="00CF4072"/>
    <w:rsid w:val="00CF489E"/>
    <w:rsid w:val="00CF4B2E"/>
    <w:rsid w:val="00CF4D92"/>
    <w:rsid w:val="00CF4E9D"/>
    <w:rsid w:val="00CF504A"/>
    <w:rsid w:val="00CF50BE"/>
    <w:rsid w:val="00CF5328"/>
    <w:rsid w:val="00CF5469"/>
    <w:rsid w:val="00CF54C7"/>
    <w:rsid w:val="00CF5508"/>
    <w:rsid w:val="00CF5571"/>
    <w:rsid w:val="00CF55A7"/>
    <w:rsid w:val="00CF56C0"/>
    <w:rsid w:val="00CF57DF"/>
    <w:rsid w:val="00CF5A97"/>
    <w:rsid w:val="00CF5D8F"/>
    <w:rsid w:val="00CF5FFD"/>
    <w:rsid w:val="00CF61B6"/>
    <w:rsid w:val="00CF61DB"/>
    <w:rsid w:val="00CF61DC"/>
    <w:rsid w:val="00CF647E"/>
    <w:rsid w:val="00CF6594"/>
    <w:rsid w:val="00CF6632"/>
    <w:rsid w:val="00CF6A45"/>
    <w:rsid w:val="00CF6A7F"/>
    <w:rsid w:val="00CF6BBA"/>
    <w:rsid w:val="00CF6C02"/>
    <w:rsid w:val="00CF6C2C"/>
    <w:rsid w:val="00CF6C56"/>
    <w:rsid w:val="00CF6C9E"/>
    <w:rsid w:val="00CF6D2F"/>
    <w:rsid w:val="00CF70E1"/>
    <w:rsid w:val="00CF7141"/>
    <w:rsid w:val="00CF7819"/>
    <w:rsid w:val="00CF7C08"/>
    <w:rsid w:val="00CF7C48"/>
    <w:rsid w:val="00CF7E4F"/>
    <w:rsid w:val="00CF7F86"/>
    <w:rsid w:val="00D001F1"/>
    <w:rsid w:val="00D00220"/>
    <w:rsid w:val="00D002AF"/>
    <w:rsid w:val="00D002C5"/>
    <w:rsid w:val="00D0033F"/>
    <w:rsid w:val="00D004B1"/>
    <w:rsid w:val="00D0062E"/>
    <w:rsid w:val="00D0068D"/>
    <w:rsid w:val="00D00704"/>
    <w:rsid w:val="00D00816"/>
    <w:rsid w:val="00D00A1F"/>
    <w:rsid w:val="00D00B4E"/>
    <w:rsid w:val="00D00D38"/>
    <w:rsid w:val="00D00EB8"/>
    <w:rsid w:val="00D00F15"/>
    <w:rsid w:val="00D00F19"/>
    <w:rsid w:val="00D01111"/>
    <w:rsid w:val="00D0111B"/>
    <w:rsid w:val="00D01192"/>
    <w:rsid w:val="00D01205"/>
    <w:rsid w:val="00D0134E"/>
    <w:rsid w:val="00D013D9"/>
    <w:rsid w:val="00D0153E"/>
    <w:rsid w:val="00D0166E"/>
    <w:rsid w:val="00D01833"/>
    <w:rsid w:val="00D0188F"/>
    <w:rsid w:val="00D018F3"/>
    <w:rsid w:val="00D019C8"/>
    <w:rsid w:val="00D01AC2"/>
    <w:rsid w:val="00D01B10"/>
    <w:rsid w:val="00D01B77"/>
    <w:rsid w:val="00D01BEF"/>
    <w:rsid w:val="00D01BF1"/>
    <w:rsid w:val="00D01D60"/>
    <w:rsid w:val="00D024DD"/>
    <w:rsid w:val="00D0265F"/>
    <w:rsid w:val="00D028B0"/>
    <w:rsid w:val="00D02902"/>
    <w:rsid w:val="00D02964"/>
    <w:rsid w:val="00D0297F"/>
    <w:rsid w:val="00D02AB9"/>
    <w:rsid w:val="00D02B90"/>
    <w:rsid w:val="00D02CF5"/>
    <w:rsid w:val="00D03009"/>
    <w:rsid w:val="00D031F8"/>
    <w:rsid w:val="00D0342A"/>
    <w:rsid w:val="00D03580"/>
    <w:rsid w:val="00D03626"/>
    <w:rsid w:val="00D03654"/>
    <w:rsid w:val="00D037A4"/>
    <w:rsid w:val="00D039DD"/>
    <w:rsid w:val="00D03A46"/>
    <w:rsid w:val="00D03A83"/>
    <w:rsid w:val="00D03BB7"/>
    <w:rsid w:val="00D03D33"/>
    <w:rsid w:val="00D03D8D"/>
    <w:rsid w:val="00D03F7B"/>
    <w:rsid w:val="00D04317"/>
    <w:rsid w:val="00D043E7"/>
    <w:rsid w:val="00D04628"/>
    <w:rsid w:val="00D048E0"/>
    <w:rsid w:val="00D049EB"/>
    <w:rsid w:val="00D04A9B"/>
    <w:rsid w:val="00D04C91"/>
    <w:rsid w:val="00D04E50"/>
    <w:rsid w:val="00D04FE5"/>
    <w:rsid w:val="00D05153"/>
    <w:rsid w:val="00D05281"/>
    <w:rsid w:val="00D052AA"/>
    <w:rsid w:val="00D052B6"/>
    <w:rsid w:val="00D05322"/>
    <w:rsid w:val="00D053DC"/>
    <w:rsid w:val="00D054E2"/>
    <w:rsid w:val="00D056DB"/>
    <w:rsid w:val="00D05838"/>
    <w:rsid w:val="00D05840"/>
    <w:rsid w:val="00D059B9"/>
    <w:rsid w:val="00D059C7"/>
    <w:rsid w:val="00D05B11"/>
    <w:rsid w:val="00D05BBE"/>
    <w:rsid w:val="00D05C55"/>
    <w:rsid w:val="00D05DED"/>
    <w:rsid w:val="00D05F09"/>
    <w:rsid w:val="00D05F14"/>
    <w:rsid w:val="00D05FD3"/>
    <w:rsid w:val="00D06000"/>
    <w:rsid w:val="00D060A4"/>
    <w:rsid w:val="00D06243"/>
    <w:rsid w:val="00D0656E"/>
    <w:rsid w:val="00D0664D"/>
    <w:rsid w:val="00D06769"/>
    <w:rsid w:val="00D0684A"/>
    <w:rsid w:val="00D06873"/>
    <w:rsid w:val="00D06887"/>
    <w:rsid w:val="00D068FB"/>
    <w:rsid w:val="00D06A7E"/>
    <w:rsid w:val="00D06A8A"/>
    <w:rsid w:val="00D06CCE"/>
    <w:rsid w:val="00D06DD5"/>
    <w:rsid w:val="00D06E64"/>
    <w:rsid w:val="00D06E82"/>
    <w:rsid w:val="00D0705D"/>
    <w:rsid w:val="00D0714A"/>
    <w:rsid w:val="00D074FD"/>
    <w:rsid w:val="00D079EB"/>
    <w:rsid w:val="00D07A3C"/>
    <w:rsid w:val="00D07BD0"/>
    <w:rsid w:val="00D07C6B"/>
    <w:rsid w:val="00D07E16"/>
    <w:rsid w:val="00D07E68"/>
    <w:rsid w:val="00D10060"/>
    <w:rsid w:val="00D102FA"/>
    <w:rsid w:val="00D10476"/>
    <w:rsid w:val="00D10A15"/>
    <w:rsid w:val="00D10E35"/>
    <w:rsid w:val="00D10E5F"/>
    <w:rsid w:val="00D10E86"/>
    <w:rsid w:val="00D10FF9"/>
    <w:rsid w:val="00D1112E"/>
    <w:rsid w:val="00D11391"/>
    <w:rsid w:val="00D11629"/>
    <w:rsid w:val="00D117FA"/>
    <w:rsid w:val="00D1181A"/>
    <w:rsid w:val="00D11AD7"/>
    <w:rsid w:val="00D11C93"/>
    <w:rsid w:val="00D11CAF"/>
    <w:rsid w:val="00D11E6E"/>
    <w:rsid w:val="00D11F78"/>
    <w:rsid w:val="00D11FE6"/>
    <w:rsid w:val="00D12030"/>
    <w:rsid w:val="00D120A1"/>
    <w:rsid w:val="00D123BC"/>
    <w:rsid w:val="00D123F7"/>
    <w:rsid w:val="00D1253A"/>
    <w:rsid w:val="00D1256E"/>
    <w:rsid w:val="00D12720"/>
    <w:rsid w:val="00D12742"/>
    <w:rsid w:val="00D12796"/>
    <w:rsid w:val="00D1289A"/>
    <w:rsid w:val="00D129F2"/>
    <w:rsid w:val="00D12AE7"/>
    <w:rsid w:val="00D12D9D"/>
    <w:rsid w:val="00D13024"/>
    <w:rsid w:val="00D1307D"/>
    <w:rsid w:val="00D1308A"/>
    <w:rsid w:val="00D135E6"/>
    <w:rsid w:val="00D136EB"/>
    <w:rsid w:val="00D138F1"/>
    <w:rsid w:val="00D1393E"/>
    <w:rsid w:val="00D13C51"/>
    <w:rsid w:val="00D13C63"/>
    <w:rsid w:val="00D13E7F"/>
    <w:rsid w:val="00D14329"/>
    <w:rsid w:val="00D1466E"/>
    <w:rsid w:val="00D14783"/>
    <w:rsid w:val="00D1493E"/>
    <w:rsid w:val="00D14ACF"/>
    <w:rsid w:val="00D14B44"/>
    <w:rsid w:val="00D14CC1"/>
    <w:rsid w:val="00D14CDB"/>
    <w:rsid w:val="00D14DC0"/>
    <w:rsid w:val="00D14F50"/>
    <w:rsid w:val="00D15069"/>
    <w:rsid w:val="00D151A2"/>
    <w:rsid w:val="00D152AB"/>
    <w:rsid w:val="00D154AC"/>
    <w:rsid w:val="00D155E9"/>
    <w:rsid w:val="00D156BE"/>
    <w:rsid w:val="00D156DF"/>
    <w:rsid w:val="00D158E6"/>
    <w:rsid w:val="00D15AA8"/>
    <w:rsid w:val="00D15C37"/>
    <w:rsid w:val="00D15F3E"/>
    <w:rsid w:val="00D15F54"/>
    <w:rsid w:val="00D1621F"/>
    <w:rsid w:val="00D16271"/>
    <w:rsid w:val="00D162A1"/>
    <w:rsid w:val="00D16B68"/>
    <w:rsid w:val="00D16C66"/>
    <w:rsid w:val="00D16D49"/>
    <w:rsid w:val="00D16DAA"/>
    <w:rsid w:val="00D16E00"/>
    <w:rsid w:val="00D16FB1"/>
    <w:rsid w:val="00D17024"/>
    <w:rsid w:val="00D170C5"/>
    <w:rsid w:val="00D17165"/>
    <w:rsid w:val="00D17385"/>
    <w:rsid w:val="00D174CB"/>
    <w:rsid w:val="00D177CF"/>
    <w:rsid w:val="00D17959"/>
    <w:rsid w:val="00D179EE"/>
    <w:rsid w:val="00D17A6D"/>
    <w:rsid w:val="00D17D12"/>
    <w:rsid w:val="00D17D26"/>
    <w:rsid w:val="00D17F21"/>
    <w:rsid w:val="00D20052"/>
    <w:rsid w:val="00D2012A"/>
    <w:rsid w:val="00D201E9"/>
    <w:rsid w:val="00D202A4"/>
    <w:rsid w:val="00D202E9"/>
    <w:rsid w:val="00D202F5"/>
    <w:rsid w:val="00D204EC"/>
    <w:rsid w:val="00D206E1"/>
    <w:rsid w:val="00D20A4F"/>
    <w:rsid w:val="00D20E04"/>
    <w:rsid w:val="00D20E88"/>
    <w:rsid w:val="00D2100D"/>
    <w:rsid w:val="00D210DC"/>
    <w:rsid w:val="00D21150"/>
    <w:rsid w:val="00D212AE"/>
    <w:rsid w:val="00D215F7"/>
    <w:rsid w:val="00D217AE"/>
    <w:rsid w:val="00D21A08"/>
    <w:rsid w:val="00D21C0A"/>
    <w:rsid w:val="00D21CB3"/>
    <w:rsid w:val="00D21D1E"/>
    <w:rsid w:val="00D21DB4"/>
    <w:rsid w:val="00D21F53"/>
    <w:rsid w:val="00D221E2"/>
    <w:rsid w:val="00D224D2"/>
    <w:rsid w:val="00D22929"/>
    <w:rsid w:val="00D2295D"/>
    <w:rsid w:val="00D22BC6"/>
    <w:rsid w:val="00D22BD4"/>
    <w:rsid w:val="00D22CF6"/>
    <w:rsid w:val="00D22D33"/>
    <w:rsid w:val="00D22D34"/>
    <w:rsid w:val="00D23190"/>
    <w:rsid w:val="00D23416"/>
    <w:rsid w:val="00D234C2"/>
    <w:rsid w:val="00D2386A"/>
    <w:rsid w:val="00D239D0"/>
    <w:rsid w:val="00D23BAC"/>
    <w:rsid w:val="00D23F2E"/>
    <w:rsid w:val="00D23F56"/>
    <w:rsid w:val="00D23F58"/>
    <w:rsid w:val="00D245EF"/>
    <w:rsid w:val="00D24605"/>
    <w:rsid w:val="00D246F2"/>
    <w:rsid w:val="00D24843"/>
    <w:rsid w:val="00D2485F"/>
    <w:rsid w:val="00D24861"/>
    <w:rsid w:val="00D24C9A"/>
    <w:rsid w:val="00D24D08"/>
    <w:rsid w:val="00D25042"/>
    <w:rsid w:val="00D250B8"/>
    <w:rsid w:val="00D250D6"/>
    <w:rsid w:val="00D250D8"/>
    <w:rsid w:val="00D251C3"/>
    <w:rsid w:val="00D25571"/>
    <w:rsid w:val="00D256C9"/>
    <w:rsid w:val="00D256F1"/>
    <w:rsid w:val="00D259B8"/>
    <w:rsid w:val="00D25BC5"/>
    <w:rsid w:val="00D25F58"/>
    <w:rsid w:val="00D2646D"/>
    <w:rsid w:val="00D26570"/>
    <w:rsid w:val="00D265EE"/>
    <w:rsid w:val="00D26617"/>
    <w:rsid w:val="00D267A5"/>
    <w:rsid w:val="00D2681E"/>
    <w:rsid w:val="00D26AF9"/>
    <w:rsid w:val="00D26C29"/>
    <w:rsid w:val="00D26C8B"/>
    <w:rsid w:val="00D26D77"/>
    <w:rsid w:val="00D27041"/>
    <w:rsid w:val="00D27332"/>
    <w:rsid w:val="00D2748D"/>
    <w:rsid w:val="00D275A0"/>
    <w:rsid w:val="00D27742"/>
    <w:rsid w:val="00D27818"/>
    <w:rsid w:val="00D27841"/>
    <w:rsid w:val="00D27DF3"/>
    <w:rsid w:val="00D27F2C"/>
    <w:rsid w:val="00D300A5"/>
    <w:rsid w:val="00D300D7"/>
    <w:rsid w:val="00D301EB"/>
    <w:rsid w:val="00D30609"/>
    <w:rsid w:val="00D307F5"/>
    <w:rsid w:val="00D30A61"/>
    <w:rsid w:val="00D30C0F"/>
    <w:rsid w:val="00D30D13"/>
    <w:rsid w:val="00D30F6E"/>
    <w:rsid w:val="00D30FE9"/>
    <w:rsid w:val="00D312F4"/>
    <w:rsid w:val="00D312F7"/>
    <w:rsid w:val="00D315A4"/>
    <w:rsid w:val="00D316DD"/>
    <w:rsid w:val="00D31787"/>
    <w:rsid w:val="00D31850"/>
    <w:rsid w:val="00D318B2"/>
    <w:rsid w:val="00D31A31"/>
    <w:rsid w:val="00D31BA2"/>
    <w:rsid w:val="00D31C10"/>
    <w:rsid w:val="00D31E0A"/>
    <w:rsid w:val="00D3202C"/>
    <w:rsid w:val="00D325D1"/>
    <w:rsid w:val="00D325E7"/>
    <w:rsid w:val="00D3267C"/>
    <w:rsid w:val="00D3274F"/>
    <w:rsid w:val="00D328FB"/>
    <w:rsid w:val="00D32A6B"/>
    <w:rsid w:val="00D32BB8"/>
    <w:rsid w:val="00D32CD7"/>
    <w:rsid w:val="00D32DB4"/>
    <w:rsid w:val="00D32F4F"/>
    <w:rsid w:val="00D32F50"/>
    <w:rsid w:val="00D32FB2"/>
    <w:rsid w:val="00D33313"/>
    <w:rsid w:val="00D336F7"/>
    <w:rsid w:val="00D3375E"/>
    <w:rsid w:val="00D3388A"/>
    <w:rsid w:val="00D33947"/>
    <w:rsid w:val="00D33AF7"/>
    <w:rsid w:val="00D33DE6"/>
    <w:rsid w:val="00D34040"/>
    <w:rsid w:val="00D340AD"/>
    <w:rsid w:val="00D340BB"/>
    <w:rsid w:val="00D341A1"/>
    <w:rsid w:val="00D34521"/>
    <w:rsid w:val="00D3458C"/>
    <w:rsid w:val="00D345C8"/>
    <w:rsid w:val="00D3472C"/>
    <w:rsid w:val="00D347DE"/>
    <w:rsid w:val="00D34981"/>
    <w:rsid w:val="00D34AE0"/>
    <w:rsid w:val="00D34C00"/>
    <w:rsid w:val="00D34C8F"/>
    <w:rsid w:val="00D34CD7"/>
    <w:rsid w:val="00D34D3F"/>
    <w:rsid w:val="00D34F34"/>
    <w:rsid w:val="00D34F3A"/>
    <w:rsid w:val="00D34F5C"/>
    <w:rsid w:val="00D35061"/>
    <w:rsid w:val="00D351A9"/>
    <w:rsid w:val="00D3534E"/>
    <w:rsid w:val="00D353C2"/>
    <w:rsid w:val="00D3553D"/>
    <w:rsid w:val="00D35653"/>
    <w:rsid w:val="00D35692"/>
    <w:rsid w:val="00D356BE"/>
    <w:rsid w:val="00D35702"/>
    <w:rsid w:val="00D35E83"/>
    <w:rsid w:val="00D35EC1"/>
    <w:rsid w:val="00D362A7"/>
    <w:rsid w:val="00D36326"/>
    <w:rsid w:val="00D36381"/>
    <w:rsid w:val="00D36726"/>
    <w:rsid w:val="00D36D18"/>
    <w:rsid w:val="00D3713F"/>
    <w:rsid w:val="00D371B2"/>
    <w:rsid w:val="00D37217"/>
    <w:rsid w:val="00D37265"/>
    <w:rsid w:val="00D37827"/>
    <w:rsid w:val="00D37D9E"/>
    <w:rsid w:val="00D37FE4"/>
    <w:rsid w:val="00D40026"/>
    <w:rsid w:val="00D400A7"/>
    <w:rsid w:val="00D4015A"/>
    <w:rsid w:val="00D40208"/>
    <w:rsid w:val="00D40236"/>
    <w:rsid w:val="00D40323"/>
    <w:rsid w:val="00D4033E"/>
    <w:rsid w:val="00D40360"/>
    <w:rsid w:val="00D4057C"/>
    <w:rsid w:val="00D40F19"/>
    <w:rsid w:val="00D40F99"/>
    <w:rsid w:val="00D41190"/>
    <w:rsid w:val="00D411AC"/>
    <w:rsid w:val="00D4122F"/>
    <w:rsid w:val="00D412D6"/>
    <w:rsid w:val="00D412DB"/>
    <w:rsid w:val="00D413DA"/>
    <w:rsid w:val="00D41431"/>
    <w:rsid w:val="00D4144A"/>
    <w:rsid w:val="00D416D8"/>
    <w:rsid w:val="00D41806"/>
    <w:rsid w:val="00D418B5"/>
    <w:rsid w:val="00D419E9"/>
    <w:rsid w:val="00D41D21"/>
    <w:rsid w:val="00D41D3E"/>
    <w:rsid w:val="00D41E04"/>
    <w:rsid w:val="00D4238F"/>
    <w:rsid w:val="00D42485"/>
    <w:rsid w:val="00D426B2"/>
    <w:rsid w:val="00D42728"/>
    <w:rsid w:val="00D42B16"/>
    <w:rsid w:val="00D43174"/>
    <w:rsid w:val="00D431C4"/>
    <w:rsid w:val="00D4323B"/>
    <w:rsid w:val="00D4347E"/>
    <w:rsid w:val="00D434E4"/>
    <w:rsid w:val="00D43929"/>
    <w:rsid w:val="00D439C2"/>
    <w:rsid w:val="00D439D2"/>
    <w:rsid w:val="00D43ADF"/>
    <w:rsid w:val="00D43B3E"/>
    <w:rsid w:val="00D43BF8"/>
    <w:rsid w:val="00D43C1D"/>
    <w:rsid w:val="00D43D45"/>
    <w:rsid w:val="00D43F28"/>
    <w:rsid w:val="00D43F81"/>
    <w:rsid w:val="00D44163"/>
    <w:rsid w:val="00D443CF"/>
    <w:rsid w:val="00D44553"/>
    <w:rsid w:val="00D44661"/>
    <w:rsid w:val="00D44822"/>
    <w:rsid w:val="00D4482A"/>
    <w:rsid w:val="00D4496E"/>
    <w:rsid w:val="00D44BEF"/>
    <w:rsid w:val="00D44C32"/>
    <w:rsid w:val="00D44E0A"/>
    <w:rsid w:val="00D44EBD"/>
    <w:rsid w:val="00D44EEA"/>
    <w:rsid w:val="00D450A9"/>
    <w:rsid w:val="00D451DA"/>
    <w:rsid w:val="00D45276"/>
    <w:rsid w:val="00D45372"/>
    <w:rsid w:val="00D45752"/>
    <w:rsid w:val="00D45CE6"/>
    <w:rsid w:val="00D45CF5"/>
    <w:rsid w:val="00D45D04"/>
    <w:rsid w:val="00D4602A"/>
    <w:rsid w:val="00D46144"/>
    <w:rsid w:val="00D46256"/>
    <w:rsid w:val="00D463FF"/>
    <w:rsid w:val="00D4643A"/>
    <w:rsid w:val="00D466E3"/>
    <w:rsid w:val="00D46846"/>
    <w:rsid w:val="00D4699F"/>
    <w:rsid w:val="00D46B2C"/>
    <w:rsid w:val="00D46D67"/>
    <w:rsid w:val="00D46D87"/>
    <w:rsid w:val="00D46DA6"/>
    <w:rsid w:val="00D46FE2"/>
    <w:rsid w:val="00D472D0"/>
    <w:rsid w:val="00D4748D"/>
    <w:rsid w:val="00D475DE"/>
    <w:rsid w:val="00D4785F"/>
    <w:rsid w:val="00D47963"/>
    <w:rsid w:val="00D47B3C"/>
    <w:rsid w:val="00D47CB5"/>
    <w:rsid w:val="00D47E88"/>
    <w:rsid w:val="00D47F34"/>
    <w:rsid w:val="00D5033E"/>
    <w:rsid w:val="00D505A9"/>
    <w:rsid w:val="00D5093F"/>
    <w:rsid w:val="00D50ACB"/>
    <w:rsid w:val="00D50DED"/>
    <w:rsid w:val="00D510F3"/>
    <w:rsid w:val="00D5118C"/>
    <w:rsid w:val="00D51485"/>
    <w:rsid w:val="00D51661"/>
    <w:rsid w:val="00D517B6"/>
    <w:rsid w:val="00D51940"/>
    <w:rsid w:val="00D51958"/>
    <w:rsid w:val="00D51D09"/>
    <w:rsid w:val="00D51D1C"/>
    <w:rsid w:val="00D51D7F"/>
    <w:rsid w:val="00D51EE7"/>
    <w:rsid w:val="00D52012"/>
    <w:rsid w:val="00D52023"/>
    <w:rsid w:val="00D52159"/>
    <w:rsid w:val="00D52187"/>
    <w:rsid w:val="00D5244C"/>
    <w:rsid w:val="00D52456"/>
    <w:rsid w:val="00D52681"/>
    <w:rsid w:val="00D528AD"/>
    <w:rsid w:val="00D52AFA"/>
    <w:rsid w:val="00D52B22"/>
    <w:rsid w:val="00D52E15"/>
    <w:rsid w:val="00D52E56"/>
    <w:rsid w:val="00D53196"/>
    <w:rsid w:val="00D531CF"/>
    <w:rsid w:val="00D5328C"/>
    <w:rsid w:val="00D53654"/>
    <w:rsid w:val="00D53738"/>
    <w:rsid w:val="00D537DE"/>
    <w:rsid w:val="00D53CCE"/>
    <w:rsid w:val="00D53DAF"/>
    <w:rsid w:val="00D53E42"/>
    <w:rsid w:val="00D54034"/>
    <w:rsid w:val="00D54079"/>
    <w:rsid w:val="00D540DC"/>
    <w:rsid w:val="00D5413C"/>
    <w:rsid w:val="00D542AA"/>
    <w:rsid w:val="00D544DD"/>
    <w:rsid w:val="00D5451C"/>
    <w:rsid w:val="00D54831"/>
    <w:rsid w:val="00D54B0B"/>
    <w:rsid w:val="00D54CE5"/>
    <w:rsid w:val="00D54F6F"/>
    <w:rsid w:val="00D54FDC"/>
    <w:rsid w:val="00D55121"/>
    <w:rsid w:val="00D55124"/>
    <w:rsid w:val="00D55169"/>
    <w:rsid w:val="00D55173"/>
    <w:rsid w:val="00D5534B"/>
    <w:rsid w:val="00D55594"/>
    <w:rsid w:val="00D5599E"/>
    <w:rsid w:val="00D55C8A"/>
    <w:rsid w:val="00D5602E"/>
    <w:rsid w:val="00D563FD"/>
    <w:rsid w:val="00D56460"/>
    <w:rsid w:val="00D56500"/>
    <w:rsid w:val="00D565E8"/>
    <w:rsid w:val="00D56782"/>
    <w:rsid w:val="00D567DB"/>
    <w:rsid w:val="00D568E0"/>
    <w:rsid w:val="00D5690E"/>
    <w:rsid w:val="00D569A9"/>
    <w:rsid w:val="00D56AE0"/>
    <w:rsid w:val="00D56B54"/>
    <w:rsid w:val="00D56DCE"/>
    <w:rsid w:val="00D56DD1"/>
    <w:rsid w:val="00D56FEE"/>
    <w:rsid w:val="00D57258"/>
    <w:rsid w:val="00D57648"/>
    <w:rsid w:val="00D5774B"/>
    <w:rsid w:val="00D5777B"/>
    <w:rsid w:val="00D57919"/>
    <w:rsid w:val="00D5796C"/>
    <w:rsid w:val="00D57992"/>
    <w:rsid w:val="00D579CA"/>
    <w:rsid w:val="00D57D60"/>
    <w:rsid w:val="00D57D63"/>
    <w:rsid w:val="00D57DAC"/>
    <w:rsid w:val="00D57EA7"/>
    <w:rsid w:val="00D57F8F"/>
    <w:rsid w:val="00D600E6"/>
    <w:rsid w:val="00D600F5"/>
    <w:rsid w:val="00D60379"/>
    <w:rsid w:val="00D60586"/>
    <w:rsid w:val="00D605E0"/>
    <w:rsid w:val="00D6062A"/>
    <w:rsid w:val="00D60787"/>
    <w:rsid w:val="00D60985"/>
    <w:rsid w:val="00D6099B"/>
    <w:rsid w:val="00D60B09"/>
    <w:rsid w:val="00D60DD1"/>
    <w:rsid w:val="00D60EEA"/>
    <w:rsid w:val="00D61070"/>
    <w:rsid w:val="00D611A9"/>
    <w:rsid w:val="00D61315"/>
    <w:rsid w:val="00D614D8"/>
    <w:rsid w:val="00D61729"/>
    <w:rsid w:val="00D61784"/>
    <w:rsid w:val="00D61836"/>
    <w:rsid w:val="00D61920"/>
    <w:rsid w:val="00D619A2"/>
    <w:rsid w:val="00D619F6"/>
    <w:rsid w:val="00D61A6A"/>
    <w:rsid w:val="00D61DB2"/>
    <w:rsid w:val="00D61EA3"/>
    <w:rsid w:val="00D621F3"/>
    <w:rsid w:val="00D62446"/>
    <w:rsid w:val="00D62547"/>
    <w:rsid w:val="00D62854"/>
    <w:rsid w:val="00D62947"/>
    <w:rsid w:val="00D6298E"/>
    <w:rsid w:val="00D62A0F"/>
    <w:rsid w:val="00D62C5F"/>
    <w:rsid w:val="00D62D83"/>
    <w:rsid w:val="00D62DA7"/>
    <w:rsid w:val="00D62E3E"/>
    <w:rsid w:val="00D62E54"/>
    <w:rsid w:val="00D62FC5"/>
    <w:rsid w:val="00D632B2"/>
    <w:rsid w:val="00D6334C"/>
    <w:rsid w:val="00D634FC"/>
    <w:rsid w:val="00D6358A"/>
    <w:rsid w:val="00D638E9"/>
    <w:rsid w:val="00D63FC2"/>
    <w:rsid w:val="00D64095"/>
    <w:rsid w:val="00D64116"/>
    <w:rsid w:val="00D64882"/>
    <w:rsid w:val="00D64A03"/>
    <w:rsid w:val="00D64B4B"/>
    <w:rsid w:val="00D64BB2"/>
    <w:rsid w:val="00D64CDC"/>
    <w:rsid w:val="00D64EFF"/>
    <w:rsid w:val="00D64FB2"/>
    <w:rsid w:val="00D6523C"/>
    <w:rsid w:val="00D6545B"/>
    <w:rsid w:val="00D657D6"/>
    <w:rsid w:val="00D6591A"/>
    <w:rsid w:val="00D65B79"/>
    <w:rsid w:val="00D65BD4"/>
    <w:rsid w:val="00D65C42"/>
    <w:rsid w:val="00D65C8D"/>
    <w:rsid w:val="00D65E20"/>
    <w:rsid w:val="00D65E54"/>
    <w:rsid w:val="00D66152"/>
    <w:rsid w:val="00D66265"/>
    <w:rsid w:val="00D6637F"/>
    <w:rsid w:val="00D6673D"/>
    <w:rsid w:val="00D66773"/>
    <w:rsid w:val="00D6685C"/>
    <w:rsid w:val="00D6689D"/>
    <w:rsid w:val="00D66914"/>
    <w:rsid w:val="00D66927"/>
    <w:rsid w:val="00D66B3B"/>
    <w:rsid w:val="00D66B74"/>
    <w:rsid w:val="00D66BB1"/>
    <w:rsid w:val="00D66BD4"/>
    <w:rsid w:val="00D66C38"/>
    <w:rsid w:val="00D66C4D"/>
    <w:rsid w:val="00D66D2A"/>
    <w:rsid w:val="00D66DE2"/>
    <w:rsid w:val="00D66F8B"/>
    <w:rsid w:val="00D67059"/>
    <w:rsid w:val="00D670B5"/>
    <w:rsid w:val="00D67131"/>
    <w:rsid w:val="00D675C8"/>
    <w:rsid w:val="00D67719"/>
    <w:rsid w:val="00D677C5"/>
    <w:rsid w:val="00D677EF"/>
    <w:rsid w:val="00D677F5"/>
    <w:rsid w:val="00D67801"/>
    <w:rsid w:val="00D678B9"/>
    <w:rsid w:val="00D678C0"/>
    <w:rsid w:val="00D679B5"/>
    <w:rsid w:val="00D67ABD"/>
    <w:rsid w:val="00D67E4A"/>
    <w:rsid w:val="00D67EC2"/>
    <w:rsid w:val="00D67FA1"/>
    <w:rsid w:val="00D67FD4"/>
    <w:rsid w:val="00D7012C"/>
    <w:rsid w:val="00D701C2"/>
    <w:rsid w:val="00D703FB"/>
    <w:rsid w:val="00D705F8"/>
    <w:rsid w:val="00D70AA4"/>
    <w:rsid w:val="00D70AED"/>
    <w:rsid w:val="00D70C55"/>
    <w:rsid w:val="00D70E5A"/>
    <w:rsid w:val="00D70E73"/>
    <w:rsid w:val="00D70ECE"/>
    <w:rsid w:val="00D71064"/>
    <w:rsid w:val="00D7122C"/>
    <w:rsid w:val="00D71423"/>
    <w:rsid w:val="00D715B0"/>
    <w:rsid w:val="00D71739"/>
    <w:rsid w:val="00D717E2"/>
    <w:rsid w:val="00D71957"/>
    <w:rsid w:val="00D71C53"/>
    <w:rsid w:val="00D71E1C"/>
    <w:rsid w:val="00D71E9E"/>
    <w:rsid w:val="00D72206"/>
    <w:rsid w:val="00D7224D"/>
    <w:rsid w:val="00D722A7"/>
    <w:rsid w:val="00D722E9"/>
    <w:rsid w:val="00D725FF"/>
    <w:rsid w:val="00D72624"/>
    <w:rsid w:val="00D728AC"/>
    <w:rsid w:val="00D72DB5"/>
    <w:rsid w:val="00D72F42"/>
    <w:rsid w:val="00D734D1"/>
    <w:rsid w:val="00D73661"/>
    <w:rsid w:val="00D7378A"/>
    <w:rsid w:val="00D737A0"/>
    <w:rsid w:val="00D73B99"/>
    <w:rsid w:val="00D73CF7"/>
    <w:rsid w:val="00D73E31"/>
    <w:rsid w:val="00D741C2"/>
    <w:rsid w:val="00D742F1"/>
    <w:rsid w:val="00D743B3"/>
    <w:rsid w:val="00D743E3"/>
    <w:rsid w:val="00D74543"/>
    <w:rsid w:val="00D74682"/>
    <w:rsid w:val="00D747A0"/>
    <w:rsid w:val="00D7491B"/>
    <w:rsid w:val="00D7498F"/>
    <w:rsid w:val="00D74BB2"/>
    <w:rsid w:val="00D74F6D"/>
    <w:rsid w:val="00D74FBC"/>
    <w:rsid w:val="00D75076"/>
    <w:rsid w:val="00D7508D"/>
    <w:rsid w:val="00D75127"/>
    <w:rsid w:val="00D75142"/>
    <w:rsid w:val="00D75156"/>
    <w:rsid w:val="00D7515F"/>
    <w:rsid w:val="00D75229"/>
    <w:rsid w:val="00D7530B"/>
    <w:rsid w:val="00D75361"/>
    <w:rsid w:val="00D753E7"/>
    <w:rsid w:val="00D75417"/>
    <w:rsid w:val="00D756C3"/>
    <w:rsid w:val="00D75FBA"/>
    <w:rsid w:val="00D765BB"/>
    <w:rsid w:val="00D766A4"/>
    <w:rsid w:val="00D76701"/>
    <w:rsid w:val="00D767A5"/>
    <w:rsid w:val="00D76855"/>
    <w:rsid w:val="00D76C19"/>
    <w:rsid w:val="00D76C1A"/>
    <w:rsid w:val="00D76CF1"/>
    <w:rsid w:val="00D76DFF"/>
    <w:rsid w:val="00D76ED8"/>
    <w:rsid w:val="00D7702E"/>
    <w:rsid w:val="00D775EE"/>
    <w:rsid w:val="00D77706"/>
    <w:rsid w:val="00D7783B"/>
    <w:rsid w:val="00D77BA4"/>
    <w:rsid w:val="00D77D34"/>
    <w:rsid w:val="00D77F57"/>
    <w:rsid w:val="00D77FBE"/>
    <w:rsid w:val="00D80189"/>
    <w:rsid w:val="00D8024F"/>
    <w:rsid w:val="00D807FA"/>
    <w:rsid w:val="00D8094B"/>
    <w:rsid w:val="00D8096D"/>
    <w:rsid w:val="00D80BA5"/>
    <w:rsid w:val="00D80BBF"/>
    <w:rsid w:val="00D80C23"/>
    <w:rsid w:val="00D80E29"/>
    <w:rsid w:val="00D80E81"/>
    <w:rsid w:val="00D810E8"/>
    <w:rsid w:val="00D814A9"/>
    <w:rsid w:val="00D8178E"/>
    <w:rsid w:val="00D8183C"/>
    <w:rsid w:val="00D81907"/>
    <w:rsid w:val="00D81973"/>
    <w:rsid w:val="00D819B5"/>
    <w:rsid w:val="00D819BA"/>
    <w:rsid w:val="00D81C1F"/>
    <w:rsid w:val="00D81C9A"/>
    <w:rsid w:val="00D81DAA"/>
    <w:rsid w:val="00D822B0"/>
    <w:rsid w:val="00D823C7"/>
    <w:rsid w:val="00D8285C"/>
    <w:rsid w:val="00D828D0"/>
    <w:rsid w:val="00D82C74"/>
    <w:rsid w:val="00D82CD7"/>
    <w:rsid w:val="00D83439"/>
    <w:rsid w:val="00D83926"/>
    <w:rsid w:val="00D83AAB"/>
    <w:rsid w:val="00D83C42"/>
    <w:rsid w:val="00D83D76"/>
    <w:rsid w:val="00D83DB3"/>
    <w:rsid w:val="00D83E18"/>
    <w:rsid w:val="00D83F25"/>
    <w:rsid w:val="00D842A9"/>
    <w:rsid w:val="00D84590"/>
    <w:rsid w:val="00D84B86"/>
    <w:rsid w:val="00D84BE1"/>
    <w:rsid w:val="00D84C90"/>
    <w:rsid w:val="00D84CE3"/>
    <w:rsid w:val="00D84FC4"/>
    <w:rsid w:val="00D8522A"/>
    <w:rsid w:val="00D8526F"/>
    <w:rsid w:val="00D8530E"/>
    <w:rsid w:val="00D854D4"/>
    <w:rsid w:val="00D85682"/>
    <w:rsid w:val="00D857B5"/>
    <w:rsid w:val="00D85C0B"/>
    <w:rsid w:val="00D85D0F"/>
    <w:rsid w:val="00D85E95"/>
    <w:rsid w:val="00D86068"/>
    <w:rsid w:val="00D860C3"/>
    <w:rsid w:val="00D86135"/>
    <w:rsid w:val="00D86172"/>
    <w:rsid w:val="00D86294"/>
    <w:rsid w:val="00D8642F"/>
    <w:rsid w:val="00D864C1"/>
    <w:rsid w:val="00D8653F"/>
    <w:rsid w:val="00D8662D"/>
    <w:rsid w:val="00D86914"/>
    <w:rsid w:val="00D86A43"/>
    <w:rsid w:val="00D86F33"/>
    <w:rsid w:val="00D86FEC"/>
    <w:rsid w:val="00D8705E"/>
    <w:rsid w:val="00D8725E"/>
    <w:rsid w:val="00D875DB"/>
    <w:rsid w:val="00D8792E"/>
    <w:rsid w:val="00D8795B"/>
    <w:rsid w:val="00D87970"/>
    <w:rsid w:val="00D879E5"/>
    <w:rsid w:val="00D879FD"/>
    <w:rsid w:val="00D87A90"/>
    <w:rsid w:val="00D87B89"/>
    <w:rsid w:val="00D87CCB"/>
    <w:rsid w:val="00D87DBF"/>
    <w:rsid w:val="00D87DEE"/>
    <w:rsid w:val="00D87FCF"/>
    <w:rsid w:val="00D9000B"/>
    <w:rsid w:val="00D9003A"/>
    <w:rsid w:val="00D9012E"/>
    <w:rsid w:val="00D9066E"/>
    <w:rsid w:val="00D90897"/>
    <w:rsid w:val="00D909B1"/>
    <w:rsid w:val="00D909FB"/>
    <w:rsid w:val="00D90B1A"/>
    <w:rsid w:val="00D90B3A"/>
    <w:rsid w:val="00D90BBF"/>
    <w:rsid w:val="00D90C88"/>
    <w:rsid w:val="00D90C96"/>
    <w:rsid w:val="00D90CD9"/>
    <w:rsid w:val="00D90DF6"/>
    <w:rsid w:val="00D91051"/>
    <w:rsid w:val="00D91104"/>
    <w:rsid w:val="00D9115D"/>
    <w:rsid w:val="00D911B5"/>
    <w:rsid w:val="00D91254"/>
    <w:rsid w:val="00D9127D"/>
    <w:rsid w:val="00D91299"/>
    <w:rsid w:val="00D912D4"/>
    <w:rsid w:val="00D91465"/>
    <w:rsid w:val="00D914B4"/>
    <w:rsid w:val="00D91719"/>
    <w:rsid w:val="00D91771"/>
    <w:rsid w:val="00D91C1B"/>
    <w:rsid w:val="00D91EBE"/>
    <w:rsid w:val="00D91FA1"/>
    <w:rsid w:val="00D926A6"/>
    <w:rsid w:val="00D926CE"/>
    <w:rsid w:val="00D9279B"/>
    <w:rsid w:val="00D92A3A"/>
    <w:rsid w:val="00D92B15"/>
    <w:rsid w:val="00D92BCD"/>
    <w:rsid w:val="00D92C43"/>
    <w:rsid w:val="00D92CC6"/>
    <w:rsid w:val="00D92E3D"/>
    <w:rsid w:val="00D93586"/>
    <w:rsid w:val="00D936B8"/>
    <w:rsid w:val="00D93952"/>
    <w:rsid w:val="00D93E86"/>
    <w:rsid w:val="00D93F4B"/>
    <w:rsid w:val="00D93F89"/>
    <w:rsid w:val="00D94523"/>
    <w:rsid w:val="00D94848"/>
    <w:rsid w:val="00D948A2"/>
    <w:rsid w:val="00D94A03"/>
    <w:rsid w:val="00D94C5E"/>
    <w:rsid w:val="00D94C9C"/>
    <w:rsid w:val="00D951CA"/>
    <w:rsid w:val="00D951E8"/>
    <w:rsid w:val="00D952CB"/>
    <w:rsid w:val="00D954A1"/>
    <w:rsid w:val="00D95712"/>
    <w:rsid w:val="00D9579C"/>
    <w:rsid w:val="00D95815"/>
    <w:rsid w:val="00D95A9A"/>
    <w:rsid w:val="00D95C9E"/>
    <w:rsid w:val="00D95CB9"/>
    <w:rsid w:val="00D95E49"/>
    <w:rsid w:val="00D95E79"/>
    <w:rsid w:val="00D95ED8"/>
    <w:rsid w:val="00D95FF0"/>
    <w:rsid w:val="00D960F1"/>
    <w:rsid w:val="00D96156"/>
    <w:rsid w:val="00D962C3"/>
    <w:rsid w:val="00D9650A"/>
    <w:rsid w:val="00D96597"/>
    <w:rsid w:val="00D969DB"/>
    <w:rsid w:val="00D96FB7"/>
    <w:rsid w:val="00D96FDA"/>
    <w:rsid w:val="00D97068"/>
    <w:rsid w:val="00D9706A"/>
    <w:rsid w:val="00D97122"/>
    <w:rsid w:val="00D971C3"/>
    <w:rsid w:val="00D97442"/>
    <w:rsid w:val="00D974B5"/>
    <w:rsid w:val="00D974D9"/>
    <w:rsid w:val="00D979A8"/>
    <w:rsid w:val="00D979EE"/>
    <w:rsid w:val="00D97C9C"/>
    <w:rsid w:val="00D97CE3"/>
    <w:rsid w:val="00D97DDE"/>
    <w:rsid w:val="00D97EB0"/>
    <w:rsid w:val="00DA0006"/>
    <w:rsid w:val="00DA0332"/>
    <w:rsid w:val="00DA051C"/>
    <w:rsid w:val="00DA0649"/>
    <w:rsid w:val="00DA0846"/>
    <w:rsid w:val="00DA08A7"/>
    <w:rsid w:val="00DA0919"/>
    <w:rsid w:val="00DA0951"/>
    <w:rsid w:val="00DA0EA0"/>
    <w:rsid w:val="00DA0EA9"/>
    <w:rsid w:val="00DA0FFE"/>
    <w:rsid w:val="00DA10C4"/>
    <w:rsid w:val="00DA10C7"/>
    <w:rsid w:val="00DA112A"/>
    <w:rsid w:val="00DA1151"/>
    <w:rsid w:val="00DA1557"/>
    <w:rsid w:val="00DA1875"/>
    <w:rsid w:val="00DA18A5"/>
    <w:rsid w:val="00DA1922"/>
    <w:rsid w:val="00DA1B23"/>
    <w:rsid w:val="00DA1EA9"/>
    <w:rsid w:val="00DA2263"/>
    <w:rsid w:val="00DA2460"/>
    <w:rsid w:val="00DA2753"/>
    <w:rsid w:val="00DA2759"/>
    <w:rsid w:val="00DA2852"/>
    <w:rsid w:val="00DA2DFD"/>
    <w:rsid w:val="00DA2FAF"/>
    <w:rsid w:val="00DA2FD8"/>
    <w:rsid w:val="00DA3036"/>
    <w:rsid w:val="00DA30C8"/>
    <w:rsid w:val="00DA3486"/>
    <w:rsid w:val="00DA377F"/>
    <w:rsid w:val="00DA3AA9"/>
    <w:rsid w:val="00DA3ABC"/>
    <w:rsid w:val="00DA3BC6"/>
    <w:rsid w:val="00DA3F26"/>
    <w:rsid w:val="00DA40FD"/>
    <w:rsid w:val="00DA4835"/>
    <w:rsid w:val="00DA488F"/>
    <w:rsid w:val="00DA4A19"/>
    <w:rsid w:val="00DA4B27"/>
    <w:rsid w:val="00DA4BCC"/>
    <w:rsid w:val="00DA4C31"/>
    <w:rsid w:val="00DA4C62"/>
    <w:rsid w:val="00DA51AD"/>
    <w:rsid w:val="00DA5340"/>
    <w:rsid w:val="00DA588A"/>
    <w:rsid w:val="00DA5951"/>
    <w:rsid w:val="00DA59DB"/>
    <w:rsid w:val="00DA5A0C"/>
    <w:rsid w:val="00DA5AA4"/>
    <w:rsid w:val="00DA5BB2"/>
    <w:rsid w:val="00DA5C05"/>
    <w:rsid w:val="00DA5C7F"/>
    <w:rsid w:val="00DA5D5F"/>
    <w:rsid w:val="00DA5F0C"/>
    <w:rsid w:val="00DA5FC8"/>
    <w:rsid w:val="00DA605E"/>
    <w:rsid w:val="00DA618E"/>
    <w:rsid w:val="00DA6429"/>
    <w:rsid w:val="00DA6466"/>
    <w:rsid w:val="00DA68B7"/>
    <w:rsid w:val="00DA6984"/>
    <w:rsid w:val="00DA6AF0"/>
    <w:rsid w:val="00DA6DEA"/>
    <w:rsid w:val="00DA6E33"/>
    <w:rsid w:val="00DA6F24"/>
    <w:rsid w:val="00DA6F63"/>
    <w:rsid w:val="00DA708F"/>
    <w:rsid w:val="00DA7112"/>
    <w:rsid w:val="00DA720D"/>
    <w:rsid w:val="00DA7328"/>
    <w:rsid w:val="00DA74DC"/>
    <w:rsid w:val="00DA75E3"/>
    <w:rsid w:val="00DA76EC"/>
    <w:rsid w:val="00DA7C08"/>
    <w:rsid w:val="00DA7CA3"/>
    <w:rsid w:val="00DA7DDB"/>
    <w:rsid w:val="00DB015B"/>
    <w:rsid w:val="00DB02D3"/>
    <w:rsid w:val="00DB02D5"/>
    <w:rsid w:val="00DB0589"/>
    <w:rsid w:val="00DB05E1"/>
    <w:rsid w:val="00DB080C"/>
    <w:rsid w:val="00DB0D3B"/>
    <w:rsid w:val="00DB0D51"/>
    <w:rsid w:val="00DB1024"/>
    <w:rsid w:val="00DB102D"/>
    <w:rsid w:val="00DB119E"/>
    <w:rsid w:val="00DB12C8"/>
    <w:rsid w:val="00DB12DF"/>
    <w:rsid w:val="00DB1448"/>
    <w:rsid w:val="00DB1563"/>
    <w:rsid w:val="00DB166F"/>
    <w:rsid w:val="00DB18AC"/>
    <w:rsid w:val="00DB18AE"/>
    <w:rsid w:val="00DB1C7D"/>
    <w:rsid w:val="00DB1EDD"/>
    <w:rsid w:val="00DB1F8D"/>
    <w:rsid w:val="00DB1F9E"/>
    <w:rsid w:val="00DB20F5"/>
    <w:rsid w:val="00DB22BD"/>
    <w:rsid w:val="00DB2393"/>
    <w:rsid w:val="00DB2761"/>
    <w:rsid w:val="00DB280E"/>
    <w:rsid w:val="00DB28F5"/>
    <w:rsid w:val="00DB2AD9"/>
    <w:rsid w:val="00DB2B54"/>
    <w:rsid w:val="00DB2B71"/>
    <w:rsid w:val="00DB2F8A"/>
    <w:rsid w:val="00DB2FDE"/>
    <w:rsid w:val="00DB30B3"/>
    <w:rsid w:val="00DB34C6"/>
    <w:rsid w:val="00DB3521"/>
    <w:rsid w:val="00DB3650"/>
    <w:rsid w:val="00DB3C30"/>
    <w:rsid w:val="00DB3CD8"/>
    <w:rsid w:val="00DB3D28"/>
    <w:rsid w:val="00DB3DCB"/>
    <w:rsid w:val="00DB3DEB"/>
    <w:rsid w:val="00DB3DFB"/>
    <w:rsid w:val="00DB4577"/>
    <w:rsid w:val="00DB462A"/>
    <w:rsid w:val="00DB4789"/>
    <w:rsid w:val="00DB478D"/>
    <w:rsid w:val="00DB480A"/>
    <w:rsid w:val="00DB48EB"/>
    <w:rsid w:val="00DB49A4"/>
    <w:rsid w:val="00DB4B35"/>
    <w:rsid w:val="00DB4E18"/>
    <w:rsid w:val="00DB5035"/>
    <w:rsid w:val="00DB5049"/>
    <w:rsid w:val="00DB5181"/>
    <w:rsid w:val="00DB5402"/>
    <w:rsid w:val="00DB56C1"/>
    <w:rsid w:val="00DB57F7"/>
    <w:rsid w:val="00DB5A93"/>
    <w:rsid w:val="00DB5B5A"/>
    <w:rsid w:val="00DB5B9A"/>
    <w:rsid w:val="00DB5C78"/>
    <w:rsid w:val="00DB5CFA"/>
    <w:rsid w:val="00DB5DED"/>
    <w:rsid w:val="00DB5E67"/>
    <w:rsid w:val="00DB605D"/>
    <w:rsid w:val="00DB60B3"/>
    <w:rsid w:val="00DB6197"/>
    <w:rsid w:val="00DB6378"/>
    <w:rsid w:val="00DB63A1"/>
    <w:rsid w:val="00DB65DA"/>
    <w:rsid w:val="00DB663C"/>
    <w:rsid w:val="00DB670E"/>
    <w:rsid w:val="00DB6864"/>
    <w:rsid w:val="00DB689F"/>
    <w:rsid w:val="00DB68B1"/>
    <w:rsid w:val="00DB6912"/>
    <w:rsid w:val="00DB6B0E"/>
    <w:rsid w:val="00DB6B8F"/>
    <w:rsid w:val="00DB6C33"/>
    <w:rsid w:val="00DB6D4B"/>
    <w:rsid w:val="00DB6F16"/>
    <w:rsid w:val="00DB6F85"/>
    <w:rsid w:val="00DB7120"/>
    <w:rsid w:val="00DB7159"/>
    <w:rsid w:val="00DB732B"/>
    <w:rsid w:val="00DB7573"/>
    <w:rsid w:val="00DB757D"/>
    <w:rsid w:val="00DB760B"/>
    <w:rsid w:val="00DB785C"/>
    <w:rsid w:val="00DB7BA8"/>
    <w:rsid w:val="00DB7DEE"/>
    <w:rsid w:val="00DB7DFC"/>
    <w:rsid w:val="00DB7EE7"/>
    <w:rsid w:val="00DC00F6"/>
    <w:rsid w:val="00DC021D"/>
    <w:rsid w:val="00DC0268"/>
    <w:rsid w:val="00DC0658"/>
    <w:rsid w:val="00DC067A"/>
    <w:rsid w:val="00DC06C8"/>
    <w:rsid w:val="00DC079E"/>
    <w:rsid w:val="00DC093C"/>
    <w:rsid w:val="00DC093F"/>
    <w:rsid w:val="00DC0993"/>
    <w:rsid w:val="00DC0AFF"/>
    <w:rsid w:val="00DC0CA8"/>
    <w:rsid w:val="00DC0CEE"/>
    <w:rsid w:val="00DC10F6"/>
    <w:rsid w:val="00DC1215"/>
    <w:rsid w:val="00DC1418"/>
    <w:rsid w:val="00DC153A"/>
    <w:rsid w:val="00DC19B1"/>
    <w:rsid w:val="00DC1A21"/>
    <w:rsid w:val="00DC1D4B"/>
    <w:rsid w:val="00DC1F54"/>
    <w:rsid w:val="00DC2382"/>
    <w:rsid w:val="00DC2415"/>
    <w:rsid w:val="00DC2488"/>
    <w:rsid w:val="00DC24A1"/>
    <w:rsid w:val="00DC24E6"/>
    <w:rsid w:val="00DC254B"/>
    <w:rsid w:val="00DC2629"/>
    <w:rsid w:val="00DC2901"/>
    <w:rsid w:val="00DC29A0"/>
    <w:rsid w:val="00DC2C58"/>
    <w:rsid w:val="00DC2CB5"/>
    <w:rsid w:val="00DC2CDD"/>
    <w:rsid w:val="00DC2D15"/>
    <w:rsid w:val="00DC3059"/>
    <w:rsid w:val="00DC3082"/>
    <w:rsid w:val="00DC323E"/>
    <w:rsid w:val="00DC3250"/>
    <w:rsid w:val="00DC32C4"/>
    <w:rsid w:val="00DC3410"/>
    <w:rsid w:val="00DC35B8"/>
    <w:rsid w:val="00DC35EA"/>
    <w:rsid w:val="00DC3675"/>
    <w:rsid w:val="00DC3771"/>
    <w:rsid w:val="00DC3814"/>
    <w:rsid w:val="00DC381B"/>
    <w:rsid w:val="00DC384B"/>
    <w:rsid w:val="00DC39F0"/>
    <w:rsid w:val="00DC3B5A"/>
    <w:rsid w:val="00DC3E50"/>
    <w:rsid w:val="00DC402A"/>
    <w:rsid w:val="00DC40DC"/>
    <w:rsid w:val="00DC411A"/>
    <w:rsid w:val="00DC4264"/>
    <w:rsid w:val="00DC42DA"/>
    <w:rsid w:val="00DC43D0"/>
    <w:rsid w:val="00DC45B2"/>
    <w:rsid w:val="00DC4761"/>
    <w:rsid w:val="00DC481B"/>
    <w:rsid w:val="00DC499C"/>
    <w:rsid w:val="00DC4A3E"/>
    <w:rsid w:val="00DC4AA7"/>
    <w:rsid w:val="00DC4D56"/>
    <w:rsid w:val="00DC5182"/>
    <w:rsid w:val="00DC562F"/>
    <w:rsid w:val="00DC56DC"/>
    <w:rsid w:val="00DC5A7C"/>
    <w:rsid w:val="00DC5DBF"/>
    <w:rsid w:val="00DC5E36"/>
    <w:rsid w:val="00DC6151"/>
    <w:rsid w:val="00DC6403"/>
    <w:rsid w:val="00DC643B"/>
    <w:rsid w:val="00DC645B"/>
    <w:rsid w:val="00DC656F"/>
    <w:rsid w:val="00DC6732"/>
    <w:rsid w:val="00DC67A3"/>
    <w:rsid w:val="00DC67CE"/>
    <w:rsid w:val="00DC6820"/>
    <w:rsid w:val="00DC6976"/>
    <w:rsid w:val="00DC6A3F"/>
    <w:rsid w:val="00DC6B32"/>
    <w:rsid w:val="00DC6CAA"/>
    <w:rsid w:val="00DC6E1E"/>
    <w:rsid w:val="00DC6FE6"/>
    <w:rsid w:val="00DC74E4"/>
    <w:rsid w:val="00DC753B"/>
    <w:rsid w:val="00DC7592"/>
    <w:rsid w:val="00DC763E"/>
    <w:rsid w:val="00DC764A"/>
    <w:rsid w:val="00DC76F0"/>
    <w:rsid w:val="00DC79A8"/>
    <w:rsid w:val="00DC7E6C"/>
    <w:rsid w:val="00DD025A"/>
    <w:rsid w:val="00DD02FC"/>
    <w:rsid w:val="00DD04E7"/>
    <w:rsid w:val="00DD07B2"/>
    <w:rsid w:val="00DD08DE"/>
    <w:rsid w:val="00DD0AC0"/>
    <w:rsid w:val="00DD0BB6"/>
    <w:rsid w:val="00DD0BB9"/>
    <w:rsid w:val="00DD0CC4"/>
    <w:rsid w:val="00DD0E84"/>
    <w:rsid w:val="00DD10F0"/>
    <w:rsid w:val="00DD135E"/>
    <w:rsid w:val="00DD147B"/>
    <w:rsid w:val="00DD192C"/>
    <w:rsid w:val="00DD1A24"/>
    <w:rsid w:val="00DD1A29"/>
    <w:rsid w:val="00DD1B42"/>
    <w:rsid w:val="00DD1C2D"/>
    <w:rsid w:val="00DD1C64"/>
    <w:rsid w:val="00DD1CCB"/>
    <w:rsid w:val="00DD1CE2"/>
    <w:rsid w:val="00DD237E"/>
    <w:rsid w:val="00DD2437"/>
    <w:rsid w:val="00DD2473"/>
    <w:rsid w:val="00DD2593"/>
    <w:rsid w:val="00DD2674"/>
    <w:rsid w:val="00DD26E4"/>
    <w:rsid w:val="00DD2A90"/>
    <w:rsid w:val="00DD2A9A"/>
    <w:rsid w:val="00DD2CA8"/>
    <w:rsid w:val="00DD2D91"/>
    <w:rsid w:val="00DD2FD6"/>
    <w:rsid w:val="00DD2FFD"/>
    <w:rsid w:val="00DD323C"/>
    <w:rsid w:val="00DD3339"/>
    <w:rsid w:val="00DD3451"/>
    <w:rsid w:val="00DD36AE"/>
    <w:rsid w:val="00DD36B3"/>
    <w:rsid w:val="00DD381C"/>
    <w:rsid w:val="00DD3880"/>
    <w:rsid w:val="00DD39EE"/>
    <w:rsid w:val="00DD3A9A"/>
    <w:rsid w:val="00DD3ABA"/>
    <w:rsid w:val="00DD3C1F"/>
    <w:rsid w:val="00DD3CF3"/>
    <w:rsid w:val="00DD3D49"/>
    <w:rsid w:val="00DD3DD3"/>
    <w:rsid w:val="00DD3F4F"/>
    <w:rsid w:val="00DD4041"/>
    <w:rsid w:val="00DD465F"/>
    <w:rsid w:val="00DD4B0D"/>
    <w:rsid w:val="00DD4B81"/>
    <w:rsid w:val="00DD4DE2"/>
    <w:rsid w:val="00DD4E0D"/>
    <w:rsid w:val="00DD5003"/>
    <w:rsid w:val="00DD504E"/>
    <w:rsid w:val="00DD54F7"/>
    <w:rsid w:val="00DD55D7"/>
    <w:rsid w:val="00DD5774"/>
    <w:rsid w:val="00DD57C2"/>
    <w:rsid w:val="00DD57F3"/>
    <w:rsid w:val="00DD58DF"/>
    <w:rsid w:val="00DD5A93"/>
    <w:rsid w:val="00DD5B91"/>
    <w:rsid w:val="00DD5CBC"/>
    <w:rsid w:val="00DD5E23"/>
    <w:rsid w:val="00DD5E96"/>
    <w:rsid w:val="00DD6004"/>
    <w:rsid w:val="00DD61F1"/>
    <w:rsid w:val="00DD640A"/>
    <w:rsid w:val="00DD6525"/>
    <w:rsid w:val="00DD655C"/>
    <w:rsid w:val="00DD6589"/>
    <w:rsid w:val="00DD6AB6"/>
    <w:rsid w:val="00DD6B0E"/>
    <w:rsid w:val="00DD6B8D"/>
    <w:rsid w:val="00DD6C08"/>
    <w:rsid w:val="00DD6D5C"/>
    <w:rsid w:val="00DD6E5A"/>
    <w:rsid w:val="00DD6F8A"/>
    <w:rsid w:val="00DD6FAA"/>
    <w:rsid w:val="00DD6FAB"/>
    <w:rsid w:val="00DD70AF"/>
    <w:rsid w:val="00DD7190"/>
    <w:rsid w:val="00DD72BE"/>
    <w:rsid w:val="00DD737B"/>
    <w:rsid w:val="00DD73AD"/>
    <w:rsid w:val="00DD7401"/>
    <w:rsid w:val="00DD7549"/>
    <w:rsid w:val="00DD7745"/>
    <w:rsid w:val="00DD77CD"/>
    <w:rsid w:val="00DD7915"/>
    <w:rsid w:val="00DD7B81"/>
    <w:rsid w:val="00DD7BC0"/>
    <w:rsid w:val="00DD7E5D"/>
    <w:rsid w:val="00DD7E77"/>
    <w:rsid w:val="00DE02D3"/>
    <w:rsid w:val="00DE03A2"/>
    <w:rsid w:val="00DE03EE"/>
    <w:rsid w:val="00DE04BD"/>
    <w:rsid w:val="00DE04DE"/>
    <w:rsid w:val="00DE07B6"/>
    <w:rsid w:val="00DE0846"/>
    <w:rsid w:val="00DE0C27"/>
    <w:rsid w:val="00DE0ED5"/>
    <w:rsid w:val="00DE1064"/>
    <w:rsid w:val="00DE13DB"/>
    <w:rsid w:val="00DE17FD"/>
    <w:rsid w:val="00DE193D"/>
    <w:rsid w:val="00DE19DE"/>
    <w:rsid w:val="00DE1B21"/>
    <w:rsid w:val="00DE1C60"/>
    <w:rsid w:val="00DE1E08"/>
    <w:rsid w:val="00DE1E5A"/>
    <w:rsid w:val="00DE219C"/>
    <w:rsid w:val="00DE21B5"/>
    <w:rsid w:val="00DE2265"/>
    <w:rsid w:val="00DE241C"/>
    <w:rsid w:val="00DE2669"/>
    <w:rsid w:val="00DE26E9"/>
    <w:rsid w:val="00DE271D"/>
    <w:rsid w:val="00DE277D"/>
    <w:rsid w:val="00DE296C"/>
    <w:rsid w:val="00DE29B5"/>
    <w:rsid w:val="00DE2CA0"/>
    <w:rsid w:val="00DE2D00"/>
    <w:rsid w:val="00DE2D5B"/>
    <w:rsid w:val="00DE2DA8"/>
    <w:rsid w:val="00DE2F16"/>
    <w:rsid w:val="00DE3255"/>
    <w:rsid w:val="00DE34C4"/>
    <w:rsid w:val="00DE36CD"/>
    <w:rsid w:val="00DE385D"/>
    <w:rsid w:val="00DE393E"/>
    <w:rsid w:val="00DE3B14"/>
    <w:rsid w:val="00DE3C64"/>
    <w:rsid w:val="00DE3D8E"/>
    <w:rsid w:val="00DE3DBA"/>
    <w:rsid w:val="00DE3EC0"/>
    <w:rsid w:val="00DE3F9F"/>
    <w:rsid w:val="00DE4049"/>
    <w:rsid w:val="00DE40AB"/>
    <w:rsid w:val="00DE40D7"/>
    <w:rsid w:val="00DE437D"/>
    <w:rsid w:val="00DE4522"/>
    <w:rsid w:val="00DE4695"/>
    <w:rsid w:val="00DE4A6C"/>
    <w:rsid w:val="00DE4B90"/>
    <w:rsid w:val="00DE5353"/>
    <w:rsid w:val="00DE547A"/>
    <w:rsid w:val="00DE561D"/>
    <w:rsid w:val="00DE5A55"/>
    <w:rsid w:val="00DE5A95"/>
    <w:rsid w:val="00DE5AF1"/>
    <w:rsid w:val="00DE5D1A"/>
    <w:rsid w:val="00DE5D77"/>
    <w:rsid w:val="00DE61E7"/>
    <w:rsid w:val="00DE6257"/>
    <w:rsid w:val="00DE628B"/>
    <w:rsid w:val="00DE6732"/>
    <w:rsid w:val="00DE6766"/>
    <w:rsid w:val="00DE67C2"/>
    <w:rsid w:val="00DE6985"/>
    <w:rsid w:val="00DE6A10"/>
    <w:rsid w:val="00DE6ACE"/>
    <w:rsid w:val="00DE6AD8"/>
    <w:rsid w:val="00DE6E10"/>
    <w:rsid w:val="00DE6F9B"/>
    <w:rsid w:val="00DE710F"/>
    <w:rsid w:val="00DE7270"/>
    <w:rsid w:val="00DE73DA"/>
    <w:rsid w:val="00DE75A4"/>
    <w:rsid w:val="00DE75A8"/>
    <w:rsid w:val="00DE766C"/>
    <w:rsid w:val="00DE7709"/>
    <w:rsid w:val="00DE789B"/>
    <w:rsid w:val="00DE7908"/>
    <w:rsid w:val="00DE7C24"/>
    <w:rsid w:val="00DE7D78"/>
    <w:rsid w:val="00DE7E0F"/>
    <w:rsid w:val="00DE7EED"/>
    <w:rsid w:val="00DE7EEE"/>
    <w:rsid w:val="00DE7FB1"/>
    <w:rsid w:val="00DE7FB4"/>
    <w:rsid w:val="00DF018C"/>
    <w:rsid w:val="00DF02DE"/>
    <w:rsid w:val="00DF0436"/>
    <w:rsid w:val="00DF091B"/>
    <w:rsid w:val="00DF09CF"/>
    <w:rsid w:val="00DF09FB"/>
    <w:rsid w:val="00DF0AF4"/>
    <w:rsid w:val="00DF0B85"/>
    <w:rsid w:val="00DF0C19"/>
    <w:rsid w:val="00DF0D39"/>
    <w:rsid w:val="00DF0F6A"/>
    <w:rsid w:val="00DF0FC7"/>
    <w:rsid w:val="00DF1012"/>
    <w:rsid w:val="00DF13D6"/>
    <w:rsid w:val="00DF142F"/>
    <w:rsid w:val="00DF157D"/>
    <w:rsid w:val="00DF15A8"/>
    <w:rsid w:val="00DF1663"/>
    <w:rsid w:val="00DF1674"/>
    <w:rsid w:val="00DF1710"/>
    <w:rsid w:val="00DF17E3"/>
    <w:rsid w:val="00DF1A23"/>
    <w:rsid w:val="00DF1B30"/>
    <w:rsid w:val="00DF20F4"/>
    <w:rsid w:val="00DF2101"/>
    <w:rsid w:val="00DF2185"/>
    <w:rsid w:val="00DF25FB"/>
    <w:rsid w:val="00DF285B"/>
    <w:rsid w:val="00DF2A43"/>
    <w:rsid w:val="00DF2D2E"/>
    <w:rsid w:val="00DF2F08"/>
    <w:rsid w:val="00DF305A"/>
    <w:rsid w:val="00DF3303"/>
    <w:rsid w:val="00DF33D5"/>
    <w:rsid w:val="00DF3597"/>
    <w:rsid w:val="00DF35E8"/>
    <w:rsid w:val="00DF3626"/>
    <w:rsid w:val="00DF3795"/>
    <w:rsid w:val="00DF38BD"/>
    <w:rsid w:val="00DF3B73"/>
    <w:rsid w:val="00DF3D26"/>
    <w:rsid w:val="00DF4075"/>
    <w:rsid w:val="00DF4143"/>
    <w:rsid w:val="00DF4247"/>
    <w:rsid w:val="00DF4294"/>
    <w:rsid w:val="00DF461C"/>
    <w:rsid w:val="00DF49AD"/>
    <w:rsid w:val="00DF4A5C"/>
    <w:rsid w:val="00DF4A9B"/>
    <w:rsid w:val="00DF4C12"/>
    <w:rsid w:val="00DF4C91"/>
    <w:rsid w:val="00DF4F41"/>
    <w:rsid w:val="00DF515A"/>
    <w:rsid w:val="00DF515E"/>
    <w:rsid w:val="00DF521C"/>
    <w:rsid w:val="00DF53F3"/>
    <w:rsid w:val="00DF55AA"/>
    <w:rsid w:val="00DF56BE"/>
    <w:rsid w:val="00DF575A"/>
    <w:rsid w:val="00DF57D6"/>
    <w:rsid w:val="00DF57E8"/>
    <w:rsid w:val="00DF58FC"/>
    <w:rsid w:val="00DF5FCE"/>
    <w:rsid w:val="00DF613E"/>
    <w:rsid w:val="00DF63B9"/>
    <w:rsid w:val="00DF6623"/>
    <w:rsid w:val="00DF682F"/>
    <w:rsid w:val="00DF68F8"/>
    <w:rsid w:val="00DF6A13"/>
    <w:rsid w:val="00DF6BCB"/>
    <w:rsid w:val="00DF6CCA"/>
    <w:rsid w:val="00DF6F83"/>
    <w:rsid w:val="00DF7050"/>
    <w:rsid w:val="00DF7294"/>
    <w:rsid w:val="00DF73EB"/>
    <w:rsid w:val="00DF744E"/>
    <w:rsid w:val="00DF768D"/>
    <w:rsid w:val="00DF7735"/>
    <w:rsid w:val="00DF79A5"/>
    <w:rsid w:val="00DF79DA"/>
    <w:rsid w:val="00DF79EC"/>
    <w:rsid w:val="00DF7A5C"/>
    <w:rsid w:val="00DF7C48"/>
    <w:rsid w:val="00DF7C83"/>
    <w:rsid w:val="00DF7D3E"/>
    <w:rsid w:val="00DF7D98"/>
    <w:rsid w:val="00DF7ED6"/>
    <w:rsid w:val="00DF7F75"/>
    <w:rsid w:val="00E001A8"/>
    <w:rsid w:val="00E003C0"/>
    <w:rsid w:val="00E00439"/>
    <w:rsid w:val="00E0049E"/>
    <w:rsid w:val="00E004C3"/>
    <w:rsid w:val="00E00AC1"/>
    <w:rsid w:val="00E00AFA"/>
    <w:rsid w:val="00E00BC3"/>
    <w:rsid w:val="00E00BF3"/>
    <w:rsid w:val="00E00C39"/>
    <w:rsid w:val="00E00DD7"/>
    <w:rsid w:val="00E00EAA"/>
    <w:rsid w:val="00E00F86"/>
    <w:rsid w:val="00E01293"/>
    <w:rsid w:val="00E01424"/>
    <w:rsid w:val="00E01639"/>
    <w:rsid w:val="00E018C9"/>
    <w:rsid w:val="00E018EE"/>
    <w:rsid w:val="00E018F1"/>
    <w:rsid w:val="00E01B77"/>
    <w:rsid w:val="00E01CA9"/>
    <w:rsid w:val="00E01D25"/>
    <w:rsid w:val="00E01E83"/>
    <w:rsid w:val="00E01FEB"/>
    <w:rsid w:val="00E02084"/>
    <w:rsid w:val="00E022EB"/>
    <w:rsid w:val="00E0232B"/>
    <w:rsid w:val="00E02374"/>
    <w:rsid w:val="00E0291A"/>
    <w:rsid w:val="00E02C42"/>
    <w:rsid w:val="00E02C4A"/>
    <w:rsid w:val="00E02DEC"/>
    <w:rsid w:val="00E02E5D"/>
    <w:rsid w:val="00E034AA"/>
    <w:rsid w:val="00E034B1"/>
    <w:rsid w:val="00E034F5"/>
    <w:rsid w:val="00E03CBF"/>
    <w:rsid w:val="00E03DF1"/>
    <w:rsid w:val="00E03F6A"/>
    <w:rsid w:val="00E03F7B"/>
    <w:rsid w:val="00E047D7"/>
    <w:rsid w:val="00E04B22"/>
    <w:rsid w:val="00E04F1F"/>
    <w:rsid w:val="00E0510C"/>
    <w:rsid w:val="00E0516D"/>
    <w:rsid w:val="00E05410"/>
    <w:rsid w:val="00E0545F"/>
    <w:rsid w:val="00E05482"/>
    <w:rsid w:val="00E055AA"/>
    <w:rsid w:val="00E0583A"/>
    <w:rsid w:val="00E05848"/>
    <w:rsid w:val="00E058F8"/>
    <w:rsid w:val="00E05B58"/>
    <w:rsid w:val="00E06466"/>
    <w:rsid w:val="00E0650D"/>
    <w:rsid w:val="00E068A1"/>
    <w:rsid w:val="00E068EB"/>
    <w:rsid w:val="00E06AC7"/>
    <w:rsid w:val="00E06C7D"/>
    <w:rsid w:val="00E06F0A"/>
    <w:rsid w:val="00E070EB"/>
    <w:rsid w:val="00E070F2"/>
    <w:rsid w:val="00E072CF"/>
    <w:rsid w:val="00E07362"/>
    <w:rsid w:val="00E073DD"/>
    <w:rsid w:val="00E07407"/>
    <w:rsid w:val="00E0741F"/>
    <w:rsid w:val="00E0748E"/>
    <w:rsid w:val="00E0762E"/>
    <w:rsid w:val="00E07733"/>
    <w:rsid w:val="00E077BB"/>
    <w:rsid w:val="00E07847"/>
    <w:rsid w:val="00E0795E"/>
    <w:rsid w:val="00E07A87"/>
    <w:rsid w:val="00E07D18"/>
    <w:rsid w:val="00E0BB96"/>
    <w:rsid w:val="00E1043C"/>
    <w:rsid w:val="00E10570"/>
    <w:rsid w:val="00E10576"/>
    <w:rsid w:val="00E10E5A"/>
    <w:rsid w:val="00E116A8"/>
    <w:rsid w:val="00E116DE"/>
    <w:rsid w:val="00E1177F"/>
    <w:rsid w:val="00E118AA"/>
    <w:rsid w:val="00E11988"/>
    <w:rsid w:val="00E11BB9"/>
    <w:rsid w:val="00E11C29"/>
    <w:rsid w:val="00E11C5D"/>
    <w:rsid w:val="00E11DE0"/>
    <w:rsid w:val="00E12008"/>
    <w:rsid w:val="00E12262"/>
    <w:rsid w:val="00E124BE"/>
    <w:rsid w:val="00E125A8"/>
    <w:rsid w:val="00E126A0"/>
    <w:rsid w:val="00E1274F"/>
    <w:rsid w:val="00E127CC"/>
    <w:rsid w:val="00E12897"/>
    <w:rsid w:val="00E12A2A"/>
    <w:rsid w:val="00E12EFF"/>
    <w:rsid w:val="00E131EB"/>
    <w:rsid w:val="00E13238"/>
    <w:rsid w:val="00E133B0"/>
    <w:rsid w:val="00E133BE"/>
    <w:rsid w:val="00E13AC9"/>
    <w:rsid w:val="00E13AE0"/>
    <w:rsid w:val="00E13B42"/>
    <w:rsid w:val="00E13CA7"/>
    <w:rsid w:val="00E13DC4"/>
    <w:rsid w:val="00E140BA"/>
    <w:rsid w:val="00E142A6"/>
    <w:rsid w:val="00E14316"/>
    <w:rsid w:val="00E148CA"/>
    <w:rsid w:val="00E14A0C"/>
    <w:rsid w:val="00E14B90"/>
    <w:rsid w:val="00E14EFD"/>
    <w:rsid w:val="00E14F8D"/>
    <w:rsid w:val="00E15278"/>
    <w:rsid w:val="00E155E6"/>
    <w:rsid w:val="00E156E3"/>
    <w:rsid w:val="00E156EC"/>
    <w:rsid w:val="00E15727"/>
    <w:rsid w:val="00E15799"/>
    <w:rsid w:val="00E1597A"/>
    <w:rsid w:val="00E159FA"/>
    <w:rsid w:val="00E15A96"/>
    <w:rsid w:val="00E15B48"/>
    <w:rsid w:val="00E15C01"/>
    <w:rsid w:val="00E15D78"/>
    <w:rsid w:val="00E1604F"/>
    <w:rsid w:val="00E1643C"/>
    <w:rsid w:val="00E1644E"/>
    <w:rsid w:val="00E164FE"/>
    <w:rsid w:val="00E16701"/>
    <w:rsid w:val="00E16AAE"/>
    <w:rsid w:val="00E16AD6"/>
    <w:rsid w:val="00E16DF2"/>
    <w:rsid w:val="00E16F23"/>
    <w:rsid w:val="00E17075"/>
    <w:rsid w:val="00E173A0"/>
    <w:rsid w:val="00E17678"/>
    <w:rsid w:val="00E17748"/>
    <w:rsid w:val="00E1788C"/>
    <w:rsid w:val="00E17D99"/>
    <w:rsid w:val="00E17EDD"/>
    <w:rsid w:val="00E203AA"/>
    <w:rsid w:val="00E2056F"/>
    <w:rsid w:val="00E20654"/>
    <w:rsid w:val="00E206FC"/>
    <w:rsid w:val="00E20741"/>
    <w:rsid w:val="00E20CD8"/>
    <w:rsid w:val="00E20DB1"/>
    <w:rsid w:val="00E20E01"/>
    <w:rsid w:val="00E2110C"/>
    <w:rsid w:val="00E212C6"/>
    <w:rsid w:val="00E21526"/>
    <w:rsid w:val="00E21745"/>
    <w:rsid w:val="00E21786"/>
    <w:rsid w:val="00E218F7"/>
    <w:rsid w:val="00E219EE"/>
    <w:rsid w:val="00E21BC8"/>
    <w:rsid w:val="00E22039"/>
    <w:rsid w:val="00E220DA"/>
    <w:rsid w:val="00E22193"/>
    <w:rsid w:val="00E2251A"/>
    <w:rsid w:val="00E2279F"/>
    <w:rsid w:val="00E22884"/>
    <w:rsid w:val="00E228AA"/>
    <w:rsid w:val="00E22A51"/>
    <w:rsid w:val="00E22E61"/>
    <w:rsid w:val="00E2302F"/>
    <w:rsid w:val="00E231B1"/>
    <w:rsid w:val="00E23281"/>
    <w:rsid w:val="00E23313"/>
    <w:rsid w:val="00E23326"/>
    <w:rsid w:val="00E235DA"/>
    <w:rsid w:val="00E2367F"/>
    <w:rsid w:val="00E236A8"/>
    <w:rsid w:val="00E237C8"/>
    <w:rsid w:val="00E2393D"/>
    <w:rsid w:val="00E2394C"/>
    <w:rsid w:val="00E23A7C"/>
    <w:rsid w:val="00E23B18"/>
    <w:rsid w:val="00E23C12"/>
    <w:rsid w:val="00E23DE5"/>
    <w:rsid w:val="00E23FA8"/>
    <w:rsid w:val="00E23FBE"/>
    <w:rsid w:val="00E241DA"/>
    <w:rsid w:val="00E244DC"/>
    <w:rsid w:val="00E24977"/>
    <w:rsid w:val="00E24A6C"/>
    <w:rsid w:val="00E24C4E"/>
    <w:rsid w:val="00E24D1B"/>
    <w:rsid w:val="00E24E5C"/>
    <w:rsid w:val="00E24EC6"/>
    <w:rsid w:val="00E24F81"/>
    <w:rsid w:val="00E25107"/>
    <w:rsid w:val="00E25118"/>
    <w:rsid w:val="00E251DD"/>
    <w:rsid w:val="00E254CA"/>
    <w:rsid w:val="00E25530"/>
    <w:rsid w:val="00E256CC"/>
    <w:rsid w:val="00E257EF"/>
    <w:rsid w:val="00E25B14"/>
    <w:rsid w:val="00E25B5A"/>
    <w:rsid w:val="00E25CCC"/>
    <w:rsid w:val="00E26427"/>
    <w:rsid w:val="00E26496"/>
    <w:rsid w:val="00E2665A"/>
    <w:rsid w:val="00E26684"/>
    <w:rsid w:val="00E266AA"/>
    <w:rsid w:val="00E26D4A"/>
    <w:rsid w:val="00E26F48"/>
    <w:rsid w:val="00E2707B"/>
    <w:rsid w:val="00E2719D"/>
    <w:rsid w:val="00E271E9"/>
    <w:rsid w:val="00E27435"/>
    <w:rsid w:val="00E27995"/>
    <w:rsid w:val="00E27B11"/>
    <w:rsid w:val="00E27C4C"/>
    <w:rsid w:val="00E27E4C"/>
    <w:rsid w:val="00E30166"/>
    <w:rsid w:val="00E30260"/>
    <w:rsid w:val="00E3035B"/>
    <w:rsid w:val="00E303A0"/>
    <w:rsid w:val="00E303D4"/>
    <w:rsid w:val="00E303DC"/>
    <w:rsid w:val="00E3042E"/>
    <w:rsid w:val="00E304AA"/>
    <w:rsid w:val="00E30680"/>
    <w:rsid w:val="00E306F1"/>
    <w:rsid w:val="00E30B13"/>
    <w:rsid w:val="00E30B74"/>
    <w:rsid w:val="00E30B9F"/>
    <w:rsid w:val="00E30BCE"/>
    <w:rsid w:val="00E30C19"/>
    <w:rsid w:val="00E30E22"/>
    <w:rsid w:val="00E310E5"/>
    <w:rsid w:val="00E3124F"/>
    <w:rsid w:val="00E31322"/>
    <w:rsid w:val="00E3160B"/>
    <w:rsid w:val="00E31610"/>
    <w:rsid w:val="00E316F2"/>
    <w:rsid w:val="00E3192B"/>
    <w:rsid w:val="00E31980"/>
    <w:rsid w:val="00E319DA"/>
    <w:rsid w:val="00E31D2D"/>
    <w:rsid w:val="00E3217C"/>
    <w:rsid w:val="00E32475"/>
    <w:rsid w:val="00E3255E"/>
    <w:rsid w:val="00E32586"/>
    <w:rsid w:val="00E327DE"/>
    <w:rsid w:val="00E32B53"/>
    <w:rsid w:val="00E32F40"/>
    <w:rsid w:val="00E33175"/>
    <w:rsid w:val="00E33638"/>
    <w:rsid w:val="00E33854"/>
    <w:rsid w:val="00E338B1"/>
    <w:rsid w:val="00E33943"/>
    <w:rsid w:val="00E339B0"/>
    <w:rsid w:val="00E33BB3"/>
    <w:rsid w:val="00E33F58"/>
    <w:rsid w:val="00E3429A"/>
    <w:rsid w:val="00E34394"/>
    <w:rsid w:val="00E346AA"/>
    <w:rsid w:val="00E34780"/>
    <w:rsid w:val="00E348B0"/>
    <w:rsid w:val="00E34A47"/>
    <w:rsid w:val="00E34B12"/>
    <w:rsid w:val="00E34C67"/>
    <w:rsid w:val="00E34D43"/>
    <w:rsid w:val="00E34E23"/>
    <w:rsid w:val="00E34E9A"/>
    <w:rsid w:val="00E34F03"/>
    <w:rsid w:val="00E3509A"/>
    <w:rsid w:val="00E3532C"/>
    <w:rsid w:val="00E357E5"/>
    <w:rsid w:val="00E35832"/>
    <w:rsid w:val="00E358B1"/>
    <w:rsid w:val="00E35D60"/>
    <w:rsid w:val="00E35D93"/>
    <w:rsid w:val="00E35F44"/>
    <w:rsid w:val="00E36060"/>
    <w:rsid w:val="00E3619C"/>
    <w:rsid w:val="00E36403"/>
    <w:rsid w:val="00E36710"/>
    <w:rsid w:val="00E369C6"/>
    <w:rsid w:val="00E36A6A"/>
    <w:rsid w:val="00E3701D"/>
    <w:rsid w:val="00E370A2"/>
    <w:rsid w:val="00E37134"/>
    <w:rsid w:val="00E3716C"/>
    <w:rsid w:val="00E3727F"/>
    <w:rsid w:val="00E3772B"/>
    <w:rsid w:val="00E3779A"/>
    <w:rsid w:val="00E3794D"/>
    <w:rsid w:val="00E37AED"/>
    <w:rsid w:val="00E37B6E"/>
    <w:rsid w:val="00E37B78"/>
    <w:rsid w:val="00E40021"/>
    <w:rsid w:val="00E40077"/>
    <w:rsid w:val="00E401B3"/>
    <w:rsid w:val="00E4024E"/>
    <w:rsid w:val="00E403F0"/>
    <w:rsid w:val="00E403F4"/>
    <w:rsid w:val="00E404FE"/>
    <w:rsid w:val="00E40AA9"/>
    <w:rsid w:val="00E40DF0"/>
    <w:rsid w:val="00E40FC7"/>
    <w:rsid w:val="00E411A1"/>
    <w:rsid w:val="00E41911"/>
    <w:rsid w:val="00E41ACD"/>
    <w:rsid w:val="00E41C0C"/>
    <w:rsid w:val="00E41D79"/>
    <w:rsid w:val="00E41F76"/>
    <w:rsid w:val="00E420A9"/>
    <w:rsid w:val="00E4216B"/>
    <w:rsid w:val="00E422E2"/>
    <w:rsid w:val="00E4245B"/>
    <w:rsid w:val="00E424A1"/>
    <w:rsid w:val="00E4252D"/>
    <w:rsid w:val="00E427F3"/>
    <w:rsid w:val="00E428FA"/>
    <w:rsid w:val="00E42BBA"/>
    <w:rsid w:val="00E42C07"/>
    <w:rsid w:val="00E42FEE"/>
    <w:rsid w:val="00E4305F"/>
    <w:rsid w:val="00E43079"/>
    <w:rsid w:val="00E431EF"/>
    <w:rsid w:val="00E432BF"/>
    <w:rsid w:val="00E43591"/>
    <w:rsid w:val="00E435BF"/>
    <w:rsid w:val="00E4362D"/>
    <w:rsid w:val="00E436A9"/>
    <w:rsid w:val="00E436E6"/>
    <w:rsid w:val="00E43717"/>
    <w:rsid w:val="00E437BD"/>
    <w:rsid w:val="00E439DD"/>
    <w:rsid w:val="00E43AF8"/>
    <w:rsid w:val="00E43DE5"/>
    <w:rsid w:val="00E43E19"/>
    <w:rsid w:val="00E44301"/>
    <w:rsid w:val="00E44365"/>
    <w:rsid w:val="00E4463E"/>
    <w:rsid w:val="00E44749"/>
    <w:rsid w:val="00E44777"/>
    <w:rsid w:val="00E44906"/>
    <w:rsid w:val="00E44971"/>
    <w:rsid w:val="00E44A40"/>
    <w:rsid w:val="00E44D08"/>
    <w:rsid w:val="00E44DEE"/>
    <w:rsid w:val="00E450E8"/>
    <w:rsid w:val="00E45349"/>
    <w:rsid w:val="00E454C9"/>
    <w:rsid w:val="00E45522"/>
    <w:rsid w:val="00E45758"/>
    <w:rsid w:val="00E45768"/>
    <w:rsid w:val="00E45B61"/>
    <w:rsid w:val="00E45CC6"/>
    <w:rsid w:val="00E45DFE"/>
    <w:rsid w:val="00E45E3F"/>
    <w:rsid w:val="00E45F3E"/>
    <w:rsid w:val="00E460C1"/>
    <w:rsid w:val="00E4614F"/>
    <w:rsid w:val="00E462B2"/>
    <w:rsid w:val="00E4635A"/>
    <w:rsid w:val="00E4635C"/>
    <w:rsid w:val="00E46448"/>
    <w:rsid w:val="00E46566"/>
    <w:rsid w:val="00E466D7"/>
    <w:rsid w:val="00E4677C"/>
    <w:rsid w:val="00E46921"/>
    <w:rsid w:val="00E46B72"/>
    <w:rsid w:val="00E46C5D"/>
    <w:rsid w:val="00E46CD1"/>
    <w:rsid w:val="00E46CF6"/>
    <w:rsid w:val="00E473B2"/>
    <w:rsid w:val="00E473C8"/>
    <w:rsid w:val="00E4747A"/>
    <w:rsid w:val="00E4747B"/>
    <w:rsid w:val="00E4771F"/>
    <w:rsid w:val="00E4776D"/>
    <w:rsid w:val="00E47943"/>
    <w:rsid w:val="00E47B1C"/>
    <w:rsid w:val="00E47B3B"/>
    <w:rsid w:val="00E47C12"/>
    <w:rsid w:val="00E47C75"/>
    <w:rsid w:val="00E47D46"/>
    <w:rsid w:val="00E47E9C"/>
    <w:rsid w:val="00E47F12"/>
    <w:rsid w:val="00E47F27"/>
    <w:rsid w:val="00E47F95"/>
    <w:rsid w:val="00E500D0"/>
    <w:rsid w:val="00E5020D"/>
    <w:rsid w:val="00E504D2"/>
    <w:rsid w:val="00E5075E"/>
    <w:rsid w:val="00E507DC"/>
    <w:rsid w:val="00E50A6C"/>
    <w:rsid w:val="00E50ADE"/>
    <w:rsid w:val="00E50C2A"/>
    <w:rsid w:val="00E50C97"/>
    <w:rsid w:val="00E50CF6"/>
    <w:rsid w:val="00E50E7D"/>
    <w:rsid w:val="00E50F49"/>
    <w:rsid w:val="00E5136D"/>
    <w:rsid w:val="00E513D0"/>
    <w:rsid w:val="00E51624"/>
    <w:rsid w:val="00E5168D"/>
    <w:rsid w:val="00E518B9"/>
    <w:rsid w:val="00E519AD"/>
    <w:rsid w:val="00E51A40"/>
    <w:rsid w:val="00E51B13"/>
    <w:rsid w:val="00E51B86"/>
    <w:rsid w:val="00E51D13"/>
    <w:rsid w:val="00E51DAB"/>
    <w:rsid w:val="00E51E37"/>
    <w:rsid w:val="00E5205E"/>
    <w:rsid w:val="00E52151"/>
    <w:rsid w:val="00E52182"/>
    <w:rsid w:val="00E521F6"/>
    <w:rsid w:val="00E523E9"/>
    <w:rsid w:val="00E5280E"/>
    <w:rsid w:val="00E52935"/>
    <w:rsid w:val="00E52A7F"/>
    <w:rsid w:val="00E52D5B"/>
    <w:rsid w:val="00E52F28"/>
    <w:rsid w:val="00E5300A"/>
    <w:rsid w:val="00E532C9"/>
    <w:rsid w:val="00E532FD"/>
    <w:rsid w:val="00E535CF"/>
    <w:rsid w:val="00E535D1"/>
    <w:rsid w:val="00E538AF"/>
    <w:rsid w:val="00E538F5"/>
    <w:rsid w:val="00E5399C"/>
    <w:rsid w:val="00E53A57"/>
    <w:rsid w:val="00E53ABD"/>
    <w:rsid w:val="00E53BD2"/>
    <w:rsid w:val="00E53F3E"/>
    <w:rsid w:val="00E54036"/>
    <w:rsid w:val="00E54333"/>
    <w:rsid w:val="00E5436E"/>
    <w:rsid w:val="00E5444B"/>
    <w:rsid w:val="00E547F5"/>
    <w:rsid w:val="00E54810"/>
    <w:rsid w:val="00E54BCE"/>
    <w:rsid w:val="00E54E8D"/>
    <w:rsid w:val="00E54EF9"/>
    <w:rsid w:val="00E54F0E"/>
    <w:rsid w:val="00E5531F"/>
    <w:rsid w:val="00E55391"/>
    <w:rsid w:val="00E55544"/>
    <w:rsid w:val="00E556C8"/>
    <w:rsid w:val="00E557FB"/>
    <w:rsid w:val="00E55954"/>
    <w:rsid w:val="00E5598E"/>
    <w:rsid w:val="00E55B95"/>
    <w:rsid w:val="00E55C56"/>
    <w:rsid w:val="00E55ECB"/>
    <w:rsid w:val="00E55F62"/>
    <w:rsid w:val="00E56748"/>
    <w:rsid w:val="00E569DE"/>
    <w:rsid w:val="00E56A90"/>
    <w:rsid w:val="00E56BE1"/>
    <w:rsid w:val="00E56EF3"/>
    <w:rsid w:val="00E57130"/>
    <w:rsid w:val="00E5717C"/>
    <w:rsid w:val="00E57899"/>
    <w:rsid w:val="00E578B7"/>
    <w:rsid w:val="00E57B2A"/>
    <w:rsid w:val="00E57C71"/>
    <w:rsid w:val="00E57F01"/>
    <w:rsid w:val="00E57F46"/>
    <w:rsid w:val="00E5BCC1"/>
    <w:rsid w:val="00E601E1"/>
    <w:rsid w:val="00E60353"/>
    <w:rsid w:val="00E605DF"/>
    <w:rsid w:val="00E6060F"/>
    <w:rsid w:val="00E60823"/>
    <w:rsid w:val="00E609A3"/>
    <w:rsid w:val="00E60A7F"/>
    <w:rsid w:val="00E60B41"/>
    <w:rsid w:val="00E60BAB"/>
    <w:rsid w:val="00E61156"/>
    <w:rsid w:val="00E61380"/>
    <w:rsid w:val="00E613A2"/>
    <w:rsid w:val="00E6156A"/>
    <w:rsid w:val="00E6161D"/>
    <w:rsid w:val="00E6173F"/>
    <w:rsid w:val="00E61878"/>
    <w:rsid w:val="00E61889"/>
    <w:rsid w:val="00E6190B"/>
    <w:rsid w:val="00E619E6"/>
    <w:rsid w:val="00E61E10"/>
    <w:rsid w:val="00E62392"/>
    <w:rsid w:val="00E62532"/>
    <w:rsid w:val="00E62753"/>
    <w:rsid w:val="00E62AC8"/>
    <w:rsid w:val="00E62BF5"/>
    <w:rsid w:val="00E62CF5"/>
    <w:rsid w:val="00E62D5D"/>
    <w:rsid w:val="00E6310F"/>
    <w:rsid w:val="00E63188"/>
    <w:rsid w:val="00E6319B"/>
    <w:rsid w:val="00E63249"/>
    <w:rsid w:val="00E63311"/>
    <w:rsid w:val="00E63393"/>
    <w:rsid w:val="00E636A5"/>
    <w:rsid w:val="00E63771"/>
    <w:rsid w:val="00E637B7"/>
    <w:rsid w:val="00E638E0"/>
    <w:rsid w:val="00E639C8"/>
    <w:rsid w:val="00E63AD2"/>
    <w:rsid w:val="00E63E4B"/>
    <w:rsid w:val="00E6412B"/>
    <w:rsid w:val="00E64279"/>
    <w:rsid w:val="00E645C3"/>
    <w:rsid w:val="00E645F0"/>
    <w:rsid w:val="00E64739"/>
    <w:rsid w:val="00E649DD"/>
    <w:rsid w:val="00E64A7F"/>
    <w:rsid w:val="00E64CC9"/>
    <w:rsid w:val="00E64DD9"/>
    <w:rsid w:val="00E64E6F"/>
    <w:rsid w:val="00E65070"/>
    <w:rsid w:val="00E653E0"/>
    <w:rsid w:val="00E6557B"/>
    <w:rsid w:val="00E655B2"/>
    <w:rsid w:val="00E655D9"/>
    <w:rsid w:val="00E6567D"/>
    <w:rsid w:val="00E65AE2"/>
    <w:rsid w:val="00E65C8E"/>
    <w:rsid w:val="00E65D73"/>
    <w:rsid w:val="00E660E2"/>
    <w:rsid w:val="00E6610A"/>
    <w:rsid w:val="00E66501"/>
    <w:rsid w:val="00E6668D"/>
    <w:rsid w:val="00E66B96"/>
    <w:rsid w:val="00E66D98"/>
    <w:rsid w:val="00E66E33"/>
    <w:rsid w:val="00E66FBB"/>
    <w:rsid w:val="00E67085"/>
    <w:rsid w:val="00E67166"/>
    <w:rsid w:val="00E672F5"/>
    <w:rsid w:val="00E673F7"/>
    <w:rsid w:val="00E67452"/>
    <w:rsid w:val="00E67563"/>
    <w:rsid w:val="00E67621"/>
    <w:rsid w:val="00E67BD3"/>
    <w:rsid w:val="00E67C46"/>
    <w:rsid w:val="00E67C86"/>
    <w:rsid w:val="00E67DB4"/>
    <w:rsid w:val="00E67DBC"/>
    <w:rsid w:val="00E67E28"/>
    <w:rsid w:val="00E67F9F"/>
    <w:rsid w:val="00E7004E"/>
    <w:rsid w:val="00E70089"/>
    <w:rsid w:val="00E7039C"/>
    <w:rsid w:val="00E70410"/>
    <w:rsid w:val="00E707B3"/>
    <w:rsid w:val="00E707F4"/>
    <w:rsid w:val="00E70996"/>
    <w:rsid w:val="00E709AF"/>
    <w:rsid w:val="00E709D8"/>
    <w:rsid w:val="00E70A37"/>
    <w:rsid w:val="00E70A5A"/>
    <w:rsid w:val="00E70AB3"/>
    <w:rsid w:val="00E70AC5"/>
    <w:rsid w:val="00E70BCA"/>
    <w:rsid w:val="00E70EED"/>
    <w:rsid w:val="00E7117D"/>
    <w:rsid w:val="00E71283"/>
    <w:rsid w:val="00E713C7"/>
    <w:rsid w:val="00E713D4"/>
    <w:rsid w:val="00E714CE"/>
    <w:rsid w:val="00E714FF"/>
    <w:rsid w:val="00E71699"/>
    <w:rsid w:val="00E718DB"/>
    <w:rsid w:val="00E71B55"/>
    <w:rsid w:val="00E71CE8"/>
    <w:rsid w:val="00E71D96"/>
    <w:rsid w:val="00E7211B"/>
    <w:rsid w:val="00E7227E"/>
    <w:rsid w:val="00E72426"/>
    <w:rsid w:val="00E7242C"/>
    <w:rsid w:val="00E7247D"/>
    <w:rsid w:val="00E72630"/>
    <w:rsid w:val="00E72A68"/>
    <w:rsid w:val="00E72B6A"/>
    <w:rsid w:val="00E72DAE"/>
    <w:rsid w:val="00E72DAF"/>
    <w:rsid w:val="00E72DEE"/>
    <w:rsid w:val="00E7329A"/>
    <w:rsid w:val="00E73316"/>
    <w:rsid w:val="00E73411"/>
    <w:rsid w:val="00E73419"/>
    <w:rsid w:val="00E73498"/>
    <w:rsid w:val="00E736FE"/>
    <w:rsid w:val="00E737D9"/>
    <w:rsid w:val="00E73A8D"/>
    <w:rsid w:val="00E73AAF"/>
    <w:rsid w:val="00E73ABA"/>
    <w:rsid w:val="00E73B42"/>
    <w:rsid w:val="00E73DA5"/>
    <w:rsid w:val="00E73EDA"/>
    <w:rsid w:val="00E73EFC"/>
    <w:rsid w:val="00E73F38"/>
    <w:rsid w:val="00E74286"/>
    <w:rsid w:val="00E7429B"/>
    <w:rsid w:val="00E746FB"/>
    <w:rsid w:val="00E74922"/>
    <w:rsid w:val="00E74AC0"/>
    <w:rsid w:val="00E74CD7"/>
    <w:rsid w:val="00E752D5"/>
    <w:rsid w:val="00E75312"/>
    <w:rsid w:val="00E756E1"/>
    <w:rsid w:val="00E75713"/>
    <w:rsid w:val="00E75B77"/>
    <w:rsid w:val="00E75E94"/>
    <w:rsid w:val="00E75FA2"/>
    <w:rsid w:val="00E7602E"/>
    <w:rsid w:val="00E76060"/>
    <w:rsid w:val="00E760E6"/>
    <w:rsid w:val="00E761F1"/>
    <w:rsid w:val="00E76451"/>
    <w:rsid w:val="00E76498"/>
    <w:rsid w:val="00E7669C"/>
    <w:rsid w:val="00E76A25"/>
    <w:rsid w:val="00E76A97"/>
    <w:rsid w:val="00E76D1A"/>
    <w:rsid w:val="00E771A4"/>
    <w:rsid w:val="00E771A7"/>
    <w:rsid w:val="00E773D8"/>
    <w:rsid w:val="00E77499"/>
    <w:rsid w:val="00E776C1"/>
    <w:rsid w:val="00E7788A"/>
    <w:rsid w:val="00E77D24"/>
    <w:rsid w:val="00E77DB8"/>
    <w:rsid w:val="00E77FB1"/>
    <w:rsid w:val="00E8016F"/>
    <w:rsid w:val="00E8017E"/>
    <w:rsid w:val="00E8051F"/>
    <w:rsid w:val="00E80566"/>
    <w:rsid w:val="00E80726"/>
    <w:rsid w:val="00E807FE"/>
    <w:rsid w:val="00E80A60"/>
    <w:rsid w:val="00E80BCE"/>
    <w:rsid w:val="00E80C56"/>
    <w:rsid w:val="00E80E52"/>
    <w:rsid w:val="00E80EC2"/>
    <w:rsid w:val="00E80F75"/>
    <w:rsid w:val="00E80FEE"/>
    <w:rsid w:val="00E8107D"/>
    <w:rsid w:val="00E810B5"/>
    <w:rsid w:val="00E812DD"/>
    <w:rsid w:val="00E813D6"/>
    <w:rsid w:val="00E816CE"/>
    <w:rsid w:val="00E816EF"/>
    <w:rsid w:val="00E8179C"/>
    <w:rsid w:val="00E8197F"/>
    <w:rsid w:val="00E819BB"/>
    <w:rsid w:val="00E81A05"/>
    <w:rsid w:val="00E81D88"/>
    <w:rsid w:val="00E81DF8"/>
    <w:rsid w:val="00E81F20"/>
    <w:rsid w:val="00E8228E"/>
    <w:rsid w:val="00E822A7"/>
    <w:rsid w:val="00E82433"/>
    <w:rsid w:val="00E827E0"/>
    <w:rsid w:val="00E82B3E"/>
    <w:rsid w:val="00E82B64"/>
    <w:rsid w:val="00E8323C"/>
    <w:rsid w:val="00E83326"/>
    <w:rsid w:val="00E83977"/>
    <w:rsid w:val="00E83BBF"/>
    <w:rsid w:val="00E83DC7"/>
    <w:rsid w:val="00E83E21"/>
    <w:rsid w:val="00E83FB6"/>
    <w:rsid w:val="00E8413D"/>
    <w:rsid w:val="00E842B9"/>
    <w:rsid w:val="00E843DE"/>
    <w:rsid w:val="00E845B7"/>
    <w:rsid w:val="00E8481C"/>
    <w:rsid w:val="00E84B8B"/>
    <w:rsid w:val="00E8539B"/>
    <w:rsid w:val="00E85411"/>
    <w:rsid w:val="00E854AB"/>
    <w:rsid w:val="00E85516"/>
    <w:rsid w:val="00E85696"/>
    <w:rsid w:val="00E8591F"/>
    <w:rsid w:val="00E85A06"/>
    <w:rsid w:val="00E85A0C"/>
    <w:rsid w:val="00E85A51"/>
    <w:rsid w:val="00E85E9D"/>
    <w:rsid w:val="00E85EE4"/>
    <w:rsid w:val="00E85F13"/>
    <w:rsid w:val="00E85FAE"/>
    <w:rsid w:val="00E8602F"/>
    <w:rsid w:val="00E8603F"/>
    <w:rsid w:val="00E86178"/>
    <w:rsid w:val="00E861FB"/>
    <w:rsid w:val="00E8629B"/>
    <w:rsid w:val="00E864BD"/>
    <w:rsid w:val="00E8670D"/>
    <w:rsid w:val="00E86948"/>
    <w:rsid w:val="00E86AC4"/>
    <w:rsid w:val="00E86C11"/>
    <w:rsid w:val="00E86C90"/>
    <w:rsid w:val="00E86ECE"/>
    <w:rsid w:val="00E871C0"/>
    <w:rsid w:val="00E87225"/>
    <w:rsid w:val="00E873D1"/>
    <w:rsid w:val="00E87660"/>
    <w:rsid w:val="00E87735"/>
    <w:rsid w:val="00E87950"/>
    <w:rsid w:val="00E87CA1"/>
    <w:rsid w:val="00E87EF6"/>
    <w:rsid w:val="00E87FCF"/>
    <w:rsid w:val="00E900A9"/>
    <w:rsid w:val="00E902A7"/>
    <w:rsid w:val="00E90666"/>
    <w:rsid w:val="00E90A1E"/>
    <w:rsid w:val="00E90A5F"/>
    <w:rsid w:val="00E90C13"/>
    <w:rsid w:val="00E90D45"/>
    <w:rsid w:val="00E90FA2"/>
    <w:rsid w:val="00E90FB5"/>
    <w:rsid w:val="00E9101E"/>
    <w:rsid w:val="00E9120F"/>
    <w:rsid w:val="00E91512"/>
    <w:rsid w:val="00E91644"/>
    <w:rsid w:val="00E9172A"/>
    <w:rsid w:val="00E917EB"/>
    <w:rsid w:val="00E9190E"/>
    <w:rsid w:val="00E91B8A"/>
    <w:rsid w:val="00E91D1B"/>
    <w:rsid w:val="00E91DB9"/>
    <w:rsid w:val="00E91E68"/>
    <w:rsid w:val="00E91ECC"/>
    <w:rsid w:val="00E91F83"/>
    <w:rsid w:val="00E9203D"/>
    <w:rsid w:val="00E92360"/>
    <w:rsid w:val="00E924FB"/>
    <w:rsid w:val="00E92573"/>
    <w:rsid w:val="00E92F0C"/>
    <w:rsid w:val="00E9302E"/>
    <w:rsid w:val="00E930D3"/>
    <w:rsid w:val="00E930E5"/>
    <w:rsid w:val="00E93365"/>
    <w:rsid w:val="00E934E7"/>
    <w:rsid w:val="00E93538"/>
    <w:rsid w:val="00E93A32"/>
    <w:rsid w:val="00E9419B"/>
    <w:rsid w:val="00E9448F"/>
    <w:rsid w:val="00E94545"/>
    <w:rsid w:val="00E94565"/>
    <w:rsid w:val="00E94715"/>
    <w:rsid w:val="00E947D5"/>
    <w:rsid w:val="00E94AED"/>
    <w:rsid w:val="00E94B26"/>
    <w:rsid w:val="00E94BCF"/>
    <w:rsid w:val="00E94CB4"/>
    <w:rsid w:val="00E94CFF"/>
    <w:rsid w:val="00E94D4C"/>
    <w:rsid w:val="00E94DEF"/>
    <w:rsid w:val="00E94F67"/>
    <w:rsid w:val="00E95290"/>
    <w:rsid w:val="00E95972"/>
    <w:rsid w:val="00E95CBB"/>
    <w:rsid w:val="00E95E8D"/>
    <w:rsid w:val="00E95F56"/>
    <w:rsid w:val="00E96175"/>
    <w:rsid w:val="00E96183"/>
    <w:rsid w:val="00E961D0"/>
    <w:rsid w:val="00E961DB"/>
    <w:rsid w:val="00E96383"/>
    <w:rsid w:val="00E96488"/>
    <w:rsid w:val="00E967A5"/>
    <w:rsid w:val="00E9694E"/>
    <w:rsid w:val="00E9696B"/>
    <w:rsid w:val="00E96A60"/>
    <w:rsid w:val="00E96B15"/>
    <w:rsid w:val="00E96B1B"/>
    <w:rsid w:val="00E96B31"/>
    <w:rsid w:val="00E97025"/>
    <w:rsid w:val="00E97249"/>
    <w:rsid w:val="00E97455"/>
    <w:rsid w:val="00E9748D"/>
    <w:rsid w:val="00E97503"/>
    <w:rsid w:val="00E97540"/>
    <w:rsid w:val="00E977BB"/>
    <w:rsid w:val="00E9780F"/>
    <w:rsid w:val="00E9792E"/>
    <w:rsid w:val="00E97E12"/>
    <w:rsid w:val="00E97E6E"/>
    <w:rsid w:val="00EA0221"/>
    <w:rsid w:val="00EA0251"/>
    <w:rsid w:val="00EA02D0"/>
    <w:rsid w:val="00EA0343"/>
    <w:rsid w:val="00EA0431"/>
    <w:rsid w:val="00EA0461"/>
    <w:rsid w:val="00EA0688"/>
    <w:rsid w:val="00EA0887"/>
    <w:rsid w:val="00EA08C1"/>
    <w:rsid w:val="00EA0958"/>
    <w:rsid w:val="00EA0A25"/>
    <w:rsid w:val="00EA0F56"/>
    <w:rsid w:val="00EA105F"/>
    <w:rsid w:val="00EA10B6"/>
    <w:rsid w:val="00EA1128"/>
    <w:rsid w:val="00EA114A"/>
    <w:rsid w:val="00EA11B0"/>
    <w:rsid w:val="00EA1346"/>
    <w:rsid w:val="00EA139C"/>
    <w:rsid w:val="00EA13E8"/>
    <w:rsid w:val="00EA1678"/>
    <w:rsid w:val="00EA16F9"/>
    <w:rsid w:val="00EA1840"/>
    <w:rsid w:val="00EA1895"/>
    <w:rsid w:val="00EA1A61"/>
    <w:rsid w:val="00EA1AC7"/>
    <w:rsid w:val="00EA1D0D"/>
    <w:rsid w:val="00EA1E20"/>
    <w:rsid w:val="00EA1F69"/>
    <w:rsid w:val="00EA23EC"/>
    <w:rsid w:val="00EA25B5"/>
    <w:rsid w:val="00EA27E5"/>
    <w:rsid w:val="00EA28F3"/>
    <w:rsid w:val="00EA2B04"/>
    <w:rsid w:val="00EA2C51"/>
    <w:rsid w:val="00EA2D25"/>
    <w:rsid w:val="00EA2EC3"/>
    <w:rsid w:val="00EA3019"/>
    <w:rsid w:val="00EA31B9"/>
    <w:rsid w:val="00EA3214"/>
    <w:rsid w:val="00EA35EA"/>
    <w:rsid w:val="00EA360B"/>
    <w:rsid w:val="00EA363D"/>
    <w:rsid w:val="00EA36BC"/>
    <w:rsid w:val="00EA376C"/>
    <w:rsid w:val="00EA37DA"/>
    <w:rsid w:val="00EA3837"/>
    <w:rsid w:val="00EA3889"/>
    <w:rsid w:val="00EA39BD"/>
    <w:rsid w:val="00EA3A7C"/>
    <w:rsid w:val="00EA3B35"/>
    <w:rsid w:val="00EA3B68"/>
    <w:rsid w:val="00EA3BB7"/>
    <w:rsid w:val="00EA3BE3"/>
    <w:rsid w:val="00EA3E7A"/>
    <w:rsid w:val="00EA407F"/>
    <w:rsid w:val="00EA41B8"/>
    <w:rsid w:val="00EA43EB"/>
    <w:rsid w:val="00EA4B96"/>
    <w:rsid w:val="00EA4E33"/>
    <w:rsid w:val="00EA4F59"/>
    <w:rsid w:val="00EA50B2"/>
    <w:rsid w:val="00EA50BE"/>
    <w:rsid w:val="00EA52DA"/>
    <w:rsid w:val="00EA537F"/>
    <w:rsid w:val="00EA5475"/>
    <w:rsid w:val="00EA56B6"/>
    <w:rsid w:val="00EA57A0"/>
    <w:rsid w:val="00EA5899"/>
    <w:rsid w:val="00EA59AA"/>
    <w:rsid w:val="00EA5FF6"/>
    <w:rsid w:val="00EA604D"/>
    <w:rsid w:val="00EA609F"/>
    <w:rsid w:val="00EA612B"/>
    <w:rsid w:val="00EA6419"/>
    <w:rsid w:val="00EA645C"/>
    <w:rsid w:val="00EA6638"/>
    <w:rsid w:val="00EA66C7"/>
    <w:rsid w:val="00EA6804"/>
    <w:rsid w:val="00EA68FF"/>
    <w:rsid w:val="00EA6AA1"/>
    <w:rsid w:val="00EA6C2E"/>
    <w:rsid w:val="00EA6C73"/>
    <w:rsid w:val="00EA6D0F"/>
    <w:rsid w:val="00EA6FAB"/>
    <w:rsid w:val="00EA70BD"/>
    <w:rsid w:val="00EA70C0"/>
    <w:rsid w:val="00EA717E"/>
    <w:rsid w:val="00EA71F5"/>
    <w:rsid w:val="00EA75CC"/>
    <w:rsid w:val="00EA7706"/>
    <w:rsid w:val="00EA7837"/>
    <w:rsid w:val="00EA78FF"/>
    <w:rsid w:val="00EA7A0D"/>
    <w:rsid w:val="00EA7B31"/>
    <w:rsid w:val="00EA7B33"/>
    <w:rsid w:val="00EA7CA2"/>
    <w:rsid w:val="00EA7D5A"/>
    <w:rsid w:val="00EA7D9D"/>
    <w:rsid w:val="00EA7FD8"/>
    <w:rsid w:val="00EB0372"/>
    <w:rsid w:val="00EB051C"/>
    <w:rsid w:val="00EB0536"/>
    <w:rsid w:val="00EB0BD9"/>
    <w:rsid w:val="00EB0CCE"/>
    <w:rsid w:val="00EB0D66"/>
    <w:rsid w:val="00EB0FA5"/>
    <w:rsid w:val="00EB0FB2"/>
    <w:rsid w:val="00EB1263"/>
    <w:rsid w:val="00EB136E"/>
    <w:rsid w:val="00EB1374"/>
    <w:rsid w:val="00EB17F4"/>
    <w:rsid w:val="00EB1965"/>
    <w:rsid w:val="00EB19EE"/>
    <w:rsid w:val="00EB1A0B"/>
    <w:rsid w:val="00EB1AEF"/>
    <w:rsid w:val="00EB1B9C"/>
    <w:rsid w:val="00EB1EE6"/>
    <w:rsid w:val="00EB1FA4"/>
    <w:rsid w:val="00EB2133"/>
    <w:rsid w:val="00EB2215"/>
    <w:rsid w:val="00EB2495"/>
    <w:rsid w:val="00EB24A0"/>
    <w:rsid w:val="00EB2530"/>
    <w:rsid w:val="00EB260F"/>
    <w:rsid w:val="00EB27AC"/>
    <w:rsid w:val="00EB2873"/>
    <w:rsid w:val="00EB2B19"/>
    <w:rsid w:val="00EB2BA4"/>
    <w:rsid w:val="00EB2CF7"/>
    <w:rsid w:val="00EB2FF6"/>
    <w:rsid w:val="00EB3146"/>
    <w:rsid w:val="00EB3196"/>
    <w:rsid w:val="00EB320A"/>
    <w:rsid w:val="00EB3705"/>
    <w:rsid w:val="00EB37A1"/>
    <w:rsid w:val="00EB383D"/>
    <w:rsid w:val="00EB3B57"/>
    <w:rsid w:val="00EB3E16"/>
    <w:rsid w:val="00EB3EE2"/>
    <w:rsid w:val="00EB3F0F"/>
    <w:rsid w:val="00EB4025"/>
    <w:rsid w:val="00EB4133"/>
    <w:rsid w:val="00EB44C4"/>
    <w:rsid w:val="00EB4545"/>
    <w:rsid w:val="00EB4772"/>
    <w:rsid w:val="00EB4884"/>
    <w:rsid w:val="00EB48CE"/>
    <w:rsid w:val="00EB4964"/>
    <w:rsid w:val="00EB4A11"/>
    <w:rsid w:val="00EB4CC6"/>
    <w:rsid w:val="00EB4F2A"/>
    <w:rsid w:val="00EB4FD8"/>
    <w:rsid w:val="00EB5221"/>
    <w:rsid w:val="00EB5478"/>
    <w:rsid w:val="00EB5548"/>
    <w:rsid w:val="00EB5AE2"/>
    <w:rsid w:val="00EB5AE9"/>
    <w:rsid w:val="00EB5B18"/>
    <w:rsid w:val="00EB5C22"/>
    <w:rsid w:val="00EB5D85"/>
    <w:rsid w:val="00EB5EBC"/>
    <w:rsid w:val="00EB60F9"/>
    <w:rsid w:val="00EB638E"/>
    <w:rsid w:val="00EB657E"/>
    <w:rsid w:val="00EB65D0"/>
    <w:rsid w:val="00EB668A"/>
    <w:rsid w:val="00EB6862"/>
    <w:rsid w:val="00EB6A6A"/>
    <w:rsid w:val="00EB6B46"/>
    <w:rsid w:val="00EB6C91"/>
    <w:rsid w:val="00EB6FE1"/>
    <w:rsid w:val="00EB7308"/>
    <w:rsid w:val="00EB7421"/>
    <w:rsid w:val="00EB748D"/>
    <w:rsid w:val="00EB74B3"/>
    <w:rsid w:val="00EB76EA"/>
    <w:rsid w:val="00EB782C"/>
    <w:rsid w:val="00EB7966"/>
    <w:rsid w:val="00EB7B94"/>
    <w:rsid w:val="00EB7EC4"/>
    <w:rsid w:val="00EB7F47"/>
    <w:rsid w:val="00EC0059"/>
    <w:rsid w:val="00EC0277"/>
    <w:rsid w:val="00EC03CD"/>
    <w:rsid w:val="00EC0573"/>
    <w:rsid w:val="00EC06FD"/>
    <w:rsid w:val="00EC0752"/>
    <w:rsid w:val="00EC08E1"/>
    <w:rsid w:val="00EC091E"/>
    <w:rsid w:val="00EC0A09"/>
    <w:rsid w:val="00EC0D49"/>
    <w:rsid w:val="00EC0E8B"/>
    <w:rsid w:val="00EC1075"/>
    <w:rsid w:val="00EC10FD"/>
    <w:rsid w:val="00EC159F"/>
    <w:rsid w:val="00EC16C3"/>
    <w:rsid w:val="00EC1878"/>
    <w:rsid w:val="00EC18EF"/>
    <w:rsid w:val="00EC1A92"/>
    <w:rsid w:val="00EC1DEE"/>
    <w:rsid w:val="00EC1F15"/>
    <w:rsid w:val="00EC2136"/>
    <w:rsid w:val="00EC21F2"/>
    <w:rsid w:val="00EC23B0"/>
    <w:rsid w:val="00EC23B5"/>
    <w:rsid w:val="00EC2486"/>
    <w:rsid w:val="00EC2537"/>
    <w:rsid w:val="00EC25D0"/>
    <w:rsid w:val="00EC2672"/>
    <w:rsid w:val="00EC269F"/>
    <w:rsid w:val="00EC29CB"/>
    <w:rsid w:val="00EC2A1C"/>
    <w:rsid w:val="00EC2A93"/>
    <w:rsid w:val="00EC2B4D"/>
    <w:rsid w:val="00EC2C4C"/>
    <w:rsid w:val="00EC2C4F"/>
    <w:rsid w:val="00EC2E3E"/>
    <w:rsid w:val="00EC2F85"/>
    <w:rsid w:val="00EC300B"/>
    <w:rsid w:val="00EC34A8"/>
    <w:rsid w:val="00EC38DC"/>
    <w:rsid w:val="00EC3BDC"/>
    <w:rsid w:val="00EC3D9B"/>
    <w:rsid w:val="00EC3EA6"/>
    <w:rsid w:val="00EC4080"/>
    <w:rsid w:val="00EC4109"/>
    <w:rsid w:val="00EC4381"/>
    <w:rsid w:val="00EC444A"/>
    <w:rsid w:val="00EC4D4A"/>
    <w:rsid w:val="00EC50C4"/>
    <w:rsid w:val="00EC532C"/>
    <w:rsid w:val="00EC59CD"/>
    <w:rsid w:val="00EC5B0D"/>
    <w:rsid w:val="00EC5CB3"/>
    <w:rsid w:val="00EC605F"/>
    <w:rsid w:val="00EC6078"/>
    <w:rsid w:val="00EC6142"/>
    <w:rsid w:val="00EC618A"/>
    <w:rsid w:val="00EC64FA"/>
    <w:rsid w:val="00EC6B85"/>
    <w:rsid w:val="00EC6C13"/>
    <w:rsid w:val="00EC6F81"/>
    <w:rsid w:val="00EC701E"/>
    <w:rsid w:val="00EC7065"/>
    <w:rsid w:val="00EC7338"/>
    <w:rsid w:val="00EC7485"/>
    <w:rsid w:val="00EC74A1"/>
    <w:rsid w:val="00EC756C"/>
    <w:rsid w:val="00EC7757"/>
    <w:rsid w:val="00EC7811"/>
    <w:rsid w:val="00EC787B"/>
    <w:rsid w:val="00EC7A63"/>
    <w:rsid w:val="00EC7C70"/>
    <w:rsid w:val="00EC7D13"/>
    <w:rsid w:val="00EC7DCC"/>
    <w:rsid w:val="00EC7E16"/>
    <w:rsid w:val="00EC7FF6"/>
    <w:rsid w:val="00ED009B"/>
    <w:rsid w:val="00ED036E"/>
    <w:rsid w:val="00ED03A3"/>
    <w:rsid w:val="00ED0613"/>
    <w:rsid w:val="00ED0766"/>
    <w:rsid w:val="00ED07E0"/>
    <w:rsid w:val="00ED080D"/>
    <w:rsid w:val="00ED087A"/>
    <w:rsid w:val="00ED08E2"/>
    <w:rsid w:val="00ED0A5E"/>
    <w:rsid w:val="00ED0AE9"/>
    <w:rsid w:val="00ED0CB2"/>
    <w:rsid w:val="00ED0F67"/>
    <w:rsid w:val="00ED1228"/>
    <w:rsid w:val="00ED1481"/>
    <w:rsid w:val="00ED14B7"/>
    <w:rsid w:val="00ED1A36"/>
    <w:rsid w:val="00ED1D53"/>
    <w:rsid w:val="00ED1D9E"/>
    <w:rsid w:val="00ED1DB7"/>
    <w:rsid w:val="00ED1FEC"/>
    <w:rsid w:val="00ED207E"/>
    <w:rsid w:val="00ED215B"/>
    <w:rsid w:val="00ED2248"/>
    <w:rsid w:val="00ED22BE"/>
    <w:rsid w:val="00ED2542"/>
    <w:rsid w:val="00ED25FB"/>
    <w:rsid w:val="00ED272A"/>
    <w:rsid w:val="00ED2823"/>
    <w:rsid w:val="00ED2966"/>
    <w:rsid w:val="00ED2A45"/>
    <w:rsid w:val="00ED2C83"/>
    <w:rsid w:val="00ED306E"/>
    <w:rsid w:val="00ED334F"/>
    <w:rsid w:val="00ED34CF"/>
    <w:rsid w:val="00ED3624"/>
    <w:rsid w:val="00ED36BE"/>
    <w:rsid w:val="00ED37B7"/>
    <w:rsid w:val="00ED37E3"/>
    <w:rsid w:val="00ED394F"/>
    <w:rsid w:val="00ED3979"/>
    <w:rsid w:val="00ED3A2E"/>
    <w:rsid w:val="00ED3A4A"/>
    <w:rsid w:val="00ED3C8B"/>
    <w:rsid w:val="00ED404C"/>
    <w:rsid w:val="00ED40AE"/>
    <w:rsid w:val="00ED413B"/>
    <w:rsid w:val="00ED416B"/>
    <w:rsid w:val="00ED4328"/>
    <w:rsid w:val="00ED436C"/>
    <w:rsid w:val="00ED4378"/>
    <w:rsid w:val="00ED4379"/>
    <w:rsid w:val="00ED43A7"/>
    <w:rsid w:val="00ED44B3"/>
    <w:rsid w:val="00ED476B"/>
    <w:rsid w:val="00ED479E"/>
    <w:rsid w:val="00ED4968"/>
    <w:rsid w:val="00ED4CB2"/>
    <w:rsid w:val="00ED4D1D"/>
    <w:rsid w:val="00ED4D5D"/>
    <w:rsid w:val="00ED4DA2"/>
    <w:rsid w:val="00ED4E0E"/>
    <w:rsid w:val="00ED4E44"/>
    <w:rsid w:val="00ED4EA8"/>
    <w:rsid w:val="00ED4EBC"/>
    <w:rsid w:val="00ED500E"/>
    <w:rsid w:val="00ED5277"/>
    <w:rsid w:val="00ED5A4F"/>
    <w:rsid w:val="00ED5C70"/>
    <w:rsid w:val="00ED5EAB"/>
    <w:rsid w:val="00ED66C0"/>
    <w:rsid w:val="00ED6827"/>
    <w:rsid w:val="00ED6BD7"/>
    <w:rsid w:val="00ED6F34"/>
    <w:rsid w:val="00ED6F82"/>
    <w:rsid w:val="00ED71D1"/>
    <w:rsid w:val="00ED72C0"/>
    <w:rsid w:val="00ED76B3"/>
    <w:rsid w:val="00ED77FB"/>
    <w:rsid w:val="00ED79D9"/>
    <w:rsid w:val="00ED7A9E"/>
    <w:rsid w:val="00ED7AA1"/>
    <w:rsid w:val="00ED7BE7"/>
    <w:rsid w:val="00ED7BEE"/>
    <w:rsid w:val="00ED7D88"/>
    <w:rsid w:val="00ED7FF1"/>
    <w:rsid w:val="00EE0067"/>
    <w:rsid w:val="00EE023A"/>
    <w:rsid w:val="00EE0274"/>
    <w:rsid w:val="00EE02E8"/>
    <w:rsid w:val="00EE0728"/>
    <w:rsid w:val="00EE08E2"/>
    <w:rsid w:val="00EE0988"/>
    <w:rsid w:val="00EE0A3F"/>
    <w:rsid w:val="00EE0B20"/>
    <w:rsid w:val="00EE0C67"/>
    <w:rsid w:val="00EE0D13"/>
    <w:rsid w:val="00EE0DDD"/>
    <w:rsid w:val="00EE0F06"/>
    <w:rsid w:val="00EE1175"/>
    <w:rsid w:val="00EE1298"/>
    <w:rsid w:val="00EE15CD"/>
    <w:rsid w:val="00EE1A24"/>
    <w:rsid w:val="00EE1B56"/>
    <w:rsid w:val="00EE1DD7"/>
    <w:rsid w:val="00EE1E61"/>
    <w:rsid w:val="00EE1F45"/>
    <w:rsid w:val="00EE200E"/>
    <w:rsid w:val="00EE2141"/>
    <w:rsid w:val="00EE218D"/>
    <w:rsid w:val="00EE24A3"/>
    <w:rsid w:val="00EE252E"/>
    <w:rsid w:val="00EE277B"/>
    <w:rsid w:val="00EE2CD3"/>
    <w:rsid w:val="00EE2E1C"/>
    <w:rsid w:val="00EE2EBF"/>
    <w:rsid w:val="00EE3125"/>
    <w:rsid w:val="00EE3193"/>
    <w:rsid w:val="00EE3268"/>
    <w:rsid w:val="00EE354C"/>
    <w:rsid w:val="00EE3679"/>
    <w:rsid w:val="00EE3693"/>
    <w:rsid w:val="00EE38D3"/>
    <w:rsid w:val="00EE3A11"/>
    <w:rsid w:val="00EE3D2E"/>
    <w:rsid w:val="00EE3F20"/>
    <w:rsid w:val="00EE3F78"/>
    <w:rsid w:val="00EE407C"/>
    <w:rsid w:val="00EE4321"/>
    <w:rsid w:val="00EE4389"/>
    <w:rsid w:val="00EE43D6"/>
    <w:rsid w:val="00EE43FE"/>
    <w:rsid w:val="00EE45D8"/>
    <w:rsid w:val="00EE4665"/>
    <w:rsid w:val="00EE477E"/>
    <w:rsid w:val="00EE47A1"/>
    <w:rsid w:val="00EE4A9B"/>
    <w:rsid w:val="00EE4B46"/>
    <w:rsid w:val="00EE4FD1"/>
    <w:rsid w:val="00EE55B3"/>
    <w:rsid w:val="00EE5D2F"/>
    <w:rsid w:val="00EE5E66"/>
    <w:rsid w:val="00EE5EBB"/>
    <w:rsid w:val="00EE5F62"/>
    <w:rsid w:val="00EE6151"/>
    <w:rsid w:val="00EE6207"/>
    <w:rsid w:val="00EE625F"/>
    <w:rsid w:val="00EE6293"/>
    <w:rsid w:val="00EE6718"/>
    <w:rsid w:val="00EE68DB"/>
    <w:rsid w:val="00EE69F6"/>
    <w:rsid w:val="00EE6A61"/>
    <w:rsid w:val="00EE6C33"/>
    <w:rsid w:val="00EE6C3A"/>
    <w:rsid w:val="00EE6F14"/>
    <w:rsid w:val="00EE70D2"/>
    <w:rsid w:val="00EE72BB"/>
    <w:rsid w:val="00EE79A1"/>
    <w:rsid w:val="00EE7AAF"/>
    <w:rsid w:val="00EE7DEC"/>
    <w:rsid w:val="00EE7E11"/>
    <w:rsid w:val="00EE7E72"/>
    <w:rsid w:val="00EE7EA0"/>
    <w:rsid w:val="00EF00D3"/>
    <w:rsid w:val="00EF0225"/>
    <w:rsid w:val="00EF02BC"/>
    <w:rsid w:val="00EF041B"/>
    <w:rsid w:val="00EF056E"/>
    <w:rsid w:val="00EF05B9"/>
    <w:rsid w:val="00EF0685"/>
    <w:rsid w:val="00EF0815"/>
    <w:rsid w:val="00EF0991"/>
    <w:rsid w:val="00EF0A20"/>
    <w:rsid w:val="00EF0A45"/>
    <w:rsid w:val="00EF0BB2"/>
    <w:rsid w:val="00EF0BDE"/>
    <w:rsid w:val="00EF10AA"/>
    <w:rsid w:val="00EF125F"/>
    <w:rsid w:val="00EF1614"/>
    <w:rsid w:val="00EF1647"/>
    <w:rsid w:val="00EF1652"/>
    <w:rsid w:val="00EF19B0"/>
    <w:rsid w:val="00EF1A55"/>
    <w:rsid w:val="00EF1B35"/>
    <w:rsid w:val="00EF1B8C"/>
    <w:rsid w:val="00EF1CE5"/>
    <w:rsid w:val="00EF1EF7"/>
    <w:rsid w:val="00EF1F58"/>
    <w:rsid w:val="00EF209D"/>
    <w:rsid w:val="00EF213E"/>
    <w:rsid w:val="00EF22F4"/>
    <w:rsid w:val="00EF2587"/>
    <w:rsid w:val="00EF2954"/>
    <w:rsid w:val="00EF2AB9"/>
    <w:rsid w:val="00EF2C37"/>
    <w:rsid w:val="00EF2C68"/>
    <w:rsid w:val="00EF2D69"/>
    <w:rsid w:val="00EF2E52"/>
    <w:rsid w:val="00EF3235"/>
    <w:rsid w:val="00EF3365"/>
    <w:rsid w:val="00EF359F"/>
    <w:rsid w:val="00EF35DB"/>
    <w:rsid w:val="00EF3613"/>
    <w:rsid w:val="00EF3741"/>
    <w:rsid w:val="00EF3817"/>
    <w:rsid w:val="00EF3A7E"/>
    <w:rsid w:val="00EF3A86"/>
    <w:rsid w:val="00EF3C35"/>
    <w:rsid w:val="00EF3DE2"/>
    <w:rsid w:val="00EF3DFA"/>
    <w:rsid w:val="00EF3EDE"/>
    <w:rsid w:val="00EF400A"/>
    <w:rsid w:val="00EF437C"/>
    <w:rsid w:val="00EF43D9"/>
    <w:rsid w:val="00EF44F4"/>
    <w:rsid w:val="00EF450B"/>
    <w:rsid w:val="00EF45CD"/>
    <w:rsid w:val="00EF46E6"/>
    <w:rsid w:val="00EF49C1"/>
    <w:rsid w:val="00EF49DF"/>
    <w:rsid w:val="00EF4C78"/>
    <w:rsid w:val="00EF4D78"/>
    <w:rsid w:val="00EF4E6D"/>
    <w:rsid w:val="00EF4F60"/>
    <w:rsid w:val="00EF4FE1"/>
    <w:rsid w:val="00EF514C"/>
    <w:rsid w:val="00EF51C0"/>
    <w:rsid w:val="00EF52B0"/>
    <w:rsid w:val="00EF5426"/>
    <w:rsid w:val="00EF54C9"/>
    <w:rsid w:val="00EF59A6"/>
    <w:rsid w:val="00EF5A2F"/>
    <w:rsid w:val="00EF5DB8"/>
    <w:rsid w:val="00EF60B3"/>
    <w:rsid w:val="00EF6386"/>
    <w:rsid w:val="00EF6459"/>
    <w:rsid w:val="00EF66AB"/>
    <w:rsid w:val="00EF6966"/>
    <w:rsid w:val="00EF6A82"/>
    <w:rsid w:val="00EF6BAA"/>
    <w:rsid w:val="00EF6D41"/>
    <w:rsid w:val="00EF6D5B"/>
    <w:rsid w:val="00EF6D90"/>
    <w:rsid w:val="00EF700C"/>
    <w:rsid w:val="00EF7017"/>
    <w:rsid w:val="00EF73BE"/>
    <w:rsid w:val="00EF74D7"/>
    <w:rsid w:val="00EF76BD"/>
    <w:rsid w:val="00EF7760"/>
    <w:rsid w:val="00EF7771"/>
    <w:rsid w:val="00EF7E7E"/>
    <w:rsid w:val="00F000DC"/>
    <w:rsid w:val="00F00189"/>
    <w:rsid w:val="00F00256"/>
    <w:rsid w:val="00F0069C"/>
    <w:rsid w:val="00F00743"/>
    <w:rsid w:val="00F007C8"/>
    <w:rsid w:val="00F00910"/>
    <w:rsid w:val="00F00B18"/>
    <w:rsid w:val="00F0102E"/>
    <w:rsid w:val="00F0108A"/>
    <w:rsid w:val="00F0113A"/>
    <w:rsid w:val="00F01244"/>
    <w:rsid w:val="00F012E9"/>
    <w:rsid w:val="00F014D2"/>
    <w:rsid w:val="00F017E0"/>
    <w:rsid w:val="00F01965"/>
    <w:rsid w:val="00F01A20"/>
    <w:rsid w:val="00F01A28"/>
    <w:rsid w:val="00F01F28"/>
    <w:rsid w:val="00F01F37"/>
    <w:rsid w:val="00F02157"/>
    <w:rsid w:val="00F021FD"/>
    <w:rsid w:val="00F02506"/>
    <w:rsid w:val="00F02811"/>
    <w:rsid w:val="00F02D1B"/>
    <w:rsid w:val="00F02DD5"/>
    <w:rsid w:val="00F032C6"/>
    <w:rsid w:val="00F03442"/>
    <w:rsid w:val="00F03763"/>
    <w:rsid w:val="00F03B20"/>
    <w:rsid w:val="00F03D79"/>
    <w:rsid w:val="00F03E51"/>
    <w:rsid w:val="00F03E5D"/>
    <w:rsid w:val="00F042A6"/>
    <w:rsid w:val="00F043F6"/>
    <w:rsid w:val="00F0442B"/>
    <w:rsid w:val="00F0462A"/>
    <w:rsid w:val="00F046F9"/>
    <w:rsid w:val="00F049BD"/>
    <w:rsid w:val="00F049CF"/>
    <w:rsid w:val="00F04CB8"/>
    <w:rsid w:val="00F04E06"/>
    <w:rsid w:val="00F04E0D"/>
    <w:rsid w:val="00F050F9"/>
    <w:rsid w:val="00F0528A"/>
    <w:rsid w:val="00F0542D"/>
    <w:rsid w:val="00F054D4"/>
    <w:rsid w:val="00F05593"/>
    <w:rsid w:val="00F057B6"/>
    <w:rsid w:val="00F05803"/>
    <w:rsid w:val="00F0580A"/>
    <w:rsid w:val="00F058D5"/>
    <w:rsid w:val="00F05C06"/>
    <w:rsid w:val="00F05C14"/>
    <w:rsid w:val="00F05CA4"/>
    <w:rsid w:val="00F05E1E"/>
    <w:rsid w:val="00F05EB2"/>
    <w:rsid w:val="00F05F10"/>
    <w:rsid w:val="00F06507"/>
    <w:rsid w:val="00F0656E"/>
    <w:rsid w:val="00F065A0"/>
    <w:rsid w:val="00F06701"/>
    <w:rsid w:val="00F069DE"/>
    <w:rsid w:val="00F06B81"/>
    <w:rsid w:val="00F06C98"/>
    <w:rsid w:val="00F06CBF"/>
    <w:rsid w:val="00F06FC4"/>
    <w:rsid w:val="00F07074"/>
    <w:rsid w:val="00F070F2"/>
    <w:rsid w:val="00F07185"/>
    <w:rsid w:val="00F071AA"/>
    <w:rsid w:val="00F072E3"/>
    <w:rsid w:val="00F07323"/>
    <w:rsid w:val="00F0779A"/>
    <w:rsid w:val="00F0780E"/>
    <w:rsid w:val="00F07934"/>
    <w:rsid w:val="00F0795B"/>
    <w:rsid w:val="00F07AED"/>
    <w:rsid w:val="00F07D06"/>
    <w:rsid w:val="00F07D29"/>
    <w:rsid w:val="00F07DA9"/>
    <w:rsid w:val="00F07E46"/>
    <w:rsid w:val="00F07EEB"/>
    <w:rsid w:val="00F07F9C"/>
    <w:rsid w:val="00F10268"/>
    <w:rsid w:val="00F102DE"/>
    <w:rsid w:val="00F103FF"/>
    <w:rsid w:val="00F109C5"/>
    <w:rsid w:val="00F110FD"/>
    <w:rsid w:val="00F1115C"/>
    <w:rsid w:val="00F11539"/>
    <w:rsid w:val="00F11679"/>
    <w:rsid w:val="00F1178A"/>
    <w:rsid w:val="00F1192C"/>
    <w:rsid w:val="00F11994"/>
    <w:rsid w:val="00F11C14"/>
    <w:rsid w:val="00F11DEB"/>
    <w:rsid w:val="00F1212D"/>
    <w:rsid w:val="00F121B0"/>
    <w:rsid w:val="00F122F9"/>
    <w:rsid w:val="00F12305"/>
    <w:rsid w:val="00F123DE"/>
    <w:rsid w:val="00F12623"/>
    <w:rsid w:val="00F12830"/>
    <w:rsid w:val="00F12848"/>
    <w:rsid w:val="00F128E4"/>
    <w:rsid w:val="00F1293B"/>
    <w:rsid w:val="00F129B9"/>
    <w:rsid w:val="00F12D68"/>
    <w:rsid w:val="00F12F8B"/>
    <w:rsid w:val="00F13001"/>
    <w:rsid w:val="00F1303A"/>
    <w:rsid w:val="00F132B8"/>
    <w:rsid w:val="00F132E3"/>
    <w:rsid w:val="00F13356"/>
    <w:rsid w:val="00F1350E"/>
    <w:rsid w:val="00F13632"/>
    <w:rsid w:val="00F137D2"/>
    <w:rsid w:val="00F1382E"/>
    <w:rsid w:val="00F138E2"/>
    <w:rsid w:val="00F13A7C"/>
    <w:rsid w:val="00F13ACB"/>
    <w:rsid w:val="00F13FE4"/>
    <w:rsid w:val="00F141F5"/>
    <w:rsid w:val="00F142A4"/>
    <w:rsid w:val="00F1430D"/>
    <w:rsid w:val="00F14326"/>
    <w:rsid w:val="00F1451F"/>
    <w:rsid w:val="00F145CC"/>
    <w:rsid w:val="00F14754"/>
    <w:rsid w:val="00F1499E"/>
    <w:rsid w:val="00F14A58"/>
    <w:rsid w:val="00F14A66"/>
    <w:rsid w:val="00F15108"/>
    <w:rsid w:val="00F1541C"/>
    <w:rsid w:val="00F1541F"/>
    <w:rsid w:val="00F15655"/>
    <w:rsid w:val="00F1589C"/>
    <w:rsid w:val="00F15C5B"/>
    <w:rsid w:val="00F15CB5"/>
    <w:rsid w:val="00F15DD6"/>
    <w:rsid w:val="00F15E94"/>
    <w:rsid w:val="00F15F7A"/>
    <w:rsid w:val="00F162E2"/>
    <w:rsid w:val="00F164A0"/>
    <w:rsid w:val="00F1663B"/>
    <w:rsid w:val="00F1700E"/>
    <w:rsid w:val="00F17081"/>
    <w:rsid w:val="00F171B2"/>
    <w:rsid w:val="00F1766E"/>
    <w:rsid w:val="00F176FE"/>
    <w:rsid w:val="00F17779"/>
    <w:rsid w:val="00F17901"/>
    <w:rsid w:val="00F17A35"/>
    <w:rsid w:val="00F17FD1"/>
    <w:rsid w:val="00F20030"/>
    <w:rsid w:val="00F200C0"/>
    <w:rsid w:val="00F202DD"/>
    <w:rsid w:val="00F20303"/>
    <w:rsid w:val="00F206BD"/>
    <w:rsid w:val="00F208C3"/>
    <w:rsid w:val="00F2095C"/>
    <w:rsid w:val="00F2096A"/>
    <w:rsid w:val="00F209C5"/>
    <w:rsid w:val="00F20A11"/>
    <w:rsid w:val="00F20D37"/>
    <w:rsid w:val="00F20E53"/>
    <w:rsid w:val="00F2103C"/>
    <w:rsid w:val="00F21098"/>
    <w:rsid w:val="00F21178"/>
    <w:rsid w:val="00F215EC"/>
    <w:rsid w:val="00F21AEF"/>
    <w:rsid w:val="00F21C12"/>
    <w:rsid w:val="00F21C70"/>
    <w:rsid w:val="00F22174"/>
    <w:rsid w:val="00F223E9"/>
    <w:rsid w:val="00F223EE"/>
    <w:rsid w:val="00F22815"/>
    <w:rsid w:val="00F22AA9"/>
    <w:rsid w:val="00F22AD0"/>
    <w:rsid w:val="00F22B12"/>
    <w:rsid w:val="00F22B68"/>
    <w:rsid w:val="00F22DCD"/>
    <w:rsid w:val="00F22E97"/>
    <w:rsid w:val="00F2306E"/>
    <w:rsid w:val="00F232D5"/>
    <w:rsid w:val="00F234F8"/>
    <w:rsid w:val="00F23724"/>
    <w:rsid w:val="00F2392F"/>
    <w:rsid w:val="00F23D80"/>
    <w:rsid w:val="00F23EA8"/>
    <w:rsid w:val="00F23FB8"/>
    <w:rsid w:val="00F24404"/>
    <w:rsid w:val="00F247B2"/>
    <w:rsid w:val="00F2484E"/>
    <w:rsid w:val="00F24987"/>
    <w:rsid w:val="00F24AA9"/>
    <w:rsid w:val="00F24B6E"/>
    <w:rsid w:val="00F24F05"/>
    <w:rsid w:val="00F25061"/>
    <w:rsid w:val="00F2517C"/>
    <w:rsid w:val="00F2519C"/>
    <w:rsid w:val="00F252F4"/>
    <w:rsid w:val="00F25501"/>
    <w:rsid w:val="00F25559"/>
    <w:rsid w:val="00F256D6"/>
    <w:rsid w:val="00F25E87"/>
    <w:rsid w:val="00F25F46"/>
    <w:rsid w:val="00F26044"/>
    <w:rsid w:val="00F26082"/>
    <w:rsid w:val="00F26158"/>
    <w:rsid w:val="00F26356"/>
    <w:rsid w:val="00F26637"/>
    <w:rsid w:val="00F2663D"/>
    <w:rsid w:val="00F266C8"/>
    <w:rsid w:val="00F267E9"/>
    <w:rsid w:val="00F26870"/>
    <w:rsid w:val="00F26930"/>
    <w:rsid w:val="00F2693E"/>
    <w:rsid w:val="00F26B16"/>
    <w:rsid w:val="00F26FD0"/>
    <w:rsid w:val="00F272C9"/>
    <w:rsid w:val="00F27336"/>
    <w:rsid w:val="00F27352"/>
    <w:rsid w:val="00F274A6"/>
    <w:rsid w:val="00F27549"/>
    <w:rsid w:val="00F27639"/>
    <w:rsid w:val="00F2771B"/>
    <w:rsid w:val="00F27757"/>
    <w:rsid w:val="00F277F0"/>
    <w:rsid w:val="00F27A32"/>
    <w:rsid w:val="00F27C48"/>
    <w:rsid w:val="00F27CBE"/>
    <w:rsid w:val="00F27DDB"/>
    <w:rsid w:val="00F27FF0"/>
    <w:rsid w:val="00F300D2"/>
    <w:rsid w:val="00F301C0"/>
    <w:rsid w:val="00F30631"/>
    <w:rsid w:val="00F3080F"/>
    <w:rsid w:val="00F30A02"/>
    <w:rsid w:val="00F30CA6"/>
    <w:rsid w:val="00F30FB9"/>
    <w:rsid w:val="00F31003"/>
    <w:rsid w:val="00F31070"/>
    <w:rsid w:val="00F3153B"/>
    <w:rsid w:val="00F31636"/>
    <w:rsid w:val="00F3174B"/>
    <w:rsid w:val="00F31D7B"/>
    <w:rsid w:val="00F31D82"/>
    <w:rsid w:val="00F3200E"/>
    <w:rsid w:val="00F32297"/>
    <w:rsid w:val="00F3256B"/>
    <w:rsid w:val="00F326AB"/>
    <w:rsid w:val="00F32905"/>
    <w:rsid w:val="00F32C57"/>
    <w:rsid w:val="00F32C6D"/>
    <w:rsid w:val="00F32EF5"/>
    <w:rsid w:val="00F32F41"/>
    <w:rsid w:val="00F332AF"/>
    <w:rsid w:val="00F333C1"/>
    <w:rsid w:val="00F333CC"/>
    <w:rsid w:val="00F33445"/>
    <w:rsid w:val="00F33543"/>
    <w:rsid w:val="00F33642"/>
    <w:rsid w:val="00F337B1"/>
    <w:rsid w:val="00F338C4"/>
    <w:rsid w:val="00F338CD"/>
    <w:rsid w:val="00F338D3"/>
    <w:rsid w:val="00F33AE8"/>
    <w:rsid w:val="00F33BFD"/>
    <w:rsid w:val="00F33C5B"/>
    <w:rsid w:val="00F33D86"/>
    <w:rsid w:val="00F340F3"/>
    <w:rsid w:val="00F34357"/>
    <w:rsid w:val="00F347DD"/>
    <w:rsid w:val="00F348A1"/>
    <w:rsid w:val="00F349A8"/>
    <w:rsid w:val="00F34A2C"/>
    <w:rsid w:val="00F34A42"/>
    <w:rsid w:val="00F35047"/>
    <w:rsid w:val="00F353A2"/>
    <w:rsid w:val="00F354AC"/>
    <w:rsid w:val="00F357AF"/>
    <w:rsid w:val="00F35897"/>
    <w:rsid w:val="00F35948"/>
    <w:rsid w:val="00F35EA6"/>
    <w:rsid w:val="00F36152"/>
    <w:rsid w:val="00F36BD4"/>
    <w:rsid w:val="00F36CE8"/>
    <w:rsid w:val="00F36F2E"/>
    <w:rsid w:val="00F37013"/>
    <w:rsid w:val="00F37083"/>
    <w:rsid w:val="00F37128"/>
    <w:rsid w:val="00F3718E"/>
    <w:rsid w:val="00F3738C"/>
    <w:rsid w:val="00F37565"/>
    <w:rsid w:val="00F375BB"/>
    <w:rsid w:val="00F376A5"/>
    <w:rsid w:val="00F376DD"/>
    <w:rsid w:val="00F378BC"/>
    <w:rsid w:val="00F37A2F"/>
    <w:rsid w:val="00F37CF7"/>
    <w:rsid w:val="00F40033"/>
    <w:rsid w:val="00F4020A"/>
    <w:rsid w:val="00F40486"/>
    <w:rsid w:val="00F40582"/>
    <w:rsid w:val="00F40623"/>
    <w:rsid w:val="00F408B2"/>
    <w:rsid w:val="00F40A8B"/>
    <w:rsid w:val="00F40B5A"/>
    <w:rsid w:val="00F40E08"/>
    <w:rsid w:val="00F40EE7"/>
    <w:rsid w:val="00F41087"/>
    <w:rsid w:val="00F4121E"/>
    <w:rsid w:val="00F41798"/>
    <w:rsid w:val="00F41938"/>
    <w:rsid w:val="00F41A79"/>
    <w:rsid w:val="00F41DC6"/>
    <w:rsid w:val="00F41E2E"/>
    <w:rsid w:val="00F42753"/>
    <w:rsid w:val="00F428FE"/>
    <w:rsid w:val="00F42A05"/>
    <w:rsid w:val="00F42B0E"/>
    <w:rsid w:val="00F42B29"/>
    <w:rsid w:val="00F42B8F"/>
    <w:rsid w:val="00F42BC5"/>
    <w:rsid w:val="00F42D7E"/>
    <w:rsid w:val="00F42FAA"/>
    <w:rsid w:val="00F430E2"/>
    <w:rsid w:val="00F4347F"/>
    <w:rsid w:val="00F436C4"/>
    <w:rsid w:val="00F437DA"/>
    <w:rsid w:val="00F43CA7"/>
    <w:rsid w:val="00F43D32"/>
    <w:rsid w:val="00F43D87"/>
    <w:rsid w:val="00F43EF7"/>
    <w:rsid w:val="00F4410D"/>
    <w:rsid w:val="00F446D4"/>
    <w:rsid w:val="00F446DC"/>
    <w:rsid w:val="00F4474A"/>
    <w:rsid w:val="00F447F7"/>
    <w:rsid w:val="00F44840"/>
    <w:rsid w:val="00F448F8"/>
    <w:rsid w:val="00F44C49"/>
    <w:rsid w:val="00F44D32"/>
    <w:rsid w:val="00F45069"/>
    <w:rsid w:val="00F451C8"/>
    <w:rsid w:val="00F45366"/>
    <w:rsid w:val="00F4541E"/>
    <w:rsid w:val="00F45442"/>
    <w:rsid w:val="00F4568F"/>
    <w:rsid w:val="00F4569E"/>
    <w:rsid w:val="00F456FE"/>
    <w:rsid w:val="00F45837"/>
    <w:rsid w:val="00F45855"/>
    <w:rsid w:val="00F45F07"/>
    <w:rsid w:val="00F463C6"/>
    <w:rsid w:val="00F46422"/>
    <w:rsid w:val="00F46B31"/>
    <w:rsid w:val="00F46C97"/>
    <w:rsid w:val="00F46CE7"/>
    <w:rsid w:val="00F46D66"/>
    <w:rsid w:val="00F46E4C"/>
    <w:rsid w:val="00F4704F"/>
    <w:rsid w:val="00F47081"/>
    <w:rsid w:val="00F47260"/>
    <w:rsid w:val="00F475AF"/>
    <w:rsid w:val="00F475C7"/>
    <w:rsid w:val="00F476A0"/>
    <w:rsid w:val="00F47852"/>
    <w:rsid w:val="00F47853"/>
    <w:rsid w:val="00F47AEE"/>
    <w:rsid w:val="00F47C38"/>
    <w:rsid w:val="00F47C74"/>
    <w:rsid w:val="00F50009"/>
    <w:rsid w:val="00F502FE"/>
    <w:rsid w:val="00F503E2"/>
    <w:rsid w:val="00F50477"/>
    <w:rsid w:val="00F50564"/>
    <w:rsid w:val="00F5056E"/>
    <w:rsid w:val="00F5093D"/>
    <w:rsid w:val="00F50B3F"/>
    <w:rsid w:val="00F50DC6"/>
    <w:rsid w:val="00F510D1"/>
    <w:rsid w:val="00F51191"/>
    <w:rsid w:val="00F5143C"/>
    <w:rsid w:val="00F519C5"/>
    <w:rsid w:val="00F519D3"/>
    <w:rsid w:val="00F51D10"/>
    <w:rsid w:val="00F51DCF"/>
    <w:rsid w:val="00F51E5D"/>
    <w:rsid w:val="00F51FCC"/>
    <w:rsid w:val="00F52418"/>
    <w:rsid w:val="00F52464"/>
    <w:rsid w:val="00F52B5E"/>
    <w:rsid w:val="00F52C2C"/>
    <w:rsid w:val="00F52C2F"/>
    <w:rsid w:val="00F52DC8"/>
    <w:rsid w:val="00F52DFA"/>
    <w:rsid w:val="00F52F22"/>
    <w:rsid w:val="00F530A4"/>
    <w:rsid w:val="00F533AB"/>
    <w:rsid w:val="00F533D1"/>
    <w:rsid w:val="00F5354B"/>
    <w:rsid w:val="00F5394A"/>
    <w:rsid w:val="00F53CD0"/>
    <w:rsid w:val="00F53D51"/>
    <w:rsid w:val="00F53DF6"/>
    <w:rsid w:val="00F54232"/>
    <w:rsid w:val="00F546D7"/>
    <w:rsid w:val="00F54779"/>
    <w:rsid w:val="00F54813"/>
    <w:rsid w:val="00F54904"/>
    <w:rsid w:val="00F5492E"/>
    <w:rsid w:val="00F54B07"/>
    <w:rsid w:val="00F55033"/>
    <w:rsid w:val="00F5515D"/>
    <w:rsid w:val="00F551BA"/>
    <w:rsid w:val="00F552CD"/>
    <w:rsid w:val="00F5539B"/>
    <w:rsid w:val="00F555E5"/>
    <w:rsid w:val="00F557A5"/>
    <w:rsid w:val="00F5586B"/>
    <w:rsid w:val="00F55AC2"/>
    <w:rsid w:val="00F55BC6"/>
    <w:rsid w:val="00F55F56"/>
    <w:rsid w:val="00F56274"/>
    <w:rsid w:val="00F56310"/>
    <w:rsid w:val="00F5658B"/>
    <w:rsid w:val="00F568E1"/>
    <w:rsid w:val="00F56C45"/>
    <w:rsid w:val="00F56D27"/>
    <w:rsid w:val="00F57463"/>
    <w:rsid w:val="00F576F1"/>
    <w:rsid w:val="00F5773D"/>
    <w:rsid w:val="00F5786B"/>
    <w:rsid w:val="00F57C32"/>
    <w:rsid w:val="00F57C45"/>
    <w:rsid w:val="00F57C57"/>
    <w:rsid w:val="00F57D7A"/>
    <w:rsid w:val="00F57E10"/>
    <w:rsid w:val="00F57EC9"/>
    <w:rsid w:val="00F6000E"/>
    <w:rsid w:val="00F602FC"/>
    <w:rsid w:val="00F603B2"/>
    <w:rsid w:val="00F60668"/>
    <w:rsid w:val="00F607CB"/>
    <w:rsid w:val="00F60836"/>
    <w:rsid w:val="00F60868"/>
    <w:rsid w:val="00F60886"/>
    <w:rsid w:val="00F60B09"/>
    <w:rsid w:val="00F60B31"/>
    <w:rsid w:val="00F60FCD"/>
    <w:rsid w:val="00F61186"/>
    <w:rsid w:val="00F61375"/>
    <w:rsid w:val="00F613DA"/>
    <w:rsid w:val="00F613E0"/>
    <w:rsid w:val="00F615A5"/>
    <w:rsid w:val="00F6173E"/>
    <w:rsid w:val="00F61891"/>
    <w:rsid w:val="00F61AF0"/>
    <w:rsid w:val="00F61AFB"/>
    <w:rsid w:val="00F61B5F"/>
    <w:rsid w:val="00F61BAB"/>
    <w:rsid w:val="00F61CE2"/>
    <w:rsid w:val="00F61D34"/>
    <w:rsid w:val="00F61D4B"/>
    <w:rsid w:val="00F61DC1"/>
    <w:rsid w:val="00F61E3B"/>
    <w:rsid w:val="00F61EB1"/>
    <w:rsid w:val="00F61FD0"/>
    <w:rsid w:val="00F62270"/>
    <w:rsid w:val="00F625EF"/>
    <w:rsid w:val="00F62DB6"/>
    <w:rsid w:val="00F630FE"/>
    <w:rsid w:val="00F63195"/>
    <w:rsid w:val="00F63360"/>
    <w:rsid w:val="00F6337F"/>
    <w:rsid w:val="00F63381"/>
    <w:rsid w:val="00F633A3"/>
    <w:rsid w:val="00F63518"/>
    <w:rsid w:val="00F635A2"/>
    <w:rsid w:val="00F63616"/>
    <w:rsid w:val="00F63821"/>
    <w:rsid w:val="00F63942"/>
    <w:rsid w:val="00F63AD5"/>
    <w:rsid w:val="00F63C7D"/>
    <w:rsid w:val="00F63D52"/>
    <w:rsid w:val="00F63F39"/>
    <w:rsid w:val="00F63F81"/>
    <w:rsid w:val="00F64095"/>
    <w:rsid w:val="00F641AE"/>
    <w:rsid w:val="00F642FB"/>
    <w:rsid w:val="00F6435E"/>
    <w:rsid w:val="00F6456E"/>
    <w:rsid w:val="00F6459C"/>
    <w:rsid w:val="00F64888"/>
    <w:rsid w:val="00F64BBC"/>
    <w:rsid w:val="00F64BC7"/>
    <w:rsid w:val="00F64F07"/>
    <w:rsid w:val="00F650FB"/>
    <w:rsid w:val="00F654EB"/>
    <w:rsid w:val="00F6552B"/>
    <w:rsid w:val="00F6570A"/>
    <w:rsid w:val="00F657B5"/>
    <w:rsid w:val="00F659BC"/>
    <w:rsid w:val="00F65B67"/>
    <w:rsid w:val="00F65B82"/>
    <w:rsid w:val="00F65B9D"/>
    <w:rsid w:val="00F65DF8"/>
    <w:rsid w:val="00F65F4B"/>
    <w:rsid w:val="00F65F4F"/>
    <w:rsid w:val="00F65FBB"/>
    <w:rsid w:val="00F66310"/>
    <w:rsid w:val="00F66352"/>
    <w:rsid w:val="00F66482"/>
    <w:rsid w:val="00F66544"/>
    <w:rsid w:val="00F66667"/>
    <w:rsid w:val="00F667BF"/>
    <w:rsid w:val="00F668C2"/>
    <w:rsid w:val="00F669B3"/>
    <w:rsid w:val="00F66B40"/>
    <w:rsid w:val="00F66E1D"/>
    <w:rsid w:val="00F66EB0"/>
    <w:rsid w:val="00F66FE1"/>
    <w:rsid w:val="00F66FEC"/>
    <w:rsid w:val="00F671F8"/>
    <w:rsid w:val="00F672F0"/>
    <w:rsid w:val="00F673A9"/>
    <w:rsid w:val="00F6770C"/>
    <w:rsid w:val="00F67A49"/>
    <w:rsid w:val="00F67A6A"/>
    <w:rsid w:val="00F67AA2"/>
    <w:rsid w:val="00F67ACB"/>
    <w:rsid w:val="00F67D1E"/>
    <w:rsid w:val="00F67EAF"/>
    <w:rsid w:val="00F67EB9"/>
    <w:rsid w:val="00F67F69"/>
    <w:rsid w:val="00F7083C"/>
    <w:rsid w:val="00F70863"/>
    <w:rsid w:val="00F70A81"/>
    <w:rsid w:val="00F70B82"/>
    <w:rsid w:val="00F70D37"/>
    <w:rsid w:val="00F711E6"/>
    <w:rsid w:val="00F71279"/>
    <w:rsid w:val="00F71349"/>
    <w:rsid w:val="00F71361"/>
    <w:rsid w:val="00F719CC"/>
    <w:rsid w:val="00F71A5E"/>
    <w:rsid w:val="00F71B50"/>
    <w:rsid w:val="00F71E72"/>
    <w:rsid w:val="00F720A1"/>
    <w:rsid w:val="00F72166"/>
    <w:rsid w:val="00F72200"/>
    <w:rsid w:val="00F72281"/>
    <w:rsid w:val="00F722A7"/>
    <w:rsid w:val="00F724B6"/>
    <w:rsid w:val="00F724F1"/>
    <w:rsid w:val="00F72699"/>
    <w:rsid w:val="00F72785"/>
    <w:rsid w:val="00F727C0"/>
    <w:rsid w:val="00F72887"/>
    <w:rsid w:val="00F728BA"/>
    <w:rsid w:val="00F72A4D"/>
    <w:rsid w:val="00F72C75"/>
    <w:rsid w:val="00F72D61"/>
    <w:rsid w:val="00F72E32"/>
    <w:rsid w:val="00F72E8C"/>
    <w:rsid w:val="00F730A3"/>
    <w:rsid w:val="00F73130"/>
    <w:rsid w:val="00F732E7"/>
    <w:rsid w:val="00F7344D"/>
    <w:rsid w:val="00F7347B"/>
    <w:rsid w:val="00F73756"/>
    <w:rsid w:val="00F737F6"/>
    <w:rsid w:val="00F73869"/>
    <w:rsid w:val="00F738D1"/>
    <w:rsid w:val="00F739F4"/>
    <w:rsid w:val="00F73BF0"/>
    <w:rsid w:val="00F73C5F"/>
    <w:rsid w:val="00F73D05"/>
    <w:rsid w:val="00F73E03"/>
    <w:rsid w:val="00F73F8B"/>
    <w:rsid w:val="00F73FAC"/>
    <w:rsid w:val="00F74161"/>
    <w:rsid w:val="00F742B8"/>
    <w:rsid w:val="00F7435A"/>
    <w:rsid w:val="00F7451F"/>
    <w:rsid w:val="00F74650"/>
    <w:rsid w:val="00F74754"/>
    <w:rsid w:val="00F7476F"/>
    <w:rsid w:val="00F74787"/>
    <w:rsid w:val="00F747EB"/>
    <w:rsid w:val="00F74816"/>
    <w:rsid w:val="00F74824"/>
    <w:rsid w:val="00F74CC1"/>
    <w:rsid w:val="00F74D78"/>
    <w:rsid w:val="00F74D81"/>
    <w:rsid w:val="00F74DB2"/>
    <w:rsid w:val="00F74E48"/>
    <w:rsid w:val="00F74F3A"/>
    <w:rsid w:val="00F74FD0"/>
    <w:rsid w:val="00F750A5"/>
    <w:rsid w:val="00F750DB"/>
    <w:rsid w:val="00F7543D"/>
    <w:rsid w:val="00F7568E"/>
    <w:rsid w:val="00F75755"/>
    <w:rsid w:val="00F7597F"/>
    <w:rsid w:val="00F75A29"/>
    <w:rsid w:val="00F75A47"/>
    <w:rsid w:val="00F75B81"/>
    <w:rsid w:val="00F75C9C"/>
    <w:rsid w:val="00F75E5B"/>
    <w:rsid w:val="00F75E9D"/>
    <w:rsid w:val="00F75FAF"/>
    <w:rsid w:val="00F76354"/>
    <w:rsid w:val="00F763B9"/>
    <w:rsid w:val="00F763F3"/>
    <w:rsid w:val="00F766B2"/>
    <w:rsid w:val="00F766B6"/>
    <w:rsid w:val="00F76732"/>
    <w:rsid w:val="00F7682E"/>
    <w:rsid w:val="00F76C96"/>
    <w:rsid w:val="00F76E8C"/>
    <w:rsid w:val="00F76F41"/>
    <w:rsid w:val="00F770C9"/>
    <w:rsid w:val="00F7711C"/>
    <w:rsid w:val="00F771FD"/>
    <w:rsid w:val="00F77334"/>
    <w:rsid w:val="00F776EF"/>
    <w:rsid w:val="00F7778B"/>
    <w:rsid w:val="00F77D51"/>
    <w:rsid w:val="00F77E09"/>
    <w:rsid w:val="00F802C5"/>
    <w:rsid w:val="00F804D4"/>
    <w:rsid w:val="00F80666"/>
    <w:rsid w:val="00F80B42"/>
    <w:rsid w:val="00F80BEA"/>
    <w:rsid w:val="00F80E22"/>
    <w:rsid w:val="00F80EBD"/>
    <w:rsid w:val="00F8116D"/>
    <w:rsid w:val="00F81186"/>
    <w:rsid w:val="00F811BE"/>
    <w:rsid w:val="00F81276"/>
    <w:rsid w:val="00F81384"/>
    <w:rsid w:val="00F813EA"/>
    <w:rsid w:val="00F8146C"/>
    <w:rsid w:val="00F816F1"/>
    <w:rsid w:val="00F81964"/>
    <w:rsid w:val="00F81A7A"/>
    <w:rsid w:val="00F81D1F"/>
    <w:rsid w:val="00F81DAE"/>
    <w:rsid w:val="00F82009"/>
    <w:rsid w:val="00F8219A"/>
    <w:rsid w:val="00F823BB"/>
    <w:rsid w:val="00F824BB"/>
    <w:rsid w:val="00F8291E"/>
    <w:rsid w:val="00F8292E"/>
    <w:rsid w:val="00F82CF2"/>
    <w:rsid w:val="00F82D22"/>
    <w:rsid w:val="00F82E3D"/>
    <w:rsid w:val="00F82FDC"/>
    <w:rsid w:val="00F83060"/>
    <w:rsid w:val="00F83629"/>
    <w:rsid w:val="00F83789"/>
    <w:rsid w:val="00F837BA"/>
    <w:rsid w:val="00F83B4B"/>
    <w:rsid w:val="00F83BF7"/>
    <w:rsid w:val="00F83D55"/>
    <w:rsid w:val="00F83F8A"/>
    <w:rsid w:val="00F8400C"/>
    <w:rsid w:val="00F8404D"/>
    <w:rsid w:val="00F8405B"/>
    <w:rsid w:val="00F84122"/>
    <w:rsid w:val="00F842A7"/>
    <w:rsid w:val="00F84399"/>
    <w:rsid w:val="00F843EE"/>
    <w:rsid w:val="00F84467"/>
    <w:rsid w:val="00F8483F"/>
    <w:rsid w:val="00F84A7D"/>
    <w:rsid w:val="00F84ADC"/>
    <w:rsid w:val="00F84B44"/>
    <w:rsid w:val="00F84C23"/>
    <w:rsid w:val="00F84D1D"/>
    <w:rsid w:val="00F84DED"/>
    <w:rsid w:val="00F84E23"/>
    <w:rsid w:val="00F84EE5"/>
    <w:rsid w:val="00F85043"/>
    <w:rsid w:val="00F85098"/>
    <w:rsid w:val="00F850B5"/>
    <w:rsid w:val="00F8519A"/>
    <w:rsid w:val="00F853D5"/>
    <w:rsid w:val="00F8554F"/>
    <w:rsid w:val="00F85C7C"/>
    <w:rsid w:val="00F85E96"/>
    <w:rsid w:val="00F8607C"/>
    <w:rsid w:val="00F86088"/>
    <w:rsid w:val="00F860D6"/>
    <w:rsid w:val="00F861E6"/>
    <w:rsid w:val="00F864EE"/>
    <w:rsid w:val="00F8659C"/>
    <w:rsid w:val="00F865AC"/>
    <w:rsid w:val="00F866D1"/>
    <w:rsid w:val="00F868BC"/>
    <w:rsid w:val="00F86A01"/>
    <w:rsid w:val="00F86A50"/>
    <w:rsid w:val="00F86C66"/>
    <w:rsid w:val="00F86E3E"/>
    <w:rsid w:val="00F86F3F"/>
    <w:rsid w:val="00F86FAB"/>
    <w:rsid w:val="00F86FF7"/>
    <w:rsid w:val="00F87004"/>
    <w:rsid w:val="00F87057"/>
    <w:rsid w:val="00F87134"/>
    <w:rsid w:val="00F877D5"/>
    <w:rsid w:val="00F87906"/>
    <w:rsid w:val="00F8792C"/>
    <w:rsid w:val="00F87A7B"/>
    <w:rsid w:val="00F87AD8"/>
    <w:rsid w:val="00F87C4C"/>
    <w:rsid w:val="00F87E1C"/>
    <w:rsid w:val="00F87E3E"/>
    <w:rsid w:val="00F87E4B"/>
    <w:rsid w:val="00F87EA6"/>
    <w:rsid w:val="00F87EFB"/>
    <w:rsid w:val="00F87F62"/>
    <w:rsid w:val="00F87F93"/>
    <w:rsid w:val="00F90049"/>
    <w:rsid w:val="00F903A5"/>
    <w:rsid w:val="00F903CC"/>
    <w:rsid w:val="00F9060D"/>
    <w:rsid w:val="00F90860"/>
    <w:rsid w:val="00F90C3F"/>
    <w:rsid w:val="00F90D6F"/>
    <w:rsid w:val="00F90D72"/>
    <w:rsid w:val="00F90DA8"/>
    <w:rsid w:val="00F90F40"/>
    <w:rsid w:val="00F91120"/>
    <w:rsid w:val="00F91190"/>
    <w:rsid w:val="00F911CC"/>
    <w:rsid w:val="00F91221"/>
    <w:rsid w:val="00F91487"/>
    <w:rsid w:val="00F915D6"/>
    <w:rsid w:val="00F9186A"/>
    <w:rsid w:val="00F919E3"/>
    <w:rsid w:val="00F91B74"/>
    <w:rsid w:val="00F91B88"/>
    <w:rsid w:val="00F91C50"/>
    <w:rsid w:val="00F91F1B"/>
    <w:rsid w:val="00F91F38"/>
    <w:rsid w:val="00F9200E"/>
    <w:rsid w:val="00F92112"/>
    <w:rsid w:val="00F9218B"/>
    <w:rsid w:val="00F9252A"/>
    <w:rsid w:val="00F9272D"/>
    <w:rsid w:val="00F9285C"/>
    <w:rsid w:val="00F928EA"/>
    <w:rsid w:val="00F92C55"/>
    <w:rsid w:val="00F92F51"/>
    <w:rsid w:val="00F92F76"/>
    <w:rsid w:val="00F93108"/>
    <w:rsid w:val="00F931D6"/>
    <w:rsid w:val="00F931DE"/>
    <w:rsid w:val="00F93319"/>
    <w:rsid w:val="00F93431"/>
    <w:rsid w:val="00F9344F"/>
    <w:rsid w:val="00F93595"/>
    <w:rsid w:val="00F93775"/>
    <w:rsid w:val="00F937F1"/>
    <w:rsid w:val="00F939FF"/>
    <w:rsid w:val="00F93A63"/>
    <w:rsid w:val="00F93DB8"/>
    <w:rsid w:val="00F93E4D"/>
    <w:rsid w:val="00F940BE"/>
    <w:rsid w:val="00F94137"/>
    <w:rsid w:val="00F94191"/>
    <w:rsid w:val="00F941E0"/>
    <w:rsid w:val="00F9444D"/>
    <w:rsid w:val="00F948CD"/>
    <w:rsid w:val="00F94925"/>
    <w:rsid w:val="00F949CE"/>
    <w:rsid w:val="00F94C3E"/>
    <w:rsid w:val="00F94CEB"/>
    <w:rsid w:val="00F94D16"/>
    <w:rsid w:val="00F95064"/>
    <w:rsid w:val="00F951DB"/>
    <w:rsid w:val="00F9548D"/>
    <w:rsid w:val="00F95B23"/>
    <w:rsid w:val="00F95D4A"/>
    <w:rsid w:val="00F95DAA"/>
    <w:rsid w:val="00F95E7B"/>
    <w:rsid w:val="00F96035"/>
    <w:rsid w:val="00F9616E"/>
    <w:rsid w:val="00F961B9"/>
    <w:rsid w:val="00F962D6"/>
    <w:rsid w:val="00F96303"/>
    <w:rsid w:val="00F9631C"/>
    <w:rsid w:val="00F96327"/>
    <w:rsid w:val="00F96453"/>
    <w:rsid w:val="00F968D4"/>
    <w:rsid w:val="00F9693C"/>
    <w:rsid w:val="00F96A10"/>
    <w:rsid w:val="00F96C4B"/>
    <w:rsid w:val="00F96C87"/>
    <w:rsid w:val="00F96F40"/>
    <w:rsid w:val="00F97239"/>
    <w:rsid w:val="00F97527"/>
    <w:rsid w:val="00F97586"/>
    <w:rsid w:val="00F976BA"/>
    <w:rsid w:val="00F978BF"/>
    <w:rsid w:val="00F97B4F"/>
    <w:rsid w:val="00F97BB5"/>
    <w:rsid w:val="00FA0051"/>
    <w:rsid w:val="00FA0059"/>
    <w:rsid w:val="00FA0228"/>
    <w:rsid w:val="00FA0487"/>
    <w:rsid w:val="00FA0578"/>
    <w:rsid w:val="00FA08F8"/>
    <w:rsid w:val="00FA0948"/>
    <w:rsid w:val="00FA0C2D"/>
    <w:rsid w:val="00FA0DF7"/>
    <w:rsid w:val="00FA10CC"/>
    <w:rsid w:val="00FA13D0"/>
    <w:rsid w:val="00FA13D6"/>
    <w:rsid w:val="00FA1712"/>
    <w:rsid w:val="00FA183D"/>
    <w:rsid w:val="00FA18B3"/>
    <w:rsid w:val="00FA1911"/>
    <w:rsid w:val="00FA19E3"/>
    <w:rsid w:val="00FA1B09"/>
    <w:rsid w:val="00FA1C3B"/>
    <w:rsid w:val="00FA1EE0"/>
    <w:rsid w:val="00FA2286"/>
    <w:rsid w:val="00FA2BA7"/>
    <w:rsid w:val="00FA2D4E"/>
    <w:rsid w:val="00FA2E74"/>
    <w:rsid w:val="00FA33F7"/>
    <w:rsid w:val="00FA3587"/>
    <w:rsid w:val="00FA36B9"/>
    <w:rsid w:val="00FA3811"/>
    <w:rsid w:val="00FA39DB"/>
    <w:rsid w:val="00FA3AC0"/>
    <w:rsid w:val="00FA3D1E"/>
    <w:rsid w:val="00FA3E14"/>
    <w:rsid w:val="00FA3FFC"/>
    <w:rsid w:val="00FA40E9"/>
    <w:rsid w:val="00FA42B5"/>
    <w:rsid w:val="00FA44D2"/>
    <w:rsid w:val="00FA47B6"/>
    <w:rsid w:val="00FA4829"/>
    <w:rsid w:val="00FA48E5"/>
    <w:rsid w:val="00FA4934"/>
    <w:rsid w:val="00FA49CA"/>
    <w:rsid w:val="00FA4B52"/>
    <w:rsid w:val="00FA4BDE"/>
    <w:rsid w:val="00FA4C85"/>
    <w:rsid w:val="00FA4EA0"/>
    <w:rsid w:val="00FA4EAE"/>
    <w:rsid w:val="00FA4FC7"/>
    <w:rsid w:val="00FA50DD"/>
    <w:rsid w:val="00FA50F0"/>
    <w:rsid w:val="00FA511D"/>
    <w:rsid w:val="00FA5202"/>
    <w:rsid w:val="00FA53FC"/>
    <w:rsid w:val="00FA565A"/>
    <w:rsid w:val="00FA58DF"/>
    <w:rsid w:val="00FA5BDE"/>
    <w:rsid w:val="00FA5BEE"/>
    <w:rsid w:val="00FA5EE9"/>
    <w:rsid w:val="00FA609B"/>
    <w:rsid w:val="00FA639E"/>
    <w:rsid w:val="00FA6786"/>
    <w:rsid w:val="00FA68B1"/>
    <w:rsid w:val="00FA6CBA"/>
    <w:rsid w:val="00FA6E6D"/>
    <w:rsid w:val="00FA6F32"/>
    <w:rsid w:val="00FA6FE6"/>
    <w:rsid w:val="00FA7020"/>
    <w:rsid w:val="00FA7186"/>
    <w:rsid w:val="00FA7283"/>
    <w:rsid w:val="00FA7368"/>
    <w:rsid w:val="00FA7375"/>
    <w:rsid w:val="00FA7709"/>
    <w:rsid w:val="00FA777A"/>
    <w:rsid w:val="00FA7A1E"/>
    <w:rsid w:val="00FA7A47"/>
    <w:rsid w:val="00FA7A88"/>
    <w:rsid w:val="00FA7BA8"/>
    <w:rsid w:val="00FA7C09"/>
    <w:rsid w:val="00FA7D10"/>
    <w:rsid w:val="00FA7EB7"/>
    <w:rsid w:val="00FB011D"/>
    <w:rsid w:val="00FB01FE"/>
    <w:rsid w:val="00FB037F"/>
    <w:rsid w:val="00FB050F"/>
    <w:rsid w:val="00FB057B"/>
    <w:rsid w:val="00FB058A"/>
    <w:rsid w:val="00FB058C"/>
    <w:rsid w:val="00FB05A8"/>
    <w:rsid w:val="00FB070F"/>
    <w:rsid w:val="00FB0A2F"/>
    <w:rsid w:val="00FB0BD7"/>
    <w:rsid w:val="00FB0EA1"/>
    <w:rsid w:val="00FB109B"/>
    <w:rsid w:val="00FB10D6"/>
    <w:rsid w:val="00FB111C"/>
    <w:rsid w:val="00FB1121"/>
    <w:rsid w:val="00FB12C4"/>
    <w:rsid w:val="00FB15B7"/>
    <w:rsid w:val="00FB19A7"/>
    <w:rsid w:val="00FB19B4"/>
    <w:rsid w:val="00FB1B40"/>
    <w:rsid w:val="00FB1EC2"/>
    <w:rsid w:val="00FB205F"/>
    <w:rsid w:val="00FB211F"/>
    <w:rsid w:val="00FB215B"/>
    <w:rsid w:val="00FB2261"/>
    <w:rsid w:val="00FB22B2"/>
    <w:rsid w:val="00FB2330"/>
    <w:rsid w:val="00FB2787"/>
    <w:rsid w:val="00FB27D9"/>
    <w:rsid w:val="00FB2BD6"/>
    <w:rsid w:val="00FB2EE9"/>
    <w:rsid w:val="00FB30A0"/>
    <w:rsid w:val="00FB34CD"/>
    <w:rsid w:val="00FB34CE"/>
    <w:rsid w:val="00FB373B"/>
    <w:rsid w:val="00FB376D"/>
    <w:rsid w:val="00FB37B4"/>
    <w:rsid w:val="00FB38F0"/>
    <w:rsid w:val="00FB3A64"/>
    <w:rsid w:val="00FB3A93"/>
    <w:rsid w:val="00FB3AE3"/>
    <w:rsid w:val="00FB3BC3"/>
    <w:rsid w:val="00FB3BFC"/>
    <w:rsid w:val="00FB3C19"/>
    <w:rsid w:val="00FB3C96"/>
    <w:rsid w:val="00FB3D54"/>
    <w:rsid w:val="00FB3EB3"/>
    <w:rsid w:val="00FB3EB5"/>
    <w:rsid w:val="00FB3ED5"/>
    <w:rsid w:val="00FB3EF5"/>
    <w:rsid w:val="00FB4106"/>
    <w:rsid w:val="00FB417F"/>
    <w:rsid w:val="00FB44E6"/>
    <w:rsid w:val="00FB4535"/>
    <w:rsid w:val="00FB45D1"/>
    <w:rsid w:val="00FB47BC"/>
    <w:rsid w:val="00FB486A"/>
    <w:rsid w:val="00FB4C28"/>
    <w:rsid w:val="00FB4CC7"/>
    <w:rsid w:val="00FB4D7F"/>
    <w:rsid w:val="00FB4E26"/>
    <w:rsid w:val="00FB502F"/>
    <w:rsid w:val="00FB51FE"/>
    <w:rsid w:val="00FB521E"/>
    <w:rsid w:val="00FB540F"/>
    <w:rsid w:val="00FB5544"/>
    <w:rsid w:val="00FB561F"/>
    <w:rsid w:val="00FB58B5"/>
    <w:rsid w:val="00FB59A5"/>
    <w:rsid w:val="00FB5BAE"/>
    <w:rsid w:val="00FB5F8B"/>
    <w:rsid w:val="00FB6024"/>
    <w:rsid w:val="00FB6534"/>
    <w:rsid w:val="00FB688C"/>
    <w:rsid w:val="00FB6899"/>
    <w:rsid w:val="00FB695D"/>
    <w:rsid w:val="00FB6982"/>
    <w:rsid w:val="00FB69D5"/>
    <w:rsid w:val="00FB6BD8"/>
    <w:rsid w:val="00FB6BD9"/>
    <w:rsid w:val="00FB6BDB"/>
    <w:rsid w:val="00FB6D65"/>
    <w:rsid w:val="00FB6EDB"/>
    <w:rsid w:val="00FB7022"/>
    <w:rsid w:val="00FB735C"/>
    <w:rsid w:val="00FB73B5"/>
    <w:rsid w:val="00FB7A20"/>
    <w:rsid w:val="00FB7B62"/>
    <w:rsid w:val="00FB7C13"/>
    <w:rsid w:val="00FB7C5B"/>
    <w:rsid w:val="00FB7D29"/>
    <w:rsid w:val="00FB7E69"/>
    <w:rsid w:val="00FC00DA"/>
    <w:rsid w:val="00FC01ED"/>
    <w:rsid w:val="00FC060C"/>
    <w:rsid w:val="00FC06BE"/>
    <w:rsid w:val="00FC071A"/>
    <w:rsid w:val="00FC0759"/>
    <w:rsid w:val="00FC08A5"/>
    <w:rsid w:val="00FC08A6"/>
    <w:rsid w:val="00FC0A5F"/>
    <w:rsid w:val="00FC0CC2"/>
    <w:rsid w:val="00FC0CD0"/>
    <w:rsid w:val="00FC0D28"/>
    <w:rsid w:val="00FC0E46"/>
    <w:rsid w:val="00FC10D0"/>
    <w:rsid w:val="00FC1367"/>
    <w:rsid w:val="00FC13CF"/>
    <w:rsid w:val="00FC13D3"/>
    <w:rsid w:val="00FC1709"/>
    <w:rsid w:val="00FC1718"/>
    <w:rsid w:val="00FC1839"/>
    <w:rsid w:val="00FC2068"/>
    <w:rsid w:val="00FC230B"/>
    <w:rsid w:val="00FC2328"/>
    <w:rsid w:val="00FC2358"/>
    <w:rsid w:val="00FC23C0"/>
    <w:rsid w:val="00FC25DB"/>
    <w:rsid w:val="00FC266C"/>
    <w:rsid w:val="00FC282A"/>
    <w:rsid w:val="00FC2918"/>
    <w:rsid w:val="00FC2B11"/>
    <w:rsid w:val="00FC2C1D"/>
    <w:rsid w:val="00FC3180"/>
    <w:rsid w:val="00FC34AD"/>
    <w:rsid w:val="00FC3524"/>
    <w:rsid w:val="00FC370C"/>
    <w:rsid w:val="00FC38D9"/>
    <w:rsid w:val="00FC398A"/>
    <w:rsid w:val="00FC39FC"/>
    <w:rsid w:val="00FC3A6A"/>
    <w:rsid w:val="00FC3A73"/>
    <w:rsid w:val="00FC3C34"/>
    <w:rsid w:val="00FC3CA0"/>
    <w:rsid w:val="00FC3EE0"/>
    <w:rsid w:val="00FC3F34"/>
    <w:rsid w:val="00FC3FE4"/>
    <w:rsid w:val="00FC4174"/>
    <w:rsid w:val="00FC42D1"/>
    <w:rsid w:val="00FC42FE"/>
    <w:rsid w:val="00FC430A"/>
    <w:rsid w:val="00FC446A"/>
    <w:rsid w:val="00FC44C6"/>
    <w:rsid w:val="00FC480B"/>
    <w:rsid w:val="00FC4908"/>
    <w:rsid w:val="00FC49CC"/>
    <w:rsid w:val="00FC4C62"/>
    <w:rsid w:val="00FC4D94"/>
    <w:rsid w:val="00FC5077"/>
    <w:rsid w:val="00FC5125"/>
    <w:rsid w:val="00FC51A5"/>
    <w:rsid w:val="00FC5219"/>
    <w:rsid w:val="00FC52F6"/>
    <w:rsid w:val="00FC5335"/>
    <w:rsid w:val="00FC53EB"/>
    <w:rsid w:val="00FC55CD"/>
    <w:rsid w:val="00FC5756"/>
    <w:rsid w:val="00FC580E"/>
    <w:rsid w:val="00FC5868"/>
    <w:rsid w:val="00FC5C26"/>
    <w:rsid w:val="00FC5D03"/>
    <w:rsid w:val="00FC5D78"/>
    <w:rsid w:val="00FC5DB6"/>
    <w:rsid w:val="00FC5E59"/>
    <w:rsid w:val="00FC5E98"/>
    <w:rsid w:val="00FC5ED5"/>
    <w:rsid w:val="00FC5F4C"/>
    <w:rsid w:val="00FC5F56"/>
    <w:rsid w:val="00FC6197"/>
    <w:rsid w:val="00FC6476"/>
    <w:rsid w:val="00FC6531"/>
    <w:rsid w:val="00FC68F9"/>
    <w:rsid w:val="00FC6984"/>
    <w:rsid w:val="00FC6A7E"/>
    <w:rsid w:val="00FC6ABF"/>
    <w:rsid w:val="00FC6BF3"/>
    <w:rsid w:val="00FC6E41"/>
    <w:rsid w:val="00FC6EE8"/>
    <w:rsid w:val="00FC6FAD"/>
    <w:rsid w:val="00FC70E2"/>
    <w:rsid w:val="00FC719E"/>
    <w:rsid w:val="00FC7251"/>
    <w:rsid w:val="00FC733A"/>
    <w:rsid w:val="00FC73DC"/>
    <w:rsid w:val="00FC797D"/>
    <w:rsid w:val="00FC7F1E"/>
    <w:rsid w:val="00FD029A"/>
    <w:rsid w:val="00FD0361"/>
    <w:rsid w:val="00FD03F6"/>
    <w:rsid w:val="00FD0577"/>
    <w:rsid w:val="00FD08A7"/>
    <w:rsid w:val="00FD0AA1"/>
    <w:rsid w:val="00FD0AC1"/>
    <w:rsid w:val="00FD0B43"/>
    <w:rsid w:val="00FD0C79"/>
    <w:rsid w:val="00FD0DE7"/>
    <w:rsid w:val="00FD1576"/>
    <w:rsid w:val="00FD1778"/>
    <w:rsid w:val="00FD1830"/>
    <w:rsid w:val="00FD193E"/>
    <w:rsid w:val="00FD194C"/>
    <w:rsid w:val="00FD1BCF"/>
    <w:rsid w:val="00FD1EF9"/>
    <w:rsid w:val="00FD2404"/>
    <w:rsid w:val="00FD270A"/>
    <w:rsid w:val="00FD2722"/>
    <w:rsid w:val="00FD2A1D"/>
    <w:rsid w:val="00FD2BA5"/>
    <w:rsid w:val="00FD342B"/>
    <w:rsid w:val="00FD35ED"/>
    <w:rsid w:val="00FD374D"/>
    <w:rsid w:val="00FD388B"/>
    <w:rsid w:val="00FD3FC1"/>
    <w:rsid w:val="00FD4066"/>
    <w:rsid w:val="00FD438A"/>
    <w:rsid w:val="00FD443B"/>
    <w:rsid w:val="00FD4597"/>
    <w:rsid w:val="00FD460C"/>
    <w:rsid w:val="00FD4612"/>
    <w:rsid w:val="00FD4624"/>
    <w:rsid w:val="00FD4670"/>
    <w:rsid w:val="00FD46A5"/>
    <w:rsid w:val="00FD480F"/>
    <w:rsid w:val="00FD4B07"/>
    <w:rsid w:val="00FD4B1E"/>
    <w:rsid w:val="00FD4BAD"/>
    <w:rsid w:val="00FD4E12"/>
    <w:rsid w:val="00FD4EA4"/>
    <w:rsid w:val="00FD4F22"/>
    <w:rsid w:val="00FD5123"/>
    <w:rsid w:val="00FD52C6"/>
    <w:rsid w:val="00FD52FE"/>
    <w:rsid w:val="00FD534C"/>
    <w:rsid w:val="00FD53FC"/>
    <w:rsid w:val="00FD5459"/>
    <w:rsid w:val="00FD56E4"/>
    <w:rsid w:val="00FD591E"/>
    <w:rsid w:val="00FD5982"/>
    <w:rsid w:val="00FD5B38"/>
    <w:rsid w:val="00FD5D95"/>
    <w:rsid w:val="00FD5FBE"/>
    <w:rsid w:val="00FD6128"/>
    <w:rsid w:val="00FD61BF"/>
    <w:rsid w:val="00FD61D6"/>
    <w:rsid w:val="00FD62BB"/>
    <w:rsid w:val="00FD62CD"/>
    <w:rsid w:val="00FD65B4"/>
    <w:rsid w:val="00FD6707"/>
    <w:rsid w:val="00FD6798"/>
    <w:rsid w:val="00FD6B5D"/>
    <w:rsid w:val="00FD6CEF"/>
    <w:rsid w:val="00FD729C"/>
    <w:rsid w:val="00FD72ED"/>
    <w:rsid w:val="00FD738B"/>
    <w:rsid w:val="00FD7478"/>
    <w:rsid w:val="00FD752D"/>
    <w:rsid w:val="00FD7752"/>
    <w:rsid w:val="00FD791F"/>
    <w:rsid w:val="00FD79CC"/>
    <w:rsid w:val="00FD7A2C"/>
    <w:rsid w:val="00FD7C37"/>
    <w:rsid w:val="00FD7F2B"/>
    <w:rsid w:val="00FD7F50"/>
    <w:rsid w:val="00FD7F9C"/>
    <w:rsid w:val="00FE00AC"/>
    <w:rsid w:val="00FE00E4"/>
    <w:rsid w:val="00FE04E4"/>
    <w:rsid w:val="00FE0621"/>
    <w:rsid w:val="00FE06EF"/>
    <w:rsid w:val="00FE081D"/>
    <w:rsid w:val="00FE0843"/>
    <w:rsid w:val="00FE0859"/>
    <w:rsid w:val="00FE09D3"/>
    <w:rsid w:val="00FE0A15"/>
    <w:rsid w:val="00FE0C0B"/>
    <w:rsid w:val="00FE0D30"/>
    <w:rsid w:val="00FE0DF3"/>
    <w:rsid w:val="00FE0F46"/>
    <w:rsid w:val="00FE0F55"/>
    <w:rsid w:val="00FE12C4"/>
    <w:rsid w:val="00FE12FD"/>
    <w:rsid w:val="00FE141D"/>
    <w:rsid w:val="00FE17BF"/>
    <w:rsid w:val="00FE189C"/>
    <w:rsid w:val="00FE198F"/>
    <w:rsid w:val="00FE19E6"/>
    <w:rsid w:val="00FE1A9B"/>
    <w:rsid w:val="00FE1B03"/>
    <w:rsid w:val="00FE1B63"/>
    <w:rsid w:val="00FE1B68"/>
    <w:rsid w:val="00FE1B9D"/>
    <w:rsid w:val="00FE1C37"/>
    <w:rsid w:val="00FE1D6A"/>
    <w:rsid w:val="00FE204B"/>
    <w:rsid w:val="00FE208D"/>
    <w:rsid w:val="00FE23A3"/>
    <w:rsid w:val="00FE2452"/>
    <w:rsid w:val="00FE27A6"/>
    <w:rsid w:val="00FE2824"/>
    <w:rsid w:val="00FE29C6"/>
    <w:rsid w:val="00FE2A58"/>
    <w:rsid w:val="00FE2AE8"/>
    <w:rsid w:val="00FE2B5D"/>
    <w:rsid w:val="00FE2E57"/>
    <w:rsid w:val="00FE35A1"/>
    <w:rsid w:val="00FE3AFC"/>
    <w:rsid w:val="00FE3B1B"/>
    <w:rsid w:val="00FE3B5C"/>
    <w:rsid w:val="00FE3C9D"/>
    <w:rsid w:val="00FE40BC"/>
    <w:rsid w:val="00FE412F"/>
    <w:rsid w:val="00FE43AC"/>
    <w:rsid w:val="00FE46EB"/>
    <w:rsid w:val="00FE474A"/>
    <w:rsid w:val="00FE4B29"/>
    <w:rsid w:val="00FE4CFD"/>
    <w:rsid w:val="00FE4EA6"/>
    <w:rsid w:val="00FE4FCD"/>
    <w:rsid w:val="00FE521B"/>
    <w:rsid w:val="00FE538F"/>
    <w:rsid w:val="00FE5533"/>
    <w:rsid w:val="00FE5B1A"/>
    <w:rsid w:val="00FE5C09"/>
    <w:rsid w:val="00FE61BF"/>
    <w:rsid w:val="00FE6276"/>
    <w:rsid w:val="00FE62A3"/>
    <w:rsid w:val="00FE6A0D"/>
    <w:rsid w:val="00FE6A81"/>
    <w:rsid w:val="00FE6C42"/>
    <w:rsid w:val="00FE6D01"/>
    <w:rsid w:val="00FE6FD2"/>
    <w:rsid w:val="00FE724E"/>
    <w:rsid w:val="00FE7253"/>
    <w:rsid w:val="00FE73ED"/>
    <w:rsid w:val="00FE7445"/>
    <w:rsid w:val="00FE7568"/>
    <w:rsid w:val="00FE778D"/>
    <w:rsid w:val="00FE79F9"/>
    <w:rsid w:val="00FE7B83"/>
    <w:rsid w:val="00FE7BEA"/>
    <w:rsid w:val="00FE7D29"/>
    <w:rsid w:val="00FF0166"/>
    <w:rsid w:val="00FF0467"/>
    <w:rsid w:val="00FF05DF"/>
    <w:rsid w:val="00FF07C8"/>
    <w:rsid w:val="00FF08EC"/>
    <w:rsid w:val="00FF09D6"/>
    <w:rsid w:val="00FF0C6F"/>
    <w:rsid w:val="00FF0F9D"/>
    <w:rsid w:val="00FF12AB"/>
    <w:rsid w:val="00FF12EE"/>
    <w:rsid w:val="00FF1316"/>
    <w:rsid w:val="00FF15B6"/>
    <w:rsid w:val="00FF16D2"/>
    <w:rsid w:val="00FF1746"/>
    <w:rsid w:val="00FF1906"/>
    <w:rsid w:val="00FF19BA"/>
    <w:rsid w:val="00FF1E48"/>
    <w:rsid w:val="00FF1E94"/>
    <w:rsid w:val="00FF1EFA"/>
    <w:rsid w:val="00FF2275"/>
    <w:rsid w:val="00FF2409"/>
    <w:rsid w:val="00FF24BA"/>
    <w:rsid w:val="00FF24BD"/>
    <w:rsid w:val="00FF26FF"/>
    <w:rsid w:val="00FF294D"/>
    <w:rsid w:val="00FF29C6"/>
    <w:rsid w:val="00FF2C45"/>
    <w:rsid w:val="00FF2F1E"/>
    <w:rsid w:val="00FF3465"/>
    <w:rsid w:val="00FF34A1"/>
    <w:rsid w:val="00FF3543"/>
    <w:rsid w:val="00FF3633"/>
    <w:rsid w:val="00FF376E"/>
    <w:rsid w:val="00FF3C26"/>
    <w:rsid w:val="00FF402F"/>
    <w:rsid w:val="00FF4107"/>
    <w:rsid w:val="00FF4383"/>
    <w:rsid w:val="00FF4392"/>
    <w:rsid w:val="00FF46F1"/>
    <w:rsid w:val="00FF4705"/>
    <w:rsid w:val="00FF4A08"/>
    <w:rsid w:val="00FF4A3E"/>
    <w:rsid w:val="00FF4B43"/>
    <w:rsid w:val="00FF4C27"/>
    <w:rsid w:val="00FF4E2B"/>
    <w:rsid w:val="00FF4EB7"/>
    <w:rsid w:val="00FF4F04"/>
    <w:rsid w:val="00FF5025"/>
    <w:rsid w:val="00FF5149"/>
    <w:rsid w:val="00FF5560"/>
    <w:rsid w:val="00FF57F1"/>
    <w:rsid w:val="00FF597F"/>
    <w:rsid w:val="00FF5E17"/>
    <w:rsid w:val="00FF5E51"/>
    <w:rsid w:val="00FF5F65"/>
    <w:rsid w:val="00FF6000"/>
    <w:rsid w:val="00FF6161"/>
    <w:rsid w:val="00FF61C7"/>
    <w:rsid w:val="00FF62E0"/>
    <w:rsid w:val="00FF63AF"/>
    <w:rsid w:val="00FF647A"/>
    <w:rsid w:val="00FF65A7"/>
    <w:rsid w:val="00FF6739"/>
    <w:rsid w:val="00FF6978"/>
    <w:rsid w:val="00FF6B17"/>
    <w:rsid w:val="00FF6B5C"/>
    <w:rsid w:val="00FF6B98"/>
    <w:rsid w:val="00FF6D3F"/>
    <w:rsid w:val="00FF6E7F"/>
    <w:rsid w:val="00FF7016"/>
    <w:rsid w:val="00FF70E7"/>
    <w:rsid w:val="00FF7178"/>
    <w:rsid w:val="00FF71E3"/>
    <w:rsid w:val="00FF7345"/>
    <w:rsid w:val="00FF74F7"/>
    <w:rsid w:val="00FF7576"/>
    <w:rsid w:val="00FF77A5"/>
    <w:rsid w:val="00FF77B7"/>
    <w:rsid w:val="00FF7949"/>
    <w:rsid w:val="00FF79A5"/>
    <w:rsid w:val="00FF7A27"/>
    <w:rsid w:val="00FF7D07"/>
    <w:rsid w:val="00FF7D0C"/>
    <w:rsid w:val="00FF7D28"/>
    <w:rsid w:val="00FF7EB8"/>
    <w:rsid w:val="0101D611"/>
    <w:rsid w:val="0150F4CD"/>
    <w:rsid w:val="01515BCD"/>
    <w:rsid w:val="01A72767"/>
    <w:rsid w:val="01A8E8AF"/>
    <w:rsid w:val="01ACE764"/>
    <w:rsid w:val="01C2516D"/>
    <w:rsid w:val="01E9E261"/>
    <w:rsid w:val="01FCE044"/>
    <w:rsid w:val="024665E0"/>
    <w:rsid w:val="026F08B7"/>
    <w:rsid w:val="0278E0AF"/>
    <w:rsid w:val="02797DBA"/>
    <w:rsid w:val="02AE1478"/>
    <w:rsid w:val="02B18BD0"/>
    <w:rsid w:val="030338C2"/>
    <w:rsid w:val="030CEE87"/>
    <w:rsid w:val="03172D11"/>
    <w:rsid w:val="03186AD7"/>
    <w:rsid w:val="03239A89"/>
    <w:rsid w:val="03421B69"/>
    <w:rsid w:val="03584812"/>
    <w:rsid w:val="037047DB"/>
    <w:rsid w:val="037FB601"/>
    <w:rsid w:val="03C5B072"/>
    <w:rsid w:val="03DAF022"/>
    <w:rsid w:val="04127DE4"/>
    <w:rsid w:val="0414B283"/>
    <w:rsid w:val="041F52BE"/>
    <w:rsid w:val="0420F27E"/>
    <w:rsid w:val="0426CE94"/>
    <w:rsid w:val="043702C8"/>
    <w:rsid w:val="043976D3"/>
    <w:rsid w:val="0441A665"/>
    <w:rsid w:val="0457A15A"/>
    <w:rsid w:val="0472B5EF"/>
    <w:rsid w:val="04A8BEE8"/>
    <w:rsid w:val="04D82A4E"/>
    <w:rsid w:val="050D224C"/>
    <w:rsid w:val="051BD174"/>
    <w:rsid w:val="05254C40"/>
    <w:rsid w:val="0537D19E"/>
    <w:rsid w:val="05499BCD"/>
    <w:rsid w:val="0551D974"/>
    <w:rsid w:val="056CA4DC"/>
    <w:rsid w:val="059601AF"/>
    <w:rsid w:val="05C27782"/>
    <w:rsid w:val="05D11745"/>
    <w:rsid w:val="06366450"/>
    <w:rsid w:val="0646965F"/>
    <w:rsid w:val="0666EBD5"/>
    <w:rsid w:val="06A0D76D"/>
    <w:rsid w:val="06A3BF5D"/>
    <w:rsid w:val="06ACFCE5"/>
    <w:rsid w:val="06AD427C"/>
    <w:rsid w:val="06CB7FD3"/>
    <w:rsid w:val="06ECBAAC"/>
    <w:rsid w:val="06F3DF1E"/>
    <w:rsid w:val="0702E412"/>
    <w:rsid w:val="073A93B4"/>
    <w:rsid w:val="073BD5E8"/>
    <w:rsid w:val="07493870"/>
    <w:rsid w:val="075F2698"/>
    <w:rsid w:val="076A4049"/>
    <w:rsid w:val="0795F70A"/>
    <w:rsid w:val="079A9C4E"/>
    <w:rsid w:val="07A44C23"/>
    <w:rsid w:val="07AE6995"/>
    <w:rsid w:val="07C0BFDE"/>
    <w:rsid w:val="07E8185C"/>
    <w:rsid w:val="07EF83C8"/>
    <w:rsid w:val="07FD0724"/>
    <w:rsid w:val="0808816F"/>
    <w:rsid w:val="080D10FD"/>
    <w:rsid w:val="080EDC72"/>
    <w:rsid w:val="083E7DCC"/>
    <w:rsid w:val="08734F73"/>
    <w:rsid w:val="08A35F88"/>
    <w:rsid w:val="08B27DF9"/>
    <w:rsid w:val="08D9A05F"/>
    <w:rsid w:val="08DC25B3"/>
    <w:rsid w:val="08E7BA83"/>
    <w:rsid w:val="08EAC561"/>
    <w:rsid w:val="08F9A5CB"/>
    <w:rsid w:val="08FFF23D"/>
    <w:rsid w:val="090A95FD"/>
    <w:rsid w:val="090CE7F6"/>
    <w:rsid w:val="09230657"/>
    <w:rsid w:val="09259377"/>
    <w:rsid w:val="09270D58"/>
    <w:rsid w:val="094A537E"/>
    <w:rsid w:val="094F0FBC"/>
    <w:rsid w:val="0955D9CF"/>
    <w:rsid w:val="098B07D6"/>
    <w:rsid w:val="0997CB06"/>
    <w:rsid w:val="0A23C2A7"/>
    <w:rsid w:val="0A309F10"/>
    <w:rsid w:val="0A514949"/>
    <w:rsid w:val="0A88F88E"/>
    <w:rsid w:val="0A8951D7"/>
    <w:rsid w:val="0A8F8FFA"/>
    <w:rsid w:val="0AAF0A92"/>
    <w:rsid w:val="0ACA42FC"/>
    <w:rsid w:val="0ACD97CC"/>
    <w:rsid w:val="0AF970F6"/>
    <w:rsid w:val="0B581CDA"/>
    <w:rsid w:val="0B6461AF"/>
    <w:rsid w:val="0B69332D"/>
    <w:rsid w:val="0B90C07A"/>
    <w:rsid w:val="0B9F71EF"/>
    <w:rsid w:val="0BC944A9"/>
    <w:rsid w:val="0BD20AD1"/>
    <w:rsid w:val="0BF7711B"/>
    <w:rsid w:val="0BF77978"/>
    <w:rsid w:val="0BFDB536"/>
    <w:rsid w:val="0C0FCEAD"/>
    <w:rsid w:val="0C12FAED"/>
    <w:rsid w:val="0C1A329F"/>
    <w:rsid w:val="0C4217CF"/>
    <w:rsid w:val="0C69635B"/>
    <w:rsid w:val="0C75D0C5"/>
    <w:rsid w:val="0C8805E6"/>
    <w:rsid w:val="0CB5C28C"/>
    <w:rsid w:val="0CCB6888"/>
    <w:rsid w:val="0CE673AC"/>
    <w:rsid w:val="0CF20FA1"/>
    <w:rsid w:val="0CFCB33E"/>
    <w:rsid w:val="0D018E94"/>
    <w:rsid w:val="0D55EDAD"/>
    <w:rsid w:val="0D6BC850"/>
    <w:rsid w:val="0D83D302"/>
    <w:rsid w:val="0D8B25BA"/>
    <w:rsid w:val="0D8EB088"/>
    <w:rsid w:val="0D9AC72F"/>
    <w:rsid w:val="0DA8A56D"/>
    <w:rsid w:val="0DC6777D"/>
    <w:rsid w:val="0DC79B01"/>
    <w:rsid w:val="0E071E41"/>
    <w:rsid w:val="0E226BAF"/>
    <w:rsid w:val="0E2413B8"/>
    <w:rsid w:val="0E27D256"/>
    <w:rsid w:val="0E38F0B6"/>
    <w:rsid w:val="0E46CBDF"/>
    <w:rsid w:val="0E6949A0"/>
    <w:rsid w:val="0E7B99D0"/>
    <w:rsid w:val="0E91150C"/>
    <w:rsid w:val="0EB30629"/>
    <w:rsid w:val="0EB931ED"/>
    <w:rsid w:val="0F0B7D19"/>
    <w:rsid w:val="0F2A4482"/>
    <w:rsid w:val="0F3194EA"/>
    <w:rsid w:val="0F32F3C5"/>
    <w:rsid w:val="0F3555F8"/>
    <w:rsid w:val="0F4F88B9"/>
    <w:rsid w:val="0F645DDF"/>
    <w:rsid w:val="0F76E67B"/>
    <w:rsid w:val="0F82C655"/>
    <w:rsid w:val="0FADAE1A"/>
    <w:rsid w:val="0FB36C1B"/>
    <w:rsid w:val="0FB47018"/>
    <w:rsid w:val="0FC4B1DC"/>
    <w:rsid w:val="0FF487DE"/>
    <w:rsid w:val="100942AA"/>
    <w:rsid w:val="1043462A"/>
    <w:rsid w:val="108595A6"/>
    <w:rsid w:val="108E16F4"/>
    <w:rsid w:val="108F213F"/>
    <w:rsid w:val="10A23DC4"/>
    <w:rsid w:val="10AF137A"/>
    <w:rsid w:val="10B2DE7C"/>
    <w:rsid w:val="1139FE40"/>
    <w:rsid w:val="115EF49D"/>
    <w:rsid w:val="117E9B20"/>
    <w:rsid w:val="11985916"/>
    <w:rsid w:val="11C6F8D5"/>
    <w:rsid w:val="11CB19F3"/>
    <w:rsid w:val="11D02461"/>
    <w:rsid w:val="11F1BE81"/>
    <w:rsid w:val="12071D26"/>
    <w:rsid w:val="12205382"/>
    <w:rsid w:val="122BF033"/>
    <w:rsid w:val="122C3834"/>
    <w:rsid w:val="1242E863"/>
    <w:rsid w:val="125639A7"/>
    <w:rsid w:val="126DFD5D"/>
    <w:rsid w:val="126E1F11"/>
    <w:rsid w:val="1271BCCF"/>
    <w:rsid w:val="128EC680"/>
    <w:rsid w:val="129C1AEA"/>
    <w:rsid w:val="12B39172"/>
    <w:rsid w:val="12B99691"/>
    <w:rsid w:val="12C19F6D"/>
    <w:rsid w:val="12CDCEA4"/>
    <w:rsid w:val="12D041ED"/>
    <w:rsid w:val="12F397DE"/>
    <w:rsid w:val="130DC3EE"/>
    <w:rsid w:val="131F6CCE"/>
    <w:rsid w:val="134EC6A6"/>
    <w:rsid w:val="1379D4E1"/>
    <w:rsid w:val="137AE6EC"/>
    <w:rsid w:val="138E22A2"/>
    <w:rsid w:val="13959473"/>
    <w:rsid w:val="13AC3B3C"/>
    <w:rsid w:val="13B21557"/>
    <w:rsid w:val="141F65A1"/>
    <w:rsid w:val="143E5C43"/>
    <w:rsid w:val="147AD18D"/>
    <w:rsid w:val="14872346"/>
    <w:rsid w:val="14C760C3"/>
    <w:rsid w:val="14C8878A"/>
    <w:rsid w:val="14D1860B"/>
    <w:rsid w:val="14DF3E50"/>
    <w:rsid w:val="14EAD353"/>
    <w:rsid w:val="154B8D22"/>
    <w:rsid w:val="15733835"/>
    <w:rsid w:val="159BC4AF"/>
    <w:rsid w:val="15A506A7"/>
    <w:rsid w:val="15B378EB"/>
    <w:rsid w:val="16264FA9"/>
    <w:rsid w:val="164120E3"/>
    <w:rsid w:val="16450BB0"/>
    <w:rsid w:val="165C1511"/>
    <w:rsid w:val="16B162D1"/>
    <w:rsid w:val="16C41D5A"/>
    <w:rsid w:val="16D87548"/>
    <w:rsid w:val="16DA405B"/>
    <w:rsid w:val="16E35AB1"/>
    <w:rsid w:val="16E75D83"/>
    <w:rsid w:val="16FBDAAD"/>
    <w:rsid w:val="17001E45"/>
    <w:rsid w:val="1722A88D"/>
    <w:rsid w:val="1724C9EF"/>
    <w:rsid w:val="1781D339"/>
    <w:rsid w:val="1787EBF7"/>
    <w:rsid w:val="178CB4DA"/>
    <w:rsid w:val="17AD96F1"/>
    <w:rsid w:val="17B2CC7B"/>
    <w:rsid w:val="17BA659D"/>
    <w:rsid w:val="17E24E03"/>
    <w:rsid w:val="18295D5C"/>
    <w:rsid w:val="1836B11F"/>
    <w:rsid w:val="18618CF9"/>
    <w:rsid w:val="1880007C"/>
    <w:rsid w:val="1889DB96"/>
    <w:rsid w:val="188A6559"/>
    <w:rsid w:val="18A6147C"/>
    <w:rsid w:val="18A814F4"/>
    <w:rsid w:val="18D61ACB"/>
    <w:rsid w:val="18D7E4DC"/>
    <w:rsid w:val="191BDCAD"/>
    <w:rsid w:val="19227436"/>
    <w:rsid w:val="1922C1B5"/>
    <w:rsid w:val="1934EE49"/>
    <w:rsid w:val="194DAB62"/>
    <w:rsid w:val="195A2EBF"/>
    <w:rsid w:val="196BA12C"/>
    <w:rsid w:val="197E5CF2"/>
    <w:rsid w:val="197FA23C"/>
    <w:rsid w:val="19832014"/>
    <w:rsid w:val="19851A79"/>
    <w:rsid w:val="19BBD537"/>
    <w:rsid w:val="19D128DB"/>
    <w:rsid w:val="19E638BA"/>
    <w:rsid w:val="1A0B4D66"/>
    <w:rsid w:val="1A1AE2B4"/>
    <w:rsid w:val="1A5DFA9F"/>
    <w:rsid w:val="1A84916C"/>
    <w:rsid w:val="1A88D964"/>
    <w:rsid w:val="1AA28863"/>
    <w:rsid w:val="1AD4B86A"/>
    <w:rsid w:val="1AD7B21B"/>
    <w:rsid w:val="1AF4439C"/>
    <w:rsid w:val="1AFD94B8"/>
    <w:rsid w:val="1B1B5EB2"/>
    <w:rsid w:val="1B2A5A8C"/>
    <w:rsid w:val="1B5B7B2B"/>
    <w:rsid w:val="1B60643C"/>
    <w:rsid w:val="1BA94D45"/>
    <w:rsid w:val="1BC0B813"/>
    <w:rsid w:val="1BC57A37"/>
    <w:rsid w:val="1BF32E36"/>
    <w:rsid w:val="1C020C8D"/>
    <w:rsid w:val="1C480443"/>
    <w:rsid w:val="1C50EBEF"/>
    <w:rsid w:val="1C64D08E"/>
    <w:rsid w:val="1C75CCC3"/>
    <w:rsid w:val="1C9BD829"/>
    <w:rsid w:val="1C9BE314"/>
    <w:rsid w:val="1CAA549B"/>
    <w:rsid w:val="1CC9087C"/>
    <w:rsid w:val="1CD3C4A2"/>
    <w:rsid w:val="1CE7BF84"/>
    <w:rsid w:val="1D08810A"/>
    <w:rsid w:val="1D2D975A"/>
    <w:rsid w:val="1D3A3A4C"/>
    <w:rsid w:val="1D596BF4"/>
    <w:rsid w:val="1D66328E"/>
    <w:rsid w:val="1D6B3504"/>
    <w:rsid w:val="1D70329A"/>
    <w:rsid w:val="1D7A0E3A"/>
    <w:rsid w:val="1D894F1E"/>
    <w:rsid w:val="1DA1E452"/>
    <w:rsid w:val="1DA44C82"/>
    <w:rsid w:val="1DBAA3B7"/>
    <w:rsid w:val="1DE81EF9"/>
    <w:rsid w:val="1E0947A9"/>
    <w:rsid w:val="1E107EC4"/>
    <w:rsid w:val="1E2E6308"/>
    <w:rsid w:val="1E345A91"/>
    <w:rsid w:val="1E73644D"/>
    <w:rsid w:val="1EA0EA79"/>
    <w:rsid w:val="1EA2F59F"/>
    <w:rsid w:val="1ED11779"/>
    <w:rsid w:val="1F19DE24"/>
    <w:rsid w:val="1F1C68AB"/>
    <w:rsid w:val="1F3A8147"/>
    <w:rsid w:val="1F3DB4B3"/>
    <w:rsid w:val="1F980319"/>
    <w:rsid w:val="1FA4C2F2"/>
    <w:rsid w:val="1FAF15D8"/>
    <w:rsid w:val="1FC9C0E9"/>
    <w:rsid w:val="1FD35FEB"/>
    <w:rsid w:val="1FD951A1"/>
    <w:rsid w:val="2016DC43"/>
    <w:rsid w:val="2018E4EA"/>
    <w:rsid w:val="2027403D"/>
    <w:rsid w:val="204B38F2"/>
    <w:rsid w:val="20648AED"/>
    <w:rsid w:val="2071DB0E"/>
    <w:rsid w:val="20730256"/>
    <w:rsid w:val="208170DA"/>
    <w:rsid w:val="20C77802"/>
    <w:rsid w:val="20CA7384"/>
    <w:rsid w:val="20FFD169"/>
    <w:rsid w:val="2107D362"/>
    <w:rsid w:val="2131A669"/>
    <w:rsid w:val="2136FF89"/>
    <w:rsid w:val="213B50DA"/>
    <w:rsid w:val="216861FF"/>
    <w:rsid w:val="216E9CA4"/>
    <w:rsid w:val="21748819"/>
    <w:rsid w:val="21784FC7"/>
    <w:rsid w:val="21994E56"/>
    <w:rsid w:val="21A37860"/>
    <w:rsid w:val="21E406FC"/>
    <w:rsid w:val="21F93948"/>
    <w:rsid w:val="2204B396"/>
    <w:rsid w:val="220D5BC6"/>
    <w:rsid w:val="220EA746"/>
    <w:rsid w:val="222DD8B7"/>
    <w:rsid w:val="224F86BF"/>
    <w:rsid w:val="225B3D4B"/>
    <w:rsid w:val="2264D8A2"/>
    <w:rsid w:val="228A0623"/>
    <w:rsid w:val="228BCC32"/>
    <w:rsid w:val="228FA131"/>
    <w:rsid w:val="22A36EBE"/>
    <w:rsid w:val="22D46938"/>
    <w:rsid w:val="22E877DB"/>
    <w:rsid w:val="22FE7642"/>
    <w:rsid w:val="231558BA"/>
    <w:rsid w:val="231E39A7"/>
    <w:rsid w:val="232C8FEA"/>
    <w:rsid w:val="233A9AD1"/>
    <w:rsid w:val="236FA927"/>
    <w:rsid w:val="23763019"/>
    <w:rsid w:val="2378ED49"/>
    <w:rsid w:val="23798DFF"/>
    <w:rsid w:val="237B7386"/>
    <w:rsid w:val="23A6E08C"/>
    <w:rsid w:val="23C16615"/>
    <w:rsid w:val="23C84ED4"/>
    <w:rsid w:val="23E32CF3"/>
    <w:rsid w:val="23F890A2"/>
    <w:rsid w:val="2437FC3A"/>
    <w:rsid w:val="2453097D"/>
    <w:rsid w:val="245CBD88"/>
    <w:rsid w:val="246F2EB8"/>
    <w:rsid w:val="2476124F"/>
    <w:rsid w:val="247BC4EC"/>
    <w:rsid w:val="2541A903"/>
    <w:rsid w:val="258CEF04"/>
    <w:rsid w:val="25AA83A1"/>
    <w:rsid w:val="26168E4F"/>
    <w:rsid w:val="261B90A9"/>
    <w:rsid w:val="263C5DB7"/>
    <w:rsid w:val="264071CA"/>
    <w:rsid w:val="266B19D2"/>
    <w:rsid w:val="2676DB2E"/>
    <w:rsid w:val="2695DC01"/>
    <w:rsid w:val="26B0F6E7"/>
    <w:rsid w:val="26CB06EA"/>
    <w:rsid w:val="26D50399"/>
    <w:rsid w:val="26D8275D"/>
    <w:rsid w:val="26ED294B"/>
    <w:rsid w:val="270D716B"/>
    <w:rsid w:val="271F4E3E"/>
    <w:rsid w:val="27305783"/>
    <w:rsid w:val="27670C6E"/>
    <w:rsid w:val="278736BC"/>
    <w:rsid w:val="279AF5A2"/>
    <w:rsid w:val="27A7A885"/>
    <w:rsid w:val="27C5B0F7"/>
    <w:rsid w:val="27E5AE0D"/>
    <w:rsid w:val="27EA4D3B"/>
    <w:rsid w:val="27EAA63B"/>
    <w:rsid w:val="28092C7C"/>
    <w:rsid w:val="283B0E55"/>
    <w:rsid w:val="2846CC4E"/>
    <w:rsid w:val="284AD404"/>
    <w:rsid w:val="284C9FAE"/>
    <w:rsid w:val="28CEBDFB"/>
    <w:rsid w:val="2907E952"/>
    <w:rsid w:val="290C2E85"/>
    <w:rsid w:val="2921BD10"/>
    <w:rsid w:val="293E73A9"/>
    <w:rsid w:val="2953E408"/>
    <w:rsid w:val="295E5C02"/>
    <w:rsid w:val="297345E5"/>
    <w:rsid w:val="297644DA"/>
    <w:rsid w:val="297CCA56"/>
    <w:rsid w:val="2991FDB3"/>
    <w:rsid w:val="29C4546D"/>
    <w:rsid w:val="29CD0AB4"/>
    <w:rsid w:val="29CE69BB"/>
    <w:rsid w:val="29FD8E37"/>
    <w:rsid w:val="2A600E32"/>
    <w:rsid w:val="2A8DC24B"/>
    <w:rsid w:val="2AA15925"/>
    <w:rsid w:val="2ABAE10D"/>
    <w:rsid w:val="2AC7E6C7"/>
    <w:rsid w:val="2AC836B3"/>
    <w:rsid w:val="2AC9E8C1"/>
    <w:rsid w:val="2AD3F1BE"/>
    <w:rsid w:val="2AE7B022"/>
    <w:rsid w:val="2B3E082F"/>
    <w:rsid w:val="2B610C20"/>
    <w:rsid w:val="2B7DD598"/>
    <w:rsid w:val="2B802AEE"/>
    <w:rsid w:val="2BC8C398"/>
    <w:rsid w:val="2C029C26"/>
    <w:rsid w:val="2C1B56C1"/>
    <w:rsid w:val="2C64B3D2"/>
    <w:rsid w:val="2C86334F"/>
    <w:rsid w:val="2C946E9A"/>
    <w:rsid w:val="2CD012CE"/>
    <w:rsid w:val="2CD497EC"/>
    <w:rsid w:val="2CE00033"/>
    <w:rsid w:val="2D124CB3"/>
    <w:rsid w:val="2D183A12"/>
    <w:rsid w:val="2D47123C"/>
    <w:rsid w:val="2D49A845"/>
    <w:rsid w:val="2D508EB9"/>
    <w:rsid w:val="2D717908"/>
    <w:rsid w:val="2D7EE882"/>
    <w:rsid w:val="2D7F1352"/>
    <w:rsid w:val="2D895937"/>
    <w:rsid w:val="2DA085C3"/>
    <w:rsid w:val="2DADE761"/>
    <w:rsid w:val="2DE06687"/>
    <w:rsid w:val="2DEF8D72"/>
    <w:rsid w:val="2E1CE1AD"/>
    <w:rsid w:val="2E5BDA91"/>
    <w:rsid w:val="2E66FDD0"/>
    <w:rsid w:val="2E67B90A"/>
    <w:rsid w:val="2E755FF2"/>
    <w:rsid w:val="2E7E6BAB"/>
    <w:rsid w:val="2E8CC2D6"/>
    <w:rsid w:val="2E978383"/>
    <w:rsid w:val="2ED7501F"/>
    <w:rsid w:val="2EDE4F16"/>
    <w:rsid w:val="2EE788B0"/>
    <w:rsid w:val="2F3C2ACE"/>
    <w:rsid w:val="2F84E9C1"/>
    <w:rsid w:val="2FA039FD"/>
    <w:rsid w:val="2FA5A2E0"/>
    <w:rsid w:val="2FB7EDF6"/>
    <w:rsid w:val="2FC68F8F"/>
    <w:rsid w:val="3050D848"/>
    <w:rsid w:val="30B825FA"/>
    <w:rsid w:val="30DA43D6"/>
    <w:rsid w:val="310A240E"/>
    <w:rsid w:val="310EE29F"/>
    <w:rsid w:val="3114193C"/>
    <w:rsid w:val="312DF5F3"/>
    <w:rsid w:val="313C82AD"/>
    <w:rsid w:val="314B4D72"/>
    <w:rsid w:val="31507798"/>
    <w:rsid w:val="316D53CB"/>
    <w:rsid w:val="3180CEF7"/>
    <w:rsid w:val="3182E982"/>
    <w:rsid w:val="31B0779F"/>
    <w:rsid w:val="31CB3B01"/>
    <w:rsid w:val="31DD77C0"/>
    <w:rsid w:val="320811A7"/>
    <w:rsid w:val="32084817"/>
    <w:rsid w:val="32315995"/>
    <w:rsid w:val="3236F635"/>
    <w:rsid w:val="3246AD41"/>
    <w:rsid w:val="32593619"/>
    <w:rsid w:val="32653AEE"/>
    <w:rsid w:val="3269042A"/>
    <w:rsid w:val="326F4A45"/>
    <w:rsid w:val="32969763"/>
    <w:rsid w:val="32990B53"/>
    <w:rsid w:val="32C5DB46"/>
    <w:rsid w:val="32CE0109"/>
    <w:rsid w:val="32D8F6A3"/>
    <w:rsid w:val="32D929E4"/>
    <w:rsid w:val="32E0F7A0"/>
    <w:rsid w:val="32F6C852"/>
    <w:rsid w:val="33361082"/>
    <w:rsid w:val="33750549"/>
    <w:rsid w:val="33961C5C"/>
    <w:rsid w:val="33A22C6A"/>
    <w:rsid w:val="33A9A99D"/>
    <w:rsid w:val="33B30FED"/>
    <w:rsid w:val="33DFE49B"/>
    <w:rsid w:val="33F868DE"/>
    <w:rsid w:val="3403407B"/>
    <w:rsid w:val="3403EDB6"/>
    <w:rsid w:val="34241558"/>
    <w:rsid w:val="3431B173"/>
    <w:rsid w:val="34326A63"/>
    <w:rsid w:val="34431D8B"/>
    <w:rsid w:val="3455AEA5"/>
    <w:rsid w:val="345734D2"/>
    <w:rsid w:val="345BCCEF"/>
    <w:rsid w:val="3469A76B"/>
    <w:rsid w:val="3474E13C"/>
    <w:rsid w:val="34750103"/>
    <w:rsid w:val="3481499E"/>
    <w:rsid w:val="3488AE5B"/>
    <w:rsid w:val="34CDDCF3"/>
    <w:rsid w:val="34FF3CEB"/>
    <w:rsid w:val="35401469"/>
    <w:rsid w:val="3565910B"/>
    <w:rsid w:val="3581F7B1"/>
    <w:rsid w:val="3599C977"/>
    <w:rsid w:val="359E7207"/>
    <w:rsid w:val="35F33E69"/>
    <w:rsid w:val="36135B22"/>
    <w:rsid w:val="3627C9BB"/>
    <w:rsid w:val="365340CB"/>
    <w:rsid w:val="369D46CF"/>
    <w:rsid w:val="36AC13A1"/>
    <w:rsid w:val="36AF8CC2"/>
    <w:rsid w:val="36DF508F"/>
    <w:rsid w:val="37132E30"/>
    <w:rsid w:val="3723BB5D"/>
    <w:rsid w:val="372AEBBF"/>
    <w:rsid w:val="372AF0C7"/>
    <w:rsid w:val="374130C3"/>
    <w:rsid w:val="375017BB"/>
    <w:rsid w:val="37559D39"/>
    <w:rsid w:val="376451CF"/>
    <w:rsid w:val="376A7F95"/>
    <w:rsid w:val="37862A3D"/>
    <w:rsid w:val="378F0ECA"/>
    <w:rsid w:val="37CBC461"/>
    <w:rsid w:val="37D9770F"/>
    <w:rsid w:val="37D9D310"/>
    <w:rsid w:val="37F1C733"/>
    <w:rsid w:val="37F81883"/>
    <w:rsid w:val="382211BE"/>
    <w:rsid w:val="384777A9"/>
    <w:rsid w:val="384B33C2"/>
    <w:rsid w:val="387AABF4"/>
    <w:rsid w:val="3880E4BA"/>
    <w:rsid w:val="38A02B0A"/>
    <w:rsid w:val="38A581E0"/>
    <w:rsid w:val="38A7242B"/>
    <w:rsid w:val="38A81F6A"/>
    <w:rsid w:val="38AA306A"/>
    <w:rsid w:val="38B4FBFD"/>
    <w:rsid w:val="38C7531C"/>
    <w:rsid w:val="38FC8CA3"/>
    <w:rsid w:val="394153CF"/>
    <w:rsid w:val="394A76BD"/>
    <w:rsid w:val="39A1F84A"/>
    <w:rsid w:val="39B19579"/>
    <w:rsid w:val="39B1BA5B"/>
    <w:rsid w:val="39B1FEB2"/>
    <w:rsid w:val="39CCC835"/>
    <w:rsid w:val="39E3D39E"/>
    <w:rsid w:val="39EC0CD0"/>
    <w:rsid w:val="3A2575FA"/>
    <w:rsid w:val="3A43EFCB"/>
    <w:rsid w:val="3A663615"/>
    <w:rsid w:val="3A7CF83F"/>
    <w:rsid w:val="3A82940F"/>
    <w:rsid w:val="3A99FF5D"/>
    <w:rsid w:val="3AB7FE06"/>
    <w:rsid w:val="3ADA01FE"/>
    <w:rsid w:val="3AF2EF80"/>
    <w:rsid w:val="3B528F64"/>
    <w:rsid w:val="3B54C841"/>
    <w:rsid w:val="3B9F02AD"/>
    <w:rsid w:val="3BB24CBE"/>
    <w:rsid w:val="3BB2C8F3"/>
    <w:rsid w:val="3BB4F373"/>
    <w:rsid w:val="3BC29223"/>
    <w:rsid w:val="3BEDC39F"/>
    <w:rsid w:val="3BEF88F8"/>
    <w:rsid w:val="3C3D95FD"/>
    <w:rsid w:val="3C8F6A9E"/>
    <w:rsid w:val="3CA390F3"/>
    <w:rsid w:val="3CC2FED8"/>
    <w:rsid w:val="3CC94DAB"/>
    <w:rsid w:val="3CF1916A"/>
    <w:rsid w:val="3D108EFA"/>
    <w:rsid w:val="3D250A24"/>
    <w:rsid w:val="3D8ACAE7"/>
    <w:rsid w:val="3DD95C86"/>
    <w:rsid w:val="3DFDBA3E"/>
    <w:rsid w:val="3E10CF31"/>
    <w:rsid w:val="3E152255"/>
    <w:rsid w:val="3E1EBCD5"/>
    <w:rsid w:val="3E435D7E"/>
    <w:rsid w:val="3EA43415"/>
    <w:rsid w:val="3EB03FDA"/>
    <w:rsid w:val="3EBFF006"/>
    <w:rsid w:val="3ED84033"/>
    <w:rsid w:val="3F27BC7B"/>
    <w:rsid w:val="3F2FFD8E"/>
    <w:rsid w:val="3F3B2CCD"/>
    <w:rsid w:val="3F42034E"/>
    <w:rsid w:val="3F57E5E2"/>
    <w:rsid w:val="3F5E3911"/>
    <w:rsid w:val="3F669103"/>
    <w:rsid w:val="3F7C578C"/>
    <w:rsid w:val="3F9A1CF6"/>
    <w:rsid w:val="3FDE2567"/>
    <w:rsid w:val="3FF5F85C"/>
    <w:rsid w:val="40046499"/>
    <w:rsid w:val="402C01A9"/>
    <w:rsid w:val="4038EC83"/>
    <w:rsid w:val="40531522"/>
    <w:rsid w:val="40780819"/>
    <w:rsid w:val="40AEC628"/>
    <w:rsid w:val="40B3314F"/>
    <w:rsid w:val="40E3778B"/>
    <w:rsid w:val="40F2A1CE"/>
    <w:rsid w:val="410D3AD8"/>
    <w:rsid w:val="41242621"/>
    <w:rsid w:val="413B04AB"/>
    <w:rsid w:val="414A12CF"/>
    <w:rsid w:val="41710E11"/>
    <w:rsid w:val="41798950"/>
    <w:rsid w:val="41879382"/>
    <w:rsid w:val="4193BAF3"/>
    <w:rsid w:val="41977FD3"/>
    <w:rsid w:val="41A9CD41"/>
    <w:rsid w:val="41CE5B2E"/>
    <w:rsid w:val="41ED4117"/>
    <w:rsid w:val="41EEE583"/>
    <w:rsid w:val="4212B050"/>
    <w:rsid w:val="42202CC2"/>
    <w:rsid w:val="4227170A"/>
    <w:rsid w:val="426B6DFC"/>
    <w:rsid w:val="4281F323"/>
    <w:rsid w:val="42B35F06"/>
    <w:rsid w:val="42C19293"/>
    <w:rsid w:val="42CABFAF"/>
    <w:rsid w:val="42E26884"/>
    <w:rsid w:val="4305A2BE"/>
    <w:rsid w:val="43125D4E"/>
    <w:rsid w:val="432041B1"/>
    <w:rsid w:val="435493B0"/>
    <w:rsid w:val="437B56A5"/>
    <w:rsid w:val="437EEFCF"/>
    <w:rsid w:val="438191F1"/>
    <w:rsid w:val="438B167A"/>
    <w:rsid w:val="438FF914"/>
    <w:rsid w:val="43AAA17F"/>
    <w:rsid w:val="43CBD6F3"/>
    <w:rsid w:val="44040AA8"/>
    <w:rsid w:val="440B9558"/>
    <w:rsid w:val="44100D58"/>
    <w:rsid w:val="4414E764"/>
    <w:rsid w:val="44318240"/>
    <w:rsid w:val="4449B3FE"/>
    <w:rsid w:val="446276B9"/>
    <w:rsid w:val="44717625"/>
    <w:rsid w:val="4489297A"/>
    <w:rsid w:val="448FB02B"/>
    <w:rsid w:val="449C69D0"/>
    <w:rsid w:val="44EDAB5C"/>
    <w:rsid w:val="451B03F0"/>
    <w:rsid w:val="452F95BC"/>
    <w:rsid w:val="454A43A0"/>
    <w:rsid w:val="456B9264"/>
    <w:rsid w:val="457379C3"/>
    <w:rsid w:val="4593EE21"/>
    <w:rsid w:val="45985CD4"/>
    <w:rsid w:val="45AA8559"/>
    <w:rsid w:val="45B0B481"/>
    <w:rsid w:val="46033FCE"/>
    <w:rsid w:val="46374518"/>
    <w:rsid w:val="46375003"/>
    <w:rsid w:val="463EE672"/>
    <w:rsid w:val="464010EE"/>
    <w:rsid w:val="464D66EB"/>
    <w:rsid w:val="465A0886"/>
    <w:rsid w:val="465B2CA4"/>
    <w:rsid w:val="466AA560"/>
    <w:rsid w:val="4679926D"/>
    <w:rsid w:val="469D04B1"/>
    <w:rsid w:val="46AAC1A2"/>
    <w:rsid w:val="46B57690"/>
    <w:rsid w:val="46C962A9"/>
    <w:rsid w:val="46CB1D7E"/>
    <w:rsid w:val="46CFF348"/>
    <w:rsid w:val="46DF6A80"/>
    <w:rsid w:val="46FC5169"/>
    <w:rsid w:val="474D1328"/>
    <w:rsid w:val="475B4B01"/>
    <w:rsid w:val="47731A4C"/>
    <w:rsid w:val="47AAB677"/>
    <w:rsid w:val="47BBBADF"/>
    <w:rsid w:val="47EF57AC"/>
    <w:rsid w:val="47FB3D64"/>
    <w:rsid w:val="480CE608"/>
    <w:rsid w:val="48250F16"/>
    <w:rsid w:val="485DC4CF"/>
    <w:rsid w:val="486D8100"/>
    <w:rsid w:val="486E1D59"/>
    <w:rsid w:val="487BB7E1"/>
    <w:rsid w:val="488E18E6"/>
    <w:rsid w:val="488F047B"/>
    <w:rsid w:val="48928FC7"/>
    <w:rsid w:val="48AF47E9"/>
    <w:rsid w:val="48BDA61E"/>
    <w:rsid w:val="49215BF9"/>
    <w:rsid w:val="4940CACD"/>
    <w:rsid w:val="497A27A2"/>
    <w:rsid w:val="498E12DB"/>
    <w:rsid w:val="49990F53"/>
    <w:rsid w:val="49A529D2"/>
    <w:rsid w:val="49B8B22C"/>
    <w:rsid w:val="49BF3476"/>
    <w:rsid w:val="49D349F6"/>
    <w:rsid w:val="49DE8F2A"/>
    <w:rsid w:val="49E2B80B"/>
    <w:rsid w:val="4A0226C8"/>
    <w:rsid w:val="4A1BFBCD"/>
    <w:rsid w:val="4A626A8D"/>
    <w:rsid w:val="4AC681B0"/>
    <w:rsid w:val="4ADF3C16"/>
    <w:rsid w:val="4AF5F38D"/>
    <w:rsid w:val="4B21A164"/>
    <w:rsid w:val="4B564B30"/>
    <w:rsid w:val="4B6A6F34"/>
    <w:rsid w:val="4B8184B2"/>
    <w:rsid w:val="4BB9C567"/>
    <w:rsid w:val="4BBC498A"/>
    <w:rsid w:val="4C22A1B4"/>
    <w:rsid w:val="4C2D045B"/>
    <w:rsid w:val="4C2D7026"/>
    <w:rsid w:val="4C4452E1"/>
    <w:rsid w:val="4C4B7E44"/>
    <w:rsid w:val="4C50DFC8"/>
    <w:rsid w:val="4C6997DF"/>
    <w:rsid w:val="4C718334"/>
    <w:rsid w:val="4C8F0328"/>
    <w:rsid w:val="4C99A5E1"/>
    <w:rsid w:val="4CA27E71"/>
    <w:rsid w:val="4CA38012"/>
    <w:rsid w:val="4CB10981"/>
    <w:rsid w:val="4CBBEA7F"/>
    <w:rsid w:val="4CC94A0A"/>
    <w:rsid w:val="4CCD2908"/>
    <w:rsid w:val="4CE5AB8D"/>
    <w:rsid w:val="4CF3FA77"/>
    <w:rsid w:val="4CF7AA5C"/>
    <w:rsid w:val="4CF85D6B"/>
    <w:rsid w:val="4D127237"/>
    <w:rsid w:val="4D6247B0"/>
    <w:rsid w:val="4D6FECC4"/>
    <w:rsid w:val="4D7678A4"/>
    <w:rsid w:val="4DBD2827"/>
    <w:rsid w:val="4DE8FA4C"/>
    <w:rsid w:val="4DFD7065"/>
    <w:rsid w:val="4E165C54"/>
    <w:rsid w:val="4E16DCD8"/>
    <w:rsid w:val="4E4ECA13"/>
    <w:rsid w:val="4E64C2BA"/>
    <w:rsid w:val="4E778541"/>
    <w:rsid w:val="4E8CD276"/>
    <w:rsid w:val="4E8FF333"/>
    <w:rsid w:val="4EA7DD62"/>
    <w:rsid w:val="4EBA4D94"/>
    <w:rsid w:val="4EBCD84F"/>
    <w:rsid w:val="4ED66C06"/>
    <w:rsid w:val="4F44A7FD"/>
    <w:rsid w:val="4F6F5FE3"/>
    <w:rsid w:val="4F79D16D"/>
    <w:rsid w:val="4FA70CC4"/>
    <w:rsid w:val="4FB25501"/>
    <w:rsid w:val="50159FF3"/>
    <w:rsid w:val="501A7426"/>
    <w:rsid w:val="502F33E4"/>
    <w:rsid w:val="503C72DE"/>
    <w:rsid w:val="50596B8A"/>
    <w:rsid w:val="509969CE"/>
    <w:rsid w:val="50CE6ABC"/>
    <w:rsid w:val="50E03B5F"/>
    <w:rsid w:val="50E251CC"/>
    <w:rsid w:val="50EF82C0"/>
    <w:rsid w:val="510C0FB4"/>
    <w:rsid w:val="5126A46E"/>
    <w:rsid w:val="51523DB7"/>
    <w:rsid w:val="515BFC1D"/>
    <w:rsid w:val="515C99A7"/>
    <w:rsid w:val="518093DB"/>
    <w:rsid w:val="51B27285"/>
    <w:rsid w:val="51B44FF3"/>
    <w:rsid w:val="51B49D4A"/>
    <w:rsid w:val="51E1B1A7"/>
    <w:rsid w:val="51E956A6"/>
    <w:rsid w:val="52015013"/>
    <w:rsid w:val="520E4058"/>
    <w:rsid w:val="520E578C"/>
    <w:rsid w:val="5219805D"/>
    <w:rsid w:val="5224D492"/>
    <w:rsid w:val="52273BA0"/>
    <w:rsid w:val="52289CCA"/>
    <w:rsid w:val="525727B4"/>
    <w:rsid w:val="5258193B"/>
    <w:rsid w:val="526920EA"/>
    <w:rsid w:val="52733D0A"/>
    <w:rsid w:val="5281AAEA"/>
    <w:rsid w:val="529AAF8E"/>
    <w:rsid w:val="529DD1D3"/>
    <w:rsid w:val="52A132C7"/>
    <w:rsid w:val="52B04A3E"/>
    <w:rsid w:val="52B8906A"/>
    <w:rsid w:val="52D6D45C"/>
    <w:rsid w:val="52EBEC2A"/>
    <w:rsid w:val="533BC4B4"/>
    <w:rsid w:val="534982C6"/>
    <w:rsid w:val="5349CD26"/>
    <w:rsid w:val="5351811A"/>
    <w:rsid w:val="535242D6"/>
    <w:rsid w:val="536F3C03"/>
    <w:rsid w:val="5381B3BB"/>
    <w:rsid w:val="53A0B94E"/>
    <w:rsid w:val="53AC4667"/>
    <w:rsid w:val="53BCE9C6"/>
    <w:rsid w:val="53C1C243"/>
    <w:rsid w:val="53C24AED"/>
    <w:rsid w:val="53C8FE56"/>
    <w:rsid w:val="53E853B1"/>
    <w:rsid w:val="53F5E80E"/>
    <w:rsid w:val="5404B12B"/>
    <w:rsid w:val="540807D3"/>
    <w:rsid w:val="544BB510"/>
    <w:rsid w:val="546D6FD9"/>
    <w:rsid w:val="546FA769"/>
    <w:rsid w:val="5479E619"/>
    <w:rsid w:val="547B7444"/>
    <w:rsid w:val="548745A4"/>
    <w:rsid w:val="54C5F756"/>
    <w:rsid w:val="54C6217B"/>
    <w:rsid w:val="54E5FAA4"/>
    <w:rsid w:val="54F14236"/>
    <w:rsid w:val="55045BBF"/>
    <w:rsid w:val="550CDF19"/>
    <w:rsid w:val="5518A483"/>
    <w:rsid w:val="552CE002"/>
    <w:rsid w:val="552FD55A"/>
    <w:rsid w:val="55594973"/>
    <w:rsid w:val="55703313"/>
    <w:rsid w:val="55838F6A"/>
    <w:rsid w:val="558B8B65"/>
    <w:rsid w:val="5595A571"/>
    <w:rsid w:val="55B24D12"/>
    <w:rsid w:val="55EECF12"/>
    <w:rsid w:val="561FECA1"/>
    <w:rsid w:val="56639FD6"/>
    <w:rsid w:val="5667C4A8"/>
    <w:rsid w:val="567947CB"/>
    <w:rsid w:val="5686AAF1"/>
    <w:rsid w:val="56A2537A"/>
    <w:rsid w:val="56AD7BAA"/>
    <w:rsid w:val="56B5233F"/>
    <w:rsid w:val="56B5DD12"/>
    <w:rsid w:val="56D9CA66"/>
    <w:rsid w:val="56E8ED1C"/>
    <w:rsid w:val="570C6364"/>
    <w:rsid w:val="570E5E4E"/>
    <w:rsid w:val="57225784"/>
    <w:rsid w:val="57295FDC"/>
    <w:rsid w:val="5759CDA9"/>
    <w:rsid w:val="57737054"/>
    <w:rsid w:val="5781F0E0"/>
    <w:rsid w:val="5782AA9D"/>
    <w:rsid w:val="5787D4A1"/>
    <w:rsid w:val="579F0660"/>
    <w:rsid w:val="57E3F336"/>
    <w:rsid w:val="580FD5FB"/>
    <w:rsid w:val="5831FC6D"/>
    <w:rsid w:val="58771ED5"/>
    <w:rsid w:val="58796837"/>
    <w:rsid w:val="58968544"/>
    <w:rsid w:val="58AD8779"/>
    <w:rsid w:val="58CC365D"/>
    <w:rsid w:val="58D3C9E8"/>
    <w:rsid w:val="590BF795"/>
    <w:rsid w:val="5936CA12"/>
    <w:rsid w:val="5941464F"/>
    <w:rsid w:val="596882E9"/>
    <w:rsid w:val="596A48D7"/>
    <w:rsid w:val="596A97A0"/>
    <w:rsid w:val="599FD151"/>
    <w:rsid w:val="59A3135C"/>
    <w:rsid w:val="59A525B5"/>
    <w:rsid w:val="59AE43A7"/>
    <w:rsid w:val="59E1F307"/>
    <w:rsid w:val="59EC2C89"/>
    <w:rsid w:val="5A1F634E"/>
    <w:rsid w:val="5A2FDE20"/>
    <w:rsid w:val="5A3FAD38"/>
    <w:rsid w:val="5A42FF8B"/>
    <w:rsid w:val="5A48A4CE"/>
    <w:rsid w:val="5A617AF9"/>
    <w:rsid w:val="5A838CCC"/>
    <w:rsid w:val="5AC5A664"/>
    <w:rsid w:val="5AE086F4"/>
    <w:rsid w:val="5B0169DE"/>
    <w:rsid w:val="5B1E1AB2"/>
    <w:rsid w:val="5B23FAC6"/>
    <w:rsid w:val="5B2406DC"/>
    <w:rsid w:val="5B730ACD"/>
    <w:rsid w:val="5B889734"/>
    <w:rsid w:val="5BACBCDC"/>
    <w:rsid w:val="5BAFA20E"/>
    <w:rsid w:val="5BB376E1"/>
    <w:rsid w:val="5BB500DB"/>
    <w:rsid w:val="5BC3C4A5"/>
    <w:rsid w:val="5BCE60EE"/>
    <w:rsid w:val="5BF1829B"/>
    <w:rsid w:val="5C3B89BB"/>
    <w:rsid w:val="5C4FF14B"/>
    <w:rsid w:val="5C51DD30"/>
    <w:rsid w:val="5C966EC2"/>
    <w:rsid w:val="5CA59F50"/>
    <w:rsid w:val="5CC572CE"/>
    <w:rsid w:val="5CDBFC92"/>
    <w:rsid w:val="5CE4BDAF"/>
    <w:rsid w:val="5CE54CF1"/>
    <w:rsid w:val="5D0D7647"/>
    <w:rsid w:val="5D537D38"/>
    <w:rsid w:val="5D7F2119"/>
    <w:rsid w:val="5D877C3D"/>
    <w:rsid w:val="5DA70674"/>
    <w:rsid w:val="5DC961B8"/>
    <w:rsid w:val="5DCA17CB"/>
    <w:rsid w:val="5DD3F3D7"/>
    <w:rsid w:val="5DDC157E"/>
    <w:rsid w:val="5DE664A8"/>
    <w:rsid w:val="5DF522CB"/>
    <w:rsid w:val="5DFFC9A2"/>
    <w:rsid w:val="5E7AB805"/>
    <w:rsid w:val="5E7B2905"/>
    <w:rsid w:val="5EEAA99D"/>
    <w:rsid w:val="5F3FB6A6"/>
    <w:rsid w:val="5F49F031"/>
    <w:rsid w:val="5F85CD9A"/>
    <w:rsid w:val="5F8626C3"/>
    <w:rsid w:val="5F877355"/>
    <w:rsid w:val="5F93647C"/>
    <w:rsid w:val="5FA10918"/>
    <w:rsid w:val="5FA6DEFA"/>
    <w:rsid w:val="5FB58217"/>
    <w:rsid w:val="5FD82295"/>
    <w:rsid w:val="5FD9DE03"/>
    <w:rsid w:val="5FFA7BEA"/>
    <w:rsid w:val="60401104"/>
    <w:rsid w:val="60666D1F"/>
    <w:rsid w:val="6076A25F"/>
    <w:rsid w:val="6081DC56"/>
    <w:rsid w:val="60AE954B"/>
    <w:rsid w:val="60BB6F42"/>
    <w:rsid w:val="60C4E578"/>
    <w:rsid w:val="60E449A1"/>
    <w:rsid w:val="610A3F9D"/>
    <w:rsid w:val="610BEAEE"/>
    <w:rsid w:val="6112FB3A"/>
    <w:rsid w:val="612B81F7"/>
    <w:rsid w:val="6134CCBF"/>
    <w:rsid w:val="6135AB37"/>
    <w:rsid w:val="613938F0"/>
    <w:rsid w:val="615A9D4C"/>
    <w:rsid w:val="6162CF6C"/>
    <w:rsid w:val="6188E45B"/>
    <w:rsid w:val="619601C2"/>
    <w:rsid w:val="619C3C9D"/>
    <w:rsid w:val="61C923F4"/>
    <w:rsid w:val="61D17621"/>
    <w:rsid w:val="61D1E365"/>
    <w:rsid w:val="61DF062B"/>
    <w:rsid w:val="61E059A9"/>
    <w:rsid w:val="626ACF95"/>
    <w:rsid w:val="62735129"/>
    <w:rsid w:val="6298F2E8"/>
    <w:rsid w:val="62B5EB2B"/>
    <w:rsid w:val="62C61189"/>
    <w:rsid w:val="62EE80D0"/>
    <w:rsid w:val="62F379F8"/>
    <w:rsid w:val="6326269B"/>
    <w:rsid w:val="6330D2E6"/>
    <w:rsid w:val="633D0AF7"/>
    <w:rsid w:val="634A2C00"/>
    <w:rsid w:val="637D5432"/>
    <w:rsid w:val="638DC1FE"/>
    <w:rsid w:val="638F2115"/>
    <w:rsid w:val="639F3C5F"/>
    <w:rsid w:val="63A6AC10"/>
    <w:rsid w:val="63B0CF51"/>
    <w:rsid w:val="63D55FDD"/>
    <w:rsid w:val="63E7F1E2"/>
    <w:rsid w:val="63F6DFBA"/>
    <w:rsid w:val="640EBC9F"/>
    <w:rsid w:val="6442724B"/>
    <w:rsid w:val="645CFB06"/>
    <w:rsid w:val="64F02BBC"/>
    <w:rsid w:val="64F0EA03"/>
    <w:rsid w:val="6526B942"/>
    <w:rsid w:val="65384605"/>
    <w:rsid w:val="655051B5"/>
    <w:rsid w:val="656D96F3"/>
    <w:rsid w:val="657219A5"/>
    <w:rsid w:val="6573A45D"/>
    <w:rsid w:val="659D5E5B"/>
    <w:rsid w:val="65A2D72F"/>
    <w:rsid w:val="65ACE2F5"/>
    <w:rsid w:val="65B0490B"/>
    <w:rsid w:val="65B7C833"/>
    <w:rsid w:val="65CA9D93"/>
    <w:rsid w:val="65D1FD8F"/>
    <w:rsid w:val="65E6E161"/>
    <w:rsid w:val="65EC402A"/>
    <w:rsid w:val="661647D3"/>
    <w:rsid w:val="66292DE8"/>
    <w:rsid w:val="662A13DC"/>
    <w:rsid w:val="6631C41E"/>
    <w:rsid w:val="6638F1CE"/>
    <w:rsid w:val="665879F9"/>
    <w:rsid w:val="66762E08"/>
    <w:rsid w:val="669EBD2C"/>
    <w:rsid w:val="66C3F9C3"/>
    <w:rsid w:val="66D93AD4"/>
    <w:rsid w:val="66E8BDAD"/>
    <w:rsid w:val="66EC8A84"/>
    <w:rsid w:val="66FD95B8"/>
    <w:rsid w:val="670F74BE"/>
    <w:rsid w:val="671EAA34"/>
    <w:rsid w:val="675D5AD5"/>
    <w:rsid w:val="676F4FBB"/>
    <w:rsid w:val="67806C01"/>
    <w:rsid w:val="67BE06C3"/>
    <w:rsid w:val="67CE4EE8"/>
    <w:rsid w:val="6814283C"/>
    <w:rsid w:val="682DEC9B"/>
    <w:rsid w:val="683282B3"/>
    <w:rsid w:val="6860139D"/>
    <w:rsid w:val="68750B35"/>
    <w:rsid w:val="687D33D9"/>
    <w:rsid w:val="68801E29"/>
    <w:rsid w:val="6885B33A"/>
    <w:rsid w:val="689A9778"/>
    <w:rsid w:val="68A23AD5"/>
    <w:rsid w:val="68AC4CA7"/>
    <w:rsid w:val="68B187D4"/>
    <w:rsid w:val="68C1FB41"/>
    <w:rsid w:val="68C832C2"/>
    <w:rsid w:val="68EC1B09"/>
    <w:rsid w:val="691BEE03"/>
    <w:rsid w:val="696CF57D"/>
    <w:rsid w:val="696E89E0"/>
    <w:rsid w:val="696E9DB2"/>
    <w:rsid w:val="6977D625"/>
    <w:rsid w:val="698273EB"/>
    <w:rsid w:val="69929010"/>
    <w:rsid w:val="69B711CA"/>
    <w:rsid w:val="69CCCECE"/>
    <w:rsid w:val="69D4BB59"/>
    <w:rsid w:val="69F31696"/>
    <w:rsid w:val="6A071474"/>
    <w:rsid w:val="6A108991"/>
    <w:rsid w:val="6A13D775"/>
    <w:rsid w:val="6A14A1ED"/>
    <w:rsid w:val="6A1E0E39"/>
    <w:rsid w:val="6A44E268"/>
    <w:rsid w:val="6A625188"/>
    <w:rsid w:val="6A6E53FD"/>
    <w:rsid w:val="6A72AC4A"/>
    <w:rsid w:val="6A9E0371"/>
    <w:rsid w:val="6AA846F0"/>
    <w:rsid w:val="6AD3259F"/>
    <w:rsid w:val="6AD5CBFE"/>
    <w:rsid w:val="6ADCBC6A"/>
    <w:rsid w:val="6ADCFC47"/>
    <w:rsid w:val="6AFCCB75"/>
    <w:rsid w:val="6B39154E"/>
    <w:rsid w:val="6B5FD230"/>
    <w:rsid w:val="6BA8B28D"/>
    <w:rsid w:val="6BB96711"/>
    <w:rsid w:val="6BCCF5E3"/>
    <w:rsid w:val="6C23E662"/>
    <w:rsid w:val="6C2E7E24"/>
    <w:rsid w:val="6C51DC67"/>
    <w:rsid w:val="6CAF0718"/>
    <w:rsid w:val="6CBD5FD2"/>
    <w:rsid w:val="6CE9A398"/>
    <w:rsid w:val="6D0A96AE"/>
    <w:rsid w:val="6D7E78D9"/>
    <w:rsid w:val="6D99F24A"/>
    <w:rsid w:val="6DA7DFEE"/>
    <w:rsid w:val="6DE8093E"/>
    <w:rsid w:val="6DEB1AF9"/>
    <w:rsid w:val="6DFAB872"/>
    <w:rsid w:val="6E0286C8"/>
    <w:rsid w:val="6E04D04A"/>
    <w:rsid w:val="6E430365"/>
    <w:rsid w:val="6E6432A7"/>
    <w:rsid w:val="6E6C6348"/>
    <w:rsid w:val="6EAC58E8"/>
    <w:rsid w:val="6EB21B5F"/>
    <w:rsid w:val="6EDA222C"/>
    <w:rsid w:val="6EDAB856"/>
    <w:rsid w:val="6F02B56F"/>
    <w:rsid w:val="6F09F8D3"/>
    <w:rsid w:val="6F0A2C40"/>
    <w:rsid w:val="6F0DC864"/>
    <w:rsid w:val="6F3A93AF"/>
    <w:rsid w:val="6F460EDF"/>
    <w:rsid w:val="6F56FAE3"/>
    <w:rsid w:val="6F5EBD8A"/>
    <w:rsid w:val="6F8DB2BB"/>
    <w:rsid w:val="6FD2A1D8"/>
    <w:rsid w:val="6FDBD603"/>
    <w:rsid w:val="7021445A"/>
    <w:rsid w:val="7039F590"/>
    <w:rsid w:val="706EBA20"/>
    <w:rsid w:val="708579EF"/>
    <w:rsid w:val="70885040"/>
    <w:rsid w:val="708C70D8"/>
    <w:rsid w:val="708E0D06"/>
    <w:rsid w:val="70A5FCA1"/>
    <w:rsid w:val="70D4DFEF"/>
    <w:rsid w:val="70E8FFC3"/>
    <w:rsid w:val="712DDE5E"/>
    <w:rsid w:val="71392C70"/>
    <w:rsid w:val="7178A9B1"/>
    <w:rsid w:val="718265BA"/>
    <w:rsid w:val="718805B5"/>
    <w:rsid w:val="71897BC7"/>
    <w:rsid w:val="71A7FA7B"/>
    <w:rsid w:val="71AE13B4"/>
    <w:rsid w:val="71C09891"/>
    <w:rsid w:val="71D930EC"/>
    <w:rsid w:val="71F2B5CB"/>
    <w:rsid w:val="72161597"/>
    <w:rsid w:val="723EF90D"/>
    <w:rsid w:val="72512B5F"/>
    <w:rsid w:val="7251C083"/>
    <w:rsid w:val="725F4F28"/>
    <w:rsid w:val="7260CA6A"/>
    <w:rsid w:val="72697462"/>
    <w:rsid w:val="726EB478"/>
    <w:rsid w:val="7274407C"/>
    <w:rsid w:val="72881FBD"/>
    <w:rsid w:val="7299A263"/>
    <w:rsid w:val="72DF3004"/>
    <w:rsid w:val="72F19489"/>
    <w:rsid w:val="730ADDD3"/>
    <w:rsid w:val="7317100A"/>
    <w:rsid w:val="733034C3"/>
    <w:rsid w:val="739E96A3"/>
    <w:rsid w:val="74219146"/>
    <w:rsid w:val="74748EE8"/>
    <w:rsid w:val="74868FB6"/>
    <w:rsid w:val="74B5CF3E"/>
    <w:rsid w:val="74E02531"/>
    <w:rsid w:val="74E3CE64"/>
    <w:rsid w:val="75133488"/>
    <w:rsid w:val="7537E179"/>
    <w:rsid w:val="7573A204"/>
    <w:rsid w:val="759A1302"/>
    <w:rsid w:val="75C5F228"/>
    <w:rsid w:val="75F9DFF1"/>
    <w:rsid w:val="76106E17"/>
    <w:rsid w:val="76325162"/>
    <w:rsid w:val="766C7781"/>
    <w:rsid w:val="76ACFE44"/>
    <w:rsid w:val="76CF8DD1"/>
    <w:rsid w:val="76D7830B"/>
    <w:rsid w:val="76ED1C70"/>
    <w:rsid w:val="77513FF5"/>
    <w:rsid w:val="778ACE6F"/>
    <w:rsid w:val="77914536"/>
    <w:rsid w:val="77A0EC16"/>
    <w:rsid w:val="77AA8291"/>
    <w:rsid w:val="77B5D939"/>
    <w:rsid w:val="77B60ECC"/>
    <w:rsid w:val="77BFA37E"/>
    <w:rsid w:val="77C48A67"/>
    <w:rsid w:val="77CAFAC6"/>
    <w:rsid w:val="77D1441C"/>
    <w:rsid w:val="77D55388"/>
    <w:rsid w:val="781EDD03"/>
    <w:rsid w:val="781EFDC9"/>
    <w:rsid w:val="782A0653"/>
    <w:rsid w:val="78414218"/>
    <w:rsid w:val="78438BA4"/>
    <w:rsid w:val="785C1CAC"/>
    <w:rsid w:val="7892E706"/>
    <w:rsid w:val="78A6597F"/>
    <w:rsid w:val="78B3B9D3"/>
    <w:rsid w:val="78C20017"/>
    <w:rsid w:val="790FAB13"/>
    <w:rsid w:val="79137653"/>
    <w:rsid w:val="7916F614"/>
    <w:rsid w:val="791B1077"/>
    <w:rsid w:val="7939CABD"/>
    <w:rsid w:val="793F77B6"/>
    <w:rsid w:val="794412AB"/>
    <w:rsid w:val="79661F89"/>
    <w:rsid w:val="798335E9"/>
    <w:rsid w:val="798499D0"/>
    <w:rsid w:val="7992D431"/>
    <w:rsid w:val="799A26D8"/>
    <w:rsid w:val="799CDC62"/>
    <w:rsid w:val="79C687F3"/>
    <w:rsid w:val="79F601C6"/>
    <w:rsid w:val="79FFC2A7"/>
    <w:rsid w:val="7A00F9FB"/>
    <w:rsid w:val="7A0A7B9B"/>
    <w:rsid w:val="7A1D6638"/>
    <w:rsid w:val="7A7215F7"/>
    <w:rsid w:val="7A7D71AF"/>
    <w:rsid w:val="7ACC8C6D"/>
    <w:rsid w:val="7ADC4E8E"/>
    <w:rsid w:val="7B05D398"/>
    <w:rsid w:val="7B22770B"/>
    <w:rsid w:val="7B25E9D6"/>
    <w:rsid w:val="7B58CCDF"/>
    <w:rsid w:val="7B60E8CC"/>
    <w:rsid w:val="7B71B95E"/>
    <w:rsid w:val="7B7C81BF"/>
    <w:rsid w:val="7B98F564"/>
    <w:rsid w:val="7B9B29A9"/>
    <w:rsid w:val="7BB9D424"/>
    <w:rsid w:val="7BED3BA4"/>
    <w:rsid w:val="7BFB1D56"/>
    <w:rsid w:val="7BFF034C"/>
    <w:rsid w:val="7C077DC7"/>
    <w:rsid w:val="7C0DE658"/>
    <w:rsid w:val="7C3D5C91"/>
    <w:rsid w:val="7C43D433"/>
    <w:rsid w:val="7C466856"/>
    <w:rsid w:val="7C6D9F03"/>
    <w:rsid w:val="7C6EFFC9"/>
    <w:rsid w:val="7C812689"/>
    <w:rsid w:val="7C9845E9"/>
    <w:rsid w:val="7CAB21A3"/>
    <w:rsid w:val="7CC29B2C"/>
    <w:rsid w:val="7CD294A0"/>
    <w:rsid w:val="7CD99BD1"/>
    <w:rsid w:val="7CEE2D50"/>
    <w:rsid w:val="7CF9F461"/>
    <w:rsid w:val="7CFCD871"/>
    <w:rsid w:val="7D019661"/>
    <w:rsid w:val="7D48FCF2"/>
    <w:rsid w:val="7D537A85"/>
    <w:rsid w:val="7D6E8EB3"/>
    <w:rsid w:val="7D7DEF39"/>
    <w:rsid w:val="7DD78FAD"/>
    <w:rsid w:val="7E02615A"/>
    <w:rsid w:val="7E173ECC"/>
    <w:rsid w:val="7E4817AF"/>
    <w:rsid w:val="7E5F7ACC"/>
    <w:rsid w:val="7E672261"/>
    <w:rsid w:val="7E6D5526"/>
    <w:rsid w:val="7E764ECF"/>
    <w:rsid w:val="7E7A724E"/>
    <w:rsid w:val="7E8A881A"/>
    <w:rsid w:val="7EBAFDEF"/>
    <w:rsid w:val="7ED0C19B"/>
    <w:rsid w:val="7ED59726"/>
    <w:rsid w:val="7EDC293F"/>
    <w:rsid w:val="7EED8450"/>
    <w:rsid w:val="7EEFCB24"/>
    <w:rsid w:val="7EFA0F70"/>
    <w:rsid w:val="7F11C080"/>
    <w:rsid w:val="7F3FD0BC"/>
    <w:rsid w:val="7F428439"/>
    <w:rsid w:val="7F5A75C4"/>
    <w:rsid w:val="7F84B110"/>
    <w:rsid w:val="7FA05D0D"/>
    <w:rsid w:val="7FA45728"/>
    <w:rsid w:val="7FA5C3C7"/>
    <w:rsid w:val="7FB9FE4B"/>
    <w:rsid w:val="7FC2AB3A"/>
    <w:rsid w:val="7FC8B041"/>
    <w:rsid w:val="7FC9D469"/>
    <w:rsid w:val="7FD52F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A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EBC"/>
    <w:pPr>
      <w:spacing w:after="160" w:line="259" w:lineRule="auto"/>
    </w:pPr>
    <w:rPr>
      <w:rFonts w:ascii="Arial" w:hAnsi="Arial"/>
      <w:color w:val="auto"/>
      <w:sz w:val="22"/>
      <w:szCs w:val="22"/>
    </w:rPr>
  </w:style>
  <w:style w:type="paragraph" w:styleId="Heading1">
    <w:name w:val="heading 1"/>
    <w:basedOn w:val="Normal"/>
    <w:next w:val="BodyText"/>
    <w:link w:val="Heading1Char"/>
    <w:uiPriority w:val="1"/>
    <w:qFormat/>
    <w:rsid w:val="0052229B"/>
    <w:pPr>
      <w:keepNext/>
      <w:keepLines/>
      <w:spacing w:before="240" w:after="360" w:line="264" w:lineRule="auto"/>
      <w:outlineLvl w:val="0"/>
    </w:pPr>
    <w:rPr>
      <w:b/>
      <w:sz w:val="36"/>
      <w:szCs w:val="60"/>
    </w:rPr>
  </w:style>
  <w:style w:type="paragraph" w:styleId="Heading2">
    <w:name w:val="heading 2"/>
    <w:basedOn w:val="Normal"/>
    <w:next w:val="BodyText"/>
    <w:link w:val="Heading2Char"/>
    <w:uiPriority w:val="1"/>
    <w:unhideWhenUsed/>
    <w:qFormat/>
    <w:rsid w:val="00514CCB"/>
    <w:pPr>
      <w:keepNext/>
      <w:keepLines/>
      <w:spacing w:before="240" w:after="240" w:line="264" w:lineRule="auto"/>
      <w:outlineLvl w:val="1"/>
    </w:pPr>
    <w:rPr>
      <w:rFonts w:eastAsiaTheme="majorEastAsia" w:cs="Arial"/>
      <w:sz w:val="28"/>
      <w:szCs w:val="40"/>
    </w:rPr>
  </w:style>
  <w:style w:type="paragraph" w:styleId="Heading3">
    <w:name w:val="heading 3"/>
    <w:basedOn w:val="Normal"/>
    <w:next w:val="BodyText"/>
    <w:link w:val="Heading3Char"/>
    <w:uiPriority w:val="1"/>
    <w:unhideWhenUsed/>
    <w:qFormat/>
    <w:rsid w:val="00514CCB"/>
    <w:pPr>
      <w:keepNext/>
      <w:keepLines/>
      <w:spacing w:before="240" w:line="240" w:lineRule="auto"/>
      <w:outlineLvl w:val="2"/>
    </w:pPr>
    <w:rPr>
      <w:rFonts w:eastAsiaTheme="majorEastAsia" w:cs="Arial"/>
      <w:bCs/>
      <w:color w:val="E81D32"/>
      <w:sz w:val="24"/>
      <w:szCs w:val="30"/>
      <w:lang w:eastAsia="en-AU"/>
    </w:rPr>
  </w:style>
  <w:style w:type="paragraph" w:styleId="Heading4">
    <w:name w:val="heading 4"/>
    <w:basedOn w:val="BodyText"/>
    <w:next w:val="BodyText"/>
    <w:link w:val="Heading4Char"/>
    <w:uiPriority w:val="1"/>
    <w:qFormat/>
    <w:rsid w:val="009B3355"/>
    <w:pPr>
      <w:keepNext/>
      <w:numPr>
        <w:numId w:val="46"/>
      </w:numPr>
      <w:spacing w:before="240"/>
      <w:outlineLvl w:val="3"/>
    </w:pPr>
    <w:rPr>
      <w:color w:val="A91117" w:themeColor="accent6"/>
      <w:szCs w:val="24"/>
    </w:rPr>
  </w:style>
  <w:style w:type="paragraph" w:styleId="Heading5">
    <w:name w:val="heading 5"/>
    <w:basedOn w:val="Heading4"/>
    <w:next w:val="Normal"/>
    <w:link w:val="Heading5Char"/>
    <w:uiPriority w:val="1"/>
    <w:qFormat/>
    <w:rsid w:val="006843D7"/>
    <w:pPr>
      <w:numPr>
        <w:numId w:val="0"/>
      </w:numPr>
      <w:outlineLvl w:val="4"/>
    </w:pPr>
    <w:rPr>
      <w:bCs/>
      <w:i/>
      <w:iCs/>
      <w:color w:val="000000" w:themeColor="text1"/>
      <w:szCs w:val="22"/>
    </w:rPr>
  </w:style>
  <w:style w:type="paragraph" w:styleId="Heading6">
    <w:name w:val="heading 6"/>
    <w:basedOn w:val="Normal"/>
    <w:next w:val="Normal"/>
    <w:link w:val="Heading6Char"/>
    <w:uiPriority w:val="1"/>
    <w:semiHidden/>
    <w:qFormat/>
    <w:rsid w:val="00234FEF"/>
    <w:pPr>
      <w:keepNext/>
      <w:keepLines/>
      <w:numPr>
        <w:ilvl w:val="5"/>
        <w:numId w:val="11"/>
      </w:numPr>
      <w:spacing w:after="0" w:line="240" w:lineRule="atLeast"/>
      <w:outlineLvl w:val="5"/>
    </w:pPr>
    <w:rPr>
      <w:rFonts w:ascii="Verdana" w:eastAsiaTheme="majorEastAsia" w:hAnsi="Verdana" w:cstheme="majorBidi"/>
      <w:b/>
      <w:iCs/>
      <w:sz w:val="18"/>
      <w:szCs w:val="18"/>
    </w:rPr>
  </w:style>
  <w:style w:type="paragraph" w:styleId="Heading7">
    <w:name w:val="heading 7"/>
    <w:basedOn w:val="Normal"/>
    <w:next w:val="Normal"/>
    <w:link w:val="Heading7Char"/>
    <w:uiPriority w:val="9"/>
    <w:semiHidden/>
    <w:unhideWhenUsed/>
    <w:qFormat/>
    <w:rsid w:val="0030750F"/>
    <w:pPr>
      <w:keepNext/>
      <w:keepLines/>
      <w:numPr>
        <w:ilvl w:val="6"/>
        <w:numId w:val="12"/>
      </w:numPr>
      <w:spacing w:before="40" w:after="0"/>
      <w:outlineLvl w:val="6"/>
    </w:pPr>
    <w:rPr>
      <w:rFonts w:asciiTheme="majorHAnsi" w:eastAsiaTheme="majorEastAsia" w:hAnsiTheme="majorHAnsi" w:cstheme="majorBidi"/>
      <w:i/>
      <w:iCs/>
      <w:color w:val="12171D" w:themeColor="accent1" w:themeShade="7F"/>
    </w:rPr>
  </w:style>
  <w:style w:type="paragraph" w:styleId="Heading8">
    <w:name w:val="heading 8"/>
    <w:basedOn w:val="Normal"/>
    <w:next w:val="Normal"/>
    <w:link w:val="Heading8Char"/>
    <w:uiPriority w:val="9"/>
    <w:semiHidden/>
    <w:unhideWhenUsed/>
    <w:qFormat/>
    <w:rsid w:val="0030750F"/>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750F"/>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095BF3"/>
    <w:pPr>
      <w:tabs>
        <w:tab w:val="center" w:pos="4513"/>
        <w:tab w:val="right" w:pos="9026"/>
      </w:tabs>
      <w:spacing w:after="0" w:line="240" w:lineRule="auto"/>
      <w:jc w:val="right"/>
    </w:pPr>
    <w:rPr>
      <w:rFonts w:asciiTheme="majorHAnsi" w:hAnsiTheme="majorHAnsi"/>
      <w:b/>
      <w:caps/>
      <w:color w:val="014463" w:themeColor="text2"/>
    </w:rPr>
  </w:style>
  <w:style w:type="character" w:customStyle="1" w:styleId="FooterChar">
    <w:name w:val="Footer Char"/>
    <w:basedOn w:val="DefaultParagraphFont"/>
    <w:link w:val="Footer"/>
    <w:uiPriority w:val="99"/>
    <w:rsid w:val="006C7FC3"/>
    <w:rPr>
      <w:rFonts w:asciiTheme="majorHAnsi" w:hAnsiTheme="majorHAnsi"/>
      <w:b/>
      <w:caps/>
      <w:color w:val="014463" w:themeColor="text2"/>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aliases w:val="UDP Grid,Advisian new 5,E&amp;P Style 5,E&amp;P Table Style 4,Table Grid DHHS blue,ICB Table,none,EY Table,EP Table Grid,PB Table,1TableGrid,CV table,EY Question Table,EYTable,CV1,new tab,Equifax table,Header Table,Format for the table,HKA - Table 1"/>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1"/>
    <w:rsid w:val="0052229B"/>
    <w:rPr>
      <w:rFonts w:ascii="Arial" w:hAnsi="Arial"/>
      <w:b/>
      <w:color w:val="auto"/>
      <w:sz w:val="36"/>
      <w:szCs w:val="60"/>
    </w:rPr>
  </w:style>
  <w:style w:type="table" w:customStyle="1" w:styleId="PMCDefaultTableStyle">
    <w:name w:val="PMC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SWA List Paragraph,Indent,Recommendation,List Paragraph1,standard lewis,List Paragraph11,List Paragraph2,Bulit List -  Paragraph,Main numbered paragraph,Numbered List Paragraph,Heading2,Bullet Point,NFP GP Bulleted List,L,Dot pt,列"/>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1"/>
    <w:rsid w:val="00514CCB"/>
    <w:rPr>
      <w:rFonts w:ascii="Arial" w:eastAsiaTheme="majorEastAsia" w:hAnsi="Arial" w:cs="Arial"/>
      <w:color w:val="auto"/>
      <w:sz w:val="28"/>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tabs>
        <w:tab w:val="num" w:pos="360"/>
      </w:tabs>
      <w:ind w:left="567"/>
    </w:pPr>
  </w:style>
  <w:style w:type="paragraph" w:styleId="BodyText">
    <w:name w:val="Body Text"/>
    <w:aliases w:val="IA Body Text"/>
    <w:basedOn w:val="Normal"/>
    <w:link w:val="BodyTextChar"/>
    <w:qFormat/>
    <w:rsid w:val="00050058"/>
    <w:pPr>
      <w:spacing w:after="120" w:line="264" w:lineRule="auto"/>
    </w:pPr>
    <w:rPr>
      <w:color w:val="262626" w:themeColor="text1" w:themeTint="D9"/>
    </w:rPr>
  </w:style>
  <w:style w:type="character" w:customStyle="1" w:styleId="BodyTextChar">
    <w:name w:val="Body Text Char"/>
    <w:aliases w:val="IA Body Text Char"/>
    <w:basedOn w:val="DefaultParagraphFont"/>
    <w:link w:val="BodyText"/>
    <w:rsid w:val="00050058"/>
    <w:rPr>
      <w:rFonts w:ascii="Arial" w:hAnsi="Arial"/>
      <w:sz w:val="22"/>
      <w:szCs w:val="22"/>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1"/>
    <w:rsid w:val="00514CCB"/>
    <w:rPr>
      <w:rFonts w:ascii="Arial" w:eastAsiaTheme="majorEastAsia" w:hAnsi="Arial" w:cs="Arial"/>
      <w:bCs/>
      <w:color w:val="E81D32"/>
      <w:sz w:val="24"/>
      <w:szCs w:val="30"/>
      <w:lang w:eastAsia="en-AU"/>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1"/>
    <w:rsid w:val="009B3355"/>
    <w:rPr>
      <w:rFonts w:ascii="Arial" w:hAnsi="Arial"/>
      <w:color w:val="A91117" w:themeColor="accent6"/>
      <w:sz w:val="22"/>
      <w:szCs w:val="24"/>
    </w:rPr>
  </w:style>
  <w:style w:type="paragraph" w:customStyle="1" w:styleId="TableHeading">
    <w:name w:val="Table Heading"/>
    <w:basedOn w:val="Normal"/>
    <w:uiPriority w:val="11"/>
    <w:qFormat/>
    <w:rsid w:val="000C215A"/>
    <w:pPr>
      <w:spacing w:before="60"/>
    </w:pPr>
    <w:rPr>
      <w:rFonts w:asciiTheme="majorHAnsi" w:hAnsiTheme="majorHAnsi"/>
      <w:b/>
      <w:sz w:val="20"/>
      <w:szCs w:val="20"/>
      <w:lang w:val="en-US"/>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PMCTableStyle2">
    <w:name w:val="PMC Table Style 2"/>
    <w:basedOn w:val="TableNormal"/>
    <w:uiPriority w:val="99"/>
    <w:rsid w:val="00FC6197"/>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8B52FB"/>
    <w:pPr>
      <w:ind w:left="567" w:right="567"/>
    </w:pPr>
    <w:rPr>
      <w:rFonts w:asciiTheme="majorHAnsi" w:hAnsiTheme="majorHAnsi"/>
      <w:color w:val="015E8A" w:themeColor="text2" w:themeTint="E6"/>
    </w:rPr>
  </w:style>
  <w:style w:type="paragraph" w:styleId="NoSpacing">
    <w:name w:val="No Spacing"/>
    <w:basedOn w:val="BodyText"/>
    <w:link w:val="NoSpacingChar"/>
    <w:uiPriority w:val="1"/>
    <w:qFormat/>
    <w:rsid w:val="002A0289"/>
    <w:pPr>
      <w:contextualSpacing/>
    </w:pPr>
  </w:style>
  <w:style w:type="character" w:customStyle="1" w:styleId="NoSpacingChar">
    <w:name w:val="No Spacing Char"/>
    <w:basedOn w:val="DefaultParagraphFont"/>
    <w:link w:val="NoSpacing"/>
    <w:uiPriority w:val="1"/>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50058"/>
    <w:pPr>
      <w:spacing w:after="360"/>
    </w:pPr>
    <w:rPr>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A83AD8"/>
    <w:pPr>
      <w:keepNext/>
      <w:tabs>
        <w:tab w:val="left" w:pos="851"/>
        <w:tab w:val="left" w:pos="1017"/>
      </w:tabs>
      <w:spacing w:before="120"/>
      <w:ind w:left="850" w:hanging="850"/>
    </w:pPr>
    <w:rPr>
      <w:rFonts w:cstheme="minorHAnsi"/>
      <w:iCs/>
      <w:sz w:val="20"/>
      <w:szCs w:val="14"/>
    </w:rPr>
  </w:style>
  <w:style w:type="paragraph" w:styleId="List">
    <w:name w:val="List"/>
    <w:uiPriority w:val="4"/>
    <w:semiHidden/>
    <w:rsid w:val="00880786"/>
    <w:pPr>
      <w:numPr>
        <w:numId w:val="5"/>
      </w:numPr>
      <w:spacing w:line="324" w:lineRule="auto"/>
    </w:pPr>
    <w:rPr>
      <w:color w:val="464E52"/>
      <w:sz w:val="18"/>
      <w:szCs w:val="18"/>
    </w:rPr>
  </w:style>
  <w:style w:type="paragraph" w:customStyle="1" w:styleId="EmphasisPanelHeading">
    <w:name w:val="Emphasis Panel Heading"/>
    <w:basedOn w:val="Normal"/>
    <w:uiPriority w:val="11"/>
    <w:qFormat/>
    <w:rsid w:val="00993B67"/>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60" w:after="60" w:line="240" w:lineRule="atLeast"/>
      <w:ind w:left="198" w:right="215"/>
    </w:pPr>
    <w:rPr>
      <w:rFonts w:asciiTheme="majorHAnsi" w:eastAsia="Times New Roman" w:hAnsiTheme="majorHAnsi" w:cs="Times New Roman"/>
      <w:b/>
      <w:color w:val="014463" w:themeColor="text2"/>
      <w:sz w:val="24"/>
      <w:szCs w:val="24"/>
      <w:lang w:val="en-US"/>
    </w:rPr>
  </w:style>
  <w:style w:type="paragraph" w:customStyle="1" w:styleId="EmphasisPanelBody">
    <w:name w:val="Emphasis Panel Body"/>
    <w:basedOn w:val="Normal"/>
    <w:uiPriority w:val="11"/>
    <w:qFormat/>
    <w:rsid w:val="00BF3BE8"/>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left="198" w:right="215"/>
    </w:pPr>
    <w:rPr>
      <w:rFonts w:eastAsia="Times New Roman" w:cstheme="minorHAnsi"/>
      <w:lang w:val="en-US"/>
    </w:rPr>
  </w:style>
  <w:style w:type="paragraph" w:customStyle="1" w:styleId="EmphasisPanelBullet">
    <w:name w:val="Emphasis Panel Bullet"/>
    <w:uiPriority w:val="11"/>
    <w:qFormat/>
    <w:rsid w:val="00993B67"/>
    <w:pPr>
      <w:keepLines/>
      <w:numPr>
        <w:numId w:val="6"/>
      </w:numPr>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8B52FB"/>
    <w:rPr>
      <w:rFonts w:asciiTheme="majorHAnsi" w:hAnsiTheme="majorHAnsi"/>
      <w:color w:val="015E8A" w:themeColor="text2" w:themeTint="E6"/>
      <w:sz w:val="22"/>
      <w:szCs w:val="22"/>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99"/>
    <w:qFormat/>
    <w:rsid w:val="003A7E73"/>
    <w:pPr>
      <w:spacing w:after="0" w:line="240" w:lineRule="auto"/>
    </w:p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99"/>
    <w:rsid w:val="003A7E73"/>
  </w:style>
  <w:style w:type="character" w:styleId="FootnoteReference">
    <w:name w:val="footnote reference"/>
    <w:aliases w:val="fr,(NECG) Footnote Reference,Ref,de nota al pie"/>
    <w:basedOn w:val="DefaultParagraphFont"/>
    <w:uiPriority w:val="99"/>
    <w:rsid w:val="003A7E73"/>
    <w:rPr>
      <w:vertAlign w:val="superscript"/>
    </w:rPr>
  </w:style>
  <w:style w:type="paragraph" w:styleId="Title">
    <w:name w:val="Title"/>
    <w:basedOn w:val="Heading1"/>
    <w:next w:val="Normal"/>
    <w:link w:val="TitleChar"/>
    <w:uiPriority w:val="99"/>
    <w:qFormat/>
    <w:rsid w:val="00DE2DA8"/>
    <w:pPr>
      <w:spacing w:before="0" w:after="120"/>
    </w:pPr>
    <w:rPr>
      <w:sz w:val="48"/>
    </w:rPr>
  </w:style>
  <w:style w:type="character" w:customStyle="1" w:styleId="TitleChar">
    <w:name w:val="Title Char"/>
    <w:basedOn w:val="DefaultParagraphFont"/>
    <w:link w:val="Title"/>
    <w:uiPriority w:val="99"/>
    <w:rsid w:val="00DE2DA8"/>
    <w:rPr>
      <w:rFonts w:ascii="Arial" w:hAnsi="Arial"/>
      <w:b/>
      <w:color w:val="auto"/>
      <w:sz w:val="48"/>
      <w:szCs w:val="60"/>
    </w:rPr>
  </w:style>
  <w:style w:type="paragraph" w:styleId="Subtitle">
    <w:name w:val="Subtitle"/>
    <w:basedOn w:val="Heading4"/>
    <w:next w:val="Normal"/>
    <w:link w:val="SubtitleChar"/>
    <w:uiPriority w:val="1"/>
    <w:qFormat/>
    <w:rsid w:val="00FE09D3"/>
    <w:pPr>
      <w:spacing w:before="120" w:after="360"/>
    </w:pPr>
  </w:style>
  <w:style w:type="character" w:customStyle="1" w:styleId="SubtitleChar">
    <w:name w:val="Subtitle Char"/>
    <w:basedOn w:val="DefaultParagraphFont"/>
    <w:link w:val="Subtitle"/>
    <w:uiPriority w:val="1"/>
    <w:rsid w:val="00FE09D3"/>
    <w:rPr>
      <w:rFonts w:ascii="Arial" w:hAnsi="Arial"/>
      <w:color w:val="A91117" w:themeColor="accent6"/>
      <w:sz w:val="22"/>
      <w:szCs w:val="24"/>
    </w:rPr>
  </w:style>
  <w:style w:type="character" w:styleId="Hyperlink">
    <w:name w:val="Hyperlink"/>
    <w:basedOn w:val="DefaultParagraphFont"/>
    <w:uiPriority w:val="99"/>
    <w:unhideWhenUsed/>
    <w:rsid w:val="00825394"/>
    <w:rPr>
      <w:rFonts w:ascii="Calibri" w:hAnsi="Calibri"/>
      <w:color w:val="015F8B" w:themeColor="hyperlink"/>
      <w:sz w:val="22"/>
      <w:u w:val="single"/>
    </w:rPr>
  </w:style>
  <w:style w:type="character" w:customStyle="1" w:styleId="UnresolvedMention1">
    <w:name w:val="Unresolved Mention1"/>
    <w:basedOn w:val="DefaultParagraphFont"/>
    <w:uiPriority w:val="99"/>
    <w:semiHidden/>
    <w:unhideWhenUsed/>
    <w:rsid w:val="004E3D50"/>
    <w:rPr>
      <w:color w:val="605E5C"/>
      <w:shd w:val="clear" w:color="auto" w:fill="E1DFDD"/>
    </w:rPr>
  </w:style>
  <w:style w:type="table" w:customStyle="1" w:styleId="TableGrid1">
    <w:name w:val="Table Grid1"/>
    <w:basedOn w:val="TableNormal"/>
    <w:next w:val="TableGrid"/>
    <w:uiPriority w:val="39"/>
    <w:rsid w:val="00F672F0"/>
    <w:pPr>
      <w:spacing w:before="60" w:after="60" w:line="240" w:lineRule="auto"/>
    </w:pPr>
    <w:rPr>
      <w:rFonts w:ascii="Arial" w:hAnsi="Arial"/>
      <w:color w:val="auto"/>
      <w:szCs w:val="22"/>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character" w:styleId="CommentReference">
    <w:name w:val="annotation reference"/>
    <w:basedOn w:val="DefaultParagraphFont"/>
    <w:uiPriority w:val="99"/>
    <w:semiHidden/>
    <w:unhideWhenUsed/>
    <w:rsid w:val="00D41D3E"/>
    <w:rPr>
      <w:sz w:val="16"/>
      <w:szCs w:val="16"/>
    </w:rPr>
  </w:style>
  <w:style w:type="paragraph" w:styleId="CommentText">
    <w:name w:val="annotation text"/>
    <w:basedOn w:val="Normal"/>
    <w:link w:val="CommentTextChar"/>
    <w:uiPriority w:val="99"/>
    <w:unhideWhenUsed/>
    <w:rsid w:val="00D41D3E"/>
    <w:pPr>
      <w:spacing w:line="240" w:lineRule="auto"/>
    </w:pPr>
  </w:style>
  <w:style w:type="character" w:customStyle="1" w:styleId="CommentTextChar">
    <w:name w:val="Comment Text Char"/>
    <w:basedOn w:val="DefaultParagraphFont"/>
    <w:link w:val="CommentText"/>
    <w:uiPriority w:val="99"/>
    <w:rsid w:val="00D41D3E"/>
  </w:style>
  <w:style w:type="paragraph" w:styleId="CommentSubject">
    <w:name w:val="annotation subject"/>
    <w:basedOn w:val="CommentText"/>
    <w:next w:val="CommentText"/>
    <w:link w:val="CommentSubjectChar"/>
    <w:uiPriority w:val="99"/>
    <w:semiHidden/>
    <w:unhideWhenUsed/>
    <w:rsid w:val="00D41D3E"/>
    <w:rPr>
      <w:b/>
      <w:bCs/>
    </w:rPr>
  </w:style>
  <w:style w:type="character" w:customStyle="1" w:styleId="CommentSubjectChar">
    <w:name w:val="Comment Subject Char"/>
    <w:basedOn w:val="CommentTextChar"/>
    <w:link w:val="CommentSubject"/>
    <w:uiPriority w:val="99"/>
    <w:semiHidden/>
    <w:rsid w:val="00D41D3E"/>
    <w:rPr>
      <w:b/>
      <w:bCs/>
    </w:rPr>
  </w:style>
  <w:style w:type="paragraph" w:customStyle="1" w:styleId="BodyText1">
    <w:name w:val="Body Text1"/>
    <w:basedOn w:val="Normal"/>
    <w:uiPriority w:val="99"/>
    <w:qFormat/>
    <w:rsid w:val="00D51485"/>
    <w:pPr>
      <w:spacing w:after="200" w:line="260" w:lineRule="exact"/>
    </w:pPr>
    <w:rPr>
      <w:rFonts w:eastAsia="Times New Roman" w:cs="Times New Roman"/>
      <w:szCs w:val="24"/>
    </w:rPr>
  </w:style>
  <w:style w:type="paragraph" w:styleId="Revision">
    <w:name w:val="Revision"/>
    <w:hidden/>
    <w:uiPriority w:val="99"/>
    <w:semiHidden/>
    <w:rsid w:val="00E070F2"/>
    <w:pPr>
      <w:spacing w:after="0" w:line="240" w:lineRule="auto"/>
    </w:pPr>
  </w:style>
  <w:style w:type="character" w:styleId="FollowedHyperlink">
    <w:name w:val="FollowedHyperlink"/>
    <w:basedOn w:val="DefaultParagraphFont"/>
    <w:uiPriority w:val="99"/>
    <w:semiHidden/>
    <w:unhideWhenUsed/>
    <w:rsid w:val="005F0394"/>
    <w:rPr>
      <w:color w:val="015F8B" w:themeColor="followedHyperlink"/>
      <w:u w:val="single"/>
    </w:rPr>
  </w:style>
  <w:style w:type="paragraph" w:styleId="TOCHeading">
    <w:name w:val="TOC Heading"/>
    <w:basedOn w:val="Heading1"/>
    <w:next w:val="Normal"/>
    <w:uiPriority w:val="39"/>
    <w:unhideWhenUsed/>
    <w:qFormat/>
    <w:rsid w:val="005F0394"/>
    <w:pPr>
      <w:spacing w:after="0" w:line="259" w:lineRule="auto"/>
      <w:outlineLvl w:val="9"/>
    </w:pPr>
    <w:rPr>
      <w:rFonts w:eastAsiaTheme="majorEastAsia" w:cstheme="majorBidi"/>
      <w:b w:val="0"/>
      <w:color w:val="1B232C" w:themeColor="accent1" w:themeShade="BF"/>
      <w:szCs w:val="32"/>
      <w:lang w:val="en-US"/>
    </w:rPr>
  </w:style>
  <w:style w:type="paragraph" w:styleId="TOC1">
    <w:name w:val="toc 1"/>
    <w:basedOn w:val="Normal"/>
    <w:next w:val="Normal"/>
    <w:autoRedefine/>
    <w:uiPriority w:val="39"/>
    <w:unhideWhenUsed/>
    <w:rsid w:val="00D766A4"/>
    <w:pPr>
      <w:tabs>
        <w:tab w:val="right" w:leader="dot" w:pos="10194"/>
      </w:tabs>
      <w:spacing w:after="100"/>
      <w:ind w:right="142"/>
    </w:pPr>
  </w:style>
  <w:style w:type="paragraph" w:styleId="TOC3">
    <w:name w:val="toc 3"/>
    <w:basedOn w:val="Normal"/>
    <w:next w:val="Normal"/>
    <w:autoRedefine/>
    <w:uiPriority w:val="39"/>
    <w:unhideWhenUsed/>
    <w:rsid w:val="005F0394"/>
    <w:pPr>
      <w:spacing w:after="100"/>
      <w:ind w:left="400"/>
    </w:pPr>
  </w:style>
  <w:style w:type="paragraph" w:styleId="TOC2">
    <w:name w:val="toc 2"/>
    <w:basedOn w:val="Normal"/>
    <w:next w:val="Normal"/>
    <w:autoRedefine/>
    <w:uiPriority w:val="39"/>
    <w:unhideWhenUsed/>
    <w:rsid w:val="00D766A4"/>
    <w:pPr>
      <w:tabs>
        <w:tab w:val="left" w:pos="880"/>
        <w:tab w:val="right" w:leader="dot" w:pos="10194"/>
      </w:tabs>
      <w:spacing w:after="100"/>
      <w:ind w:left="200"/>
    </w:pPr>
  </w:style>
  <w:style w:type="character" w:customStyle="1" w:styleId="Heading5Char">
    <w:name w:val="Heading 5 Char"/>
    <w:basedOn w:val="DefaultParagraphFont"/>
    <w:link w:val="Heading5"/>
    <w:uiPriority w:val="1"/>
    <w:rsid w:val="006843D7"/>
    <w:rPr>
      <w:rFonts w:ascii="Arial" w:hAnsi="Arial"/>
      <w:bCs/>
      <w:i/>
      <w:iCs/>
      <w:color w:val="000000" w:themeColor="text1"/>
      <w:sz w:val="22"/>
      <w:szCs w:val="22"/>
    </w:rPr>
  </w:style>
  <w:style w:type="character" w:customStyle="1" w:styleId="Heading6Char">
    <w:name w:val="Heading 6 Char"/>
    <w:basedOn w:val="DefaultParagraphFont"/>
    <w:link w:val="Heading6"/>
    <w:uiPriority w:val="1"/>
    <w:semiHidden/>
    <w:rsid w:val="00234FEF"/>
    <w:rPr>
      <w:rFonts w:ascii="Verdana" w:eastAsiaTheme="majorEastAsia" w:hAnsi="Verdana" w:cstheme="majorBidi"/>
      <w:b/>
      <w:iCs/>
      <w:color w:val="auto"/>
      <w:sz w:val="18"/>
      <w:szCs w:val="18"/>
    </w:rPr>
  </w:style>
  <w:style w:type="paragraph" w:styleId="ListBullet">
    <w:name w:val="List Bullet"/>
    <w:aliases w:val="IA List Bullet"/>
    <w:basedOn w:val="Normal"/>
    <w:link w:val="ListBulletChar"/>
    <w:autoRedefine/>
    <w:uiPriority w:val="3"/>
    <w:qFormat/>
    <w:rsid w:val="001B44C4"/>
    <w:pPr>
      <w:numPr>
        <w:numId w:val="17"/>
      </w:numPr>
      <w:spacing w:after="200" w:line="260" w:lineRule="exact"/>
    </w:pPr>
    <w:rPr>
      <w:szCs w:val="17"/>
    </w:rPr>
  </w:style>
  <w:style w:type="paragraph" w:customStyle="1" w:styleId="CaptionTable">
    <w:name w:val="Caption_Table"/>
    <w:basedOn w:val="Normal"/>
    <w:next w:val="Normal"/>
    <w:uiPriority w:val="4"/>
    <w:rsid w:val="005F7870"/>
    <w:pPr>
      <w:keepNext/>
      <w:keepLines/>
      <w:spacing w:before="240" w:after="240" w:line="240" w:lineRule="atLeast"/>
    </w:pPr>
    <w:rPr>
      <w:rFonts w:ascii="Verdana" w:eastAsia="Times New Roman" w:hAnsi="Verdana" w:cs="Times New Roman"/>
      <w:color w:val="A91117" w:themeColor="accent6"/>
      <w:sz w:val="17"/>
    </w:rPr>
  </w:style>
  <w:style w:type="paragraph" w:customStyle="1" w:styleId="CaptionFigure">
    <w:name w:val="Caption_Figure"/>
    <w:basedOn w:val="Normal"/>
    <w:next w:val="Normal"/>
    <w:uiPriority w:val="4"/>
    <w:rsid w:val="005F7870"/>
    <w:pPr>
      <w:keepNext/>
      <w:keepLines/>
      <w:spacing w:after="170" w:line="240" w:lineRule="atLeast"/>
    </w:pPr>
    <w:rPr>
      <w:rFonts w:ascii="Verdana" w:hAnsi="Verdana"/>
      <w:bCs/>
      <w:color w:val="A91117" w:themeColor="accent6"/>
      <w:sz w:val="17"/>
    </w:rPr>
  </w:style>
  <w:style w:type="paragraph" w:customStyle="1" w:styleId="CaptionChart">
    <w:name w:val="Caption_Chart"/>
    <w:basedOn w:val="Normal"/>
    <w:next w:val="Normal"/>
    <w:uiPriority w:val="4"/>
    <w:rsid w:val="005F7870"/>
    <w:pPr>
      <w:keepNext/>
      <w:keepLines/>
      <w:spacing w:after="170" w:line="240" w:lineRule="atLeast"/>
    </w:pPr>
    <w:rPr>
      <w:rFonts w:ascii="Verdana" w:hAnsi="Verdana"/>
      <w:color w:val="A91117" w:themeColor="accent6"/>
      <w:sz w:val="17"/>
      <w:szCs w:val="18"/>
    </w:rPr>
  </w:style>
  <w:style w:type="character" w:customStyle="1" w:styleId="ListParagraphChar">
    <w:name w:val="List Paragraph Char"/>
    <w:aliases w:val="Bullet Char,SWA List Paragraph Char,Indent Char,Recommendation Char,List Paragraph1 Char,standard lewis Char,List Paragraph11 Char,List Paragraph2 Char,Bulit List -  Paragraph Char,Main numbered paragraph Char,Heading2 Char,L Char"/>
    <w:basedOn w:val="DefaultParagraphFont"/>
    <w:link w:val="ListParagraph"/>
    <w:uiPriority w:val="34"/>
    <w:qFormat/>
    <w:rsid w:val="008E2F56"/>
  </w:style>
  <w:style w:type="paragraph" w:styleId="ListBullet2">
    <w:name w:val="List Bullet 2"/>
    <w:basedOn w:val="Normal"/>
    <w:uiPriority w:val="99"/>
    <w:unhideWhenUsed/>
    <w:rsid w:val="00234FEF"/>
    <w:pPr>
      <w:numPr>
        <w:numId w:val="15"/>
      </w:numPr>
      <w:spacing w:after="120" w:line="264" w:lineRule="auto"/>
      <w:contextualSpacing/>
    </w:pPr>
    <w:rPr>
      <w:color w:val="262626" w:themeColor="text1" w:themeTint="D9"/>
      <w:sz w:val="20"/>
      <w:szCs w:val="20"/>
    </w:rPr>
  </w:style>
  <w:style w:type="paragraph" w:styleId="NormalWeb">
    <w:name w:val="Normal (Web)"/>
    <w:basedOn w:val="Normal"/>
    <w:uiPriority w:val="99"/>
    <w:semiHidden/>
    <w:unhideWhenUsed/>
    <w:rsid w:val="00831D8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42AF4"/>
  </w:style>
  <w:style w:type="character" w:customStyle="1" w:styleId="eop">
    <w:name w:val="eop"/>
    <w:basedOn w:val="DefaultParagraphFont"/>
    <w:rsid w:val="00842AF4"/>
  </w:style>
  <w:style w:type="character" w:customStyle="1" w:styleId="SWADisclaimerheadingChar">
    <w:name w:val="SWA Disclaimer heading Char"/>
    <w:basedOn w:val="DefaultParagraphFont"/>
    <w:link w:val="SWADisclaimerheading"/>
    <w:locked/>
    <w:rsid w:val="00E94F67"/>
    <w:rPr>
      <w:rFonts w:ascii="Arial" w:eastAsiaTheme="majorEastAsia" w:hAnsi="Arial" w:cstheme="majorBidi"/>
      <w:b/>
      <w:color w:val="AF1E2D"/>
      <w:spacing w:val="-3"/>
      <w:sz w:val="14"/>
      <w:szCs w:val="14"/>
    </w:rPr>
  </w:style>
  <w:style w:type="paragraph" w:customStyle="1" w:styleId="SWADisclaimerheading">
    <w:name w:val="SWA Disclaimer heading"/>
    <w:basedOn w:val="Normal"/>
    <w:link w:val="SWADisclaimerheadingChar"/>
    <w:qFormat/>
    <w:rsid w:val="00E94F67"/>
    <w:pPr>
      <w:spacing w:line="276" w:lineRule="auto"/>
    </w:pPr>
    <w:rPr>
      <w:rFonts w:eastAsiaTheme="majorEastAsia" w:cstheme="majorBidi"/>
      <w:b/>
      <w:color w:val="AF1E2D"/>
      <w:spacing w:val="-3"/>
      <w:sz w:val="14"/>
      <w:szCs w:val="14"/>
    </w:rPr>
  </w:style>
  <w:style w:type="character" w:customStyle="1" w:styleId="SWADisclaimerbodytextChar">
    <w:name w:val="SWA Disclaimer body text Char"/>
    <w:basedOn w:val="DefaultParagraphFont"/>
    <w:link w:val="SWADisclaimerbodytext"/>
    <w:locked/>
    <w:rsid w:val="00E94F67"/>
    <w:rPr>
      <w:rFonts w:ascii="Arial" w:eastAsia="Times New Roman" w:hAnsi="Arial" w:cs="Times New Roman"/>
      <w:sz w:val="14"/>
      <w:szCs w:val="14"/>
      <w:lang w:eastAsia="en-AU"/>
    </w:rPr>
  </w:style>
  <w:style w:type="paragraph" w:customStyle="1" w:styleId="SWADisclaimerbodytext">
    <w:name w:val="SWA Disclaimer body text"/>
    <w:basedOn w:val="Normal"/>
    <w:link w:val="SWADisclaimerbodytextChar"/>
    <w:qFormat/>
    <w:rsid w:val="00E94F67"/>
    <w:pPr>
      <w:spacing w:line="276" w:lineRule="auto"/>
    </w:pPr>
    <w:rPr>
      <w:rFonts w:eastAsia="Times New Roman" w:cs="Times New Roman"/>
      <w:sz w:val="14"/>
      <w:szCs w:val="14"/>
      <w:lang w:eastAsia="en-AU"/>
    </w:rPr>
  </w:style>
  <w:style w:type="character" w:customStyle="1" w:styleId="Mention1">
    <w:name w:val="Mention1"/>
    <w:basedOn w:val="DefaultParagraphFont"/>
    <w:uiPriority w:val="99"/>
    <w:unhideWhenUsed/>
    <w:rPr>
      <w:color w:val="2B579A"/>
      <w:shd w:val="clear" w:color="auto" w:fill="E6E6E6"/>
    </w:rPr>
  </w:style>
  <w:style w:type="paragraph" w:customStyle="1" w:styleId="Default">
    <w:name w:val="Default"/>
    <w:rsid w:val="000F5C1E"/>
    <w:pPr>
      <w:autoSpaceDE w:val="0"/>
      <w:autoSpaceDN w:val="0"/>
      <w:adjustRightInd w:val="0"/>
      <w:spacing w:after="0" w:line="240" w:lineRule="auto"/>
    </w:pPr>
    <w:rPr>
      <w:rFonts w:ascii="Calibri" w:hAnsi="Calibri" w:cs="Calibri"/>
      <w:color w:val="000000"/>
      <w:sz w:val="24"/>
      <w:szCs w:val="24"/>
    </w:rPr>
  </w:style>
  <w:style w:type="character" w:customStyle="1" w:styleId="author">
    <w:name w:val="author"/>
    <w:basedOn w:val="DefaultParagraphFont"/>
    <w:rsid w:val="00011AA3"/>
  </w:style>
  <w:style w:type="character" w:customStyle="1" w:styleId="pubyear">
    <w:name w:val="pubyear"/>
    <w:basedOn w:val="DefaultParagraphFont"/>
    <w:rsid w:val="00011AA3"/>
  </w:style>
  <w:style w:type="character" w:customStyle="1" w:styleId="articletitle">
    <w:name w:val="articletitle"/>
    <w:basedOn w:val="DefaultParagraphFont"/>
    <w:rsid w:val="00011AA3"/>
  </w:style>
  <w:style w:type="character" w:customStyle="1" w:styleId="vol">
    <w:name w:val="vol"/>
    <w:basedOn w:val="DefaultParagraphFont"/>
    <w:rsid w:val="00011AA3"/>
  </w:style>
  <w:style w:type="character" w:customStyle="1" w:styleId="citedissue">
    <w:name w:val="citedissue"/>
    <w:basedOn w:val="DefaultParagraphFont"/>
    <w:rsid w:val="00011AA3"/>
  </w:style>
  <w:style w:type="character" w:customStyle="1" w:styleId="highwire-cite-metadata-journal">
    <w:name w:val="highwire-cite-metadata-journal"/>
    <w:basedOn w:val="DefaultParagraphFont"/>
    <w:rsid w:val="00AA35FF"/>
  </w:style>
  <w:style w:type="character" w:customStyle="1" w:styleId="highwire-cite-metadata-date">
    <w:name w:val="highwire-cite-metadata-date"/>
    <w:basedOn w:val="DefaultParagraphFont"/>
    <w:rsid w:val="00AA35FF"/>
  </w:style>
  <w:style w:type="character" w:customStyle="1" w:styleId="highwire-cite-metadata-volume">
    <w:name w:val="highwire-cite-metadata-volume"/>
    <w:basedOn w:val="DefaultParagraphFont"/>
    <w:rsid w:val="00AA35FF"/>
  </w:style>
  <w:style w:type="character" w:customStyle="1" w:styleId="UnresolvedMention">
    <w:name w:val="Unresolved Mention"/>
    <w:basedOn w:val="DefaultParagraphFont"/>
    <w:uiPriority w:val="99"/>
    <w:unhideWhenUsed/>
    <w:rsid w:val="008C65B4"/>
    <w:rPr>
      <w:color w:val="605E5C"/>
      <w:shd w:val="clear" w:color="auto" w:fill="E1DFDD"/>
    </w:rPr>
  </w:style>
  <w:style w:type="paragraph" w:customStyle="1" w:styleId="EYBodytextwithparaspace">
    <w:name w:val="EY Body text (with para space)"/>
    <w:basedOn w:val="Normal"/>
    <w:link w:val="EYBodytextwithparaspaceChar"/>
    <w:uiPriority w:val="99"/>
    <w:qFormat/>
    <w:rsid w:val="00C43655"/>
    <w:pPr>
      <w:autoSpaceDE w:val="0"/>
      <w:autoSpaceDN w:val="0"/>
      <w:adjustRightInd w:val="0"/>
      <w:spacing w:after="240" w:line="240" w:lineRule="auto"/>
    </w:pPr>
    <w:rPr>
      <w:rFonts w:ascii="EYInterstate Light" w:eastAsia="Times New Roman" w:hAnsi="EYInterstate Light" w:cs="Times New Roman"/>
    </w:rPr>
  </w:style>
  <w:style w:type="paragraph" w:customStyle="1" w:styleId="EYBulletnoparaspace">
    <w:name w:val="EY Bullet (no para space)"/>
    <w:basedOn w:val="Normal"/>
    <w:uiPriority w:val="99"/>
    <w:qFormat/>
    <w:rsid w:val="00C43655"/>
    <w:pPr>
      <w:numPr>
        <w:numId w:val="10"/>
      </w:numPr>
      <w:spacing w:after="240" w:line="240" w:lineRule="auto"/>
      <w:contextualSpacing/>
    </w:pPr>
    <w:rPr>
      <w:rFonts w:ascii="EYInterstate Light" w:eastAsia="Times New Roman" w:hAnsi="EYInterstate Light" w:cs="Times New Roman"/>
      <w:szCs w:val="24"/>
    </w:rPr>
  </w:style>
  <w:style w:type="numbering" w:customStyle="1" w:styleId="EYPlainBulletList">
    <w:name w:val="EYPlainBulletList"/>
    <w:uiPriority w:val="99"/>
    <w:rsid w:val="00C43655"/>
    <w:pPr>
      <w:numPr>
        <w:numId w:val="8"/>
      </w:numPr>
    </w:pPr>
  </w:style>
  <w:style w:type="character" w:customStyle="1" w:styleId="Mention">
    <w:name w:val="Mention"/>
    <w:basedOn w:val="DefaultParagraphFont"/>
    <w:uiPriority w:val="99"/>
    <w:unhideWhenUsed/>
    <w:rsid w:val="006F1AF7"/>
    <w:rPr>
      <w:color w:val="2B579A"/>
      <w:shd w:val="clear" w:color="auto" w:fill="E6E6E6"/>
    </w:rPr>
  </w:style>
  <w:style w:type="character" w:styleId="Strong">
    <w:name w:val="Strong"/>
    <w:basedOn w:val="DefaultParagraphFont"/>
    <w:uiPriority w:val="22"/>
    <w:qFormat/>
    <w:rsid w:val="006F1AF7"/>
    <w:rPr>
      <w:b/>
      <w:bCs/>
    </w:rPr>
  </w:style>
  <w:style w:type="character" w:styleId="SubtleEmphasis">
    <w:name w:val="Subtle Emphasis"/>
    <w:basedOn w:val="DefaultParagraphFont"/>
    <w:uiPriority w:val="19"/>
    <w:qFormat/>
    <w:rsid w:val="006F1AF7"/>
    <w:rPr>
      <w:i/>
      <w:iCs/>
      <w:color w:val="404040" w:themeColor="text1" w:themeTint="BF"/>
    </w:rPr>
  </w:style>
  <w:style w:type="paragraph" w:customStyle="1" w:styleId="VHBAbody">
    <w:name w:val="VHBA body"/>
    <w:link w:val="VHBAbodyChar"/>
    <w:qFormat/>
    <w:rsid w:val="006F1AF7"/>
    <w:pPr>
      <w:spacing w:line="270" w:lineRule="atLeast"/>
    </w:pPr>
    <w:rPr>
      <w:rFonts w:ascii="Arial" w:eastAsia="Times" w:hAnsi="Arial" w:cs="Times New Roman"/>
      <w:color w:val="auto"/>
    </w:rPr>
  </w:style>
  <w:style w:type="paragraph" w:customStyle="1" w:styleId="VHBAtablecaption">
    <w:name w:val="VHBA table caption"/>
    <w:next w:val="VHBAbody"/>
    <w:uiPriority w:val="3"/>
    <w:qFormat/>
    <w:rsid w:val="006F1AF7"/>
    <w:pPr>
      <w:keepNext/>
      <w:keepLines/>
      <w:spacing w:before="240" w:line="240" w:lineRule="atLeast"/>
    </w:pPr>
    <w:rPr>
      <w:rFonts w:ascii="Arial" w:eastAsia="Times New Roman" w:hAnsi="Arial" w:cs="Times New Roman"/>
      <w:b/>
      <w:color w:val="auto"/>
    </w:rPr>
  </w:style>
  <w:style w:type="paragraph" w:customStyle="1" w:styleId="VHBAquotebullet1">
    <w:name w:val="VHBA quote bullet 1"/>
    <w:basedOn w:val="Normal"/>
    <w:uiPriority w:val="4"/>
    <w:rsid w:val="006F1AF7"/>
    <w:pPr>
      <w:spacing w:line="270" w:lineRule="atLeast"/>
      <w:ind w:left="1134" w:hanging="1134"/>
    </w:pPr>
    <w:rPr>
      <w:rFonts w:eastAsia="Times" w:cs="Times New Roman"/>
      <w:szCs w:val="18"/>
    </w:rPr>
  </w:style>
  <w:style w:type="paragraph" w:customStyle="1" w:styleId="VHBAquotebullet2">
    <w:name w:val="VHBA quote bullet 2"/>
    <w:basedOn w:val="Normal"/>
    <w:uiPriority w:val="4"/>
    <w:qFormat/>
    <w:rsid w:val="006F1AF7"/>
    <w:pPr>
      <w:spacing w:line="270" w:lineRule="atLeast"/>
      <w:ind w:left="1134" w:hanging="1134"/>
    </w:pPr>
    <w:rPr>
      <w:rFonts w:eastAsia="Times" w:cs="Times New Roman"/>
      <w:szCs w:val="18"/>
    </w:rPr>
  </w:style>
  <w:style w:type="character" w:customStyle="1" w:styleId="VHBAbodyChar">
    <w:name w:val="VHBA body Char"/>
    <w:basedOn w:val="DefaultParagraphFont"/>
    <w:link w:val="VHBAbody"/>
    <w:rsid w:val="006F1AF7"/>
    <w:rPr>
      <w:rFonts w:ascii="Arial" w:eastAsia="Times" w:hAnsi="Arial" w:cs="Times New Roman"/>
      <w:color w:val="auto"/>
    </w:rPr>
  </w:style>
  <w:style w:type="numbering" w:customStyle="1" w:styleId="ListHeadings">
    <w:name w:val="List Headings"/>
    <w:uiPriority w:val="99"/>
    <w:rsid w:val="006F1AF7"/>
    <w:pPr>
      <w:numPr>
        <w:numId w:val="9"/>
      </w:numPr>
    </w:pPr>
  </w:style>
  <w:style w:type="paragraph" w:customStyle="1" w:styleId="NumberedHeading1">
    <w:name w:val="Numbered Heading 1"/>
    <w:basedOn w:val="Heading1"/>
    <w:next w:val="VHBAbody"/>
    <w:uiPriority w:val="9"/>
    <w:qFormat/>
    <w:rsid w:val="006F1AF7"/>
    <w:pPr>
      <w:tabs>
        <w:tab w:val="left" w:pos="851"/>
      </w:tabs>
      <w:spacing w:before="360" w:after="240" w:line="240" w:lineRule="auto"/>
    </w:pPr>
    <w:rPr>
      <w:rFonts w:eastAsiaTheme="majorEastAsia" w:cstheme="majorBidi"/>
      <w:b w:val="0"/>
      <w:bCs/>
      <w:szCs w:val="32"/>
    </w:rPr>
  </w:style>
  <w:style w:type="paragraph" w:customStyle="1" w:styleId="NumberedHeading2">
    <w:name w:val="Numbered Heading 2"/>
    <w:basedOn w:val="Heading2"/>
    <w:next w:val="VHBAbody"/>
    <w:uiPriority w:val="9"/>
    <w:qFormat/>
    <w:rsid w:val="006F1AF7"/>
    <w:pPr>
      <w:tabs>
        <w:tab w:val="left" w:pos="851"/>
      </w:tabs>
      <w:spacing w:after="90" w:line="240" w:lineRule="auto"/>
    </w:pPr>
    <w:rPr>
      <w:color w:val="5C7281"/>
      <w:szCs w:val="26"/>
    </w:rPr>
  </w:style>
  <w:style w:type="paragraph" w:customStyle="1" w:styleId="NumberedHeading3">
    <w:name w:val="Numbered Heading 3"/>
    <w:basedOn w:val="Heading3"/>
    <w:next w:val="VHBAbody"/>
    <w:uiPriority w:val="9"/>
    <w:qFormat/>
    <w:rsid w:val="006F1AF7"/>
    <w:pPr>
      <w:tabs>
        <w:tab w:val="left" w:pos="851"/>
      </w:tabs>
      <w:spacing w:before="280" w:after="120" w:line="280" w:lineRule="atLeast"/>
    </w:pPr>
    <w:rPr>
      <w:rFonts w:eastAsia="MS Gothic" w:cs="Times New Roman"/>
      <w:b/>
      <w:bCs w:val="0"/>
      <w:szCs w:val="26"/>
    </w:rPr>
  </w:style>
  <w:style w:type="paragraph" w:customStyle="1" w:styleId="NumberedHeading4">
    <w:name w:val="Numbered Heading 4"/>
    <w:basedOn w:val="Heading4"/>
    <w:next w:val="VHBAbody"/>
    <w:link w:val="NumberedHeading4Char"/>
    <w:uiPriority w:val="9"/>
    <w:qFormat/>
    <w:rsid w:val="006F1AF7"/>
    <w:pPr>
      <w:keepLines/>
      <w:spacing w:line="240" w:lineRule="atLeast"/>
    </w:pPr>
    <w:rPr>
      <w:rFonts w:eastAsia="MS Mincho" w:cs="Times New Roman"/>
      <w:b/>
      <w:bCs/>
    </w:rPr>
  </w:style>
  <w:style w:type="character" w:customStyle="1" w:styleId="NumberedHeading4Char">
    <w:name w:val="Numbered Heading 4 Char"/>
    <w:basedOn w:val="Heading4Char"/>
    <w:link w:val="NumberedHeading4"/>
    <w:uiPriority w:val="9"/>
    <w:rsid w:val="006F1AF7"/>
    <w:rPr>
      <w:rFonts w:ascii="Arial" w:eastAsia="MS Mincho" w:hAnsi="Arial" w:cs="Times New Roman"/>
      <w:b/>
      <w:bCs/>
      <w:color w:val="A91117" w:themeColor="accent6"/>
      <w:sz w:val="22"/>
      <w:szCs w:val="24"/>
    </w:rPr>
  </w:style>
  <w:style w:type="table" w:customStyle="1" w:styleId="VHBATable1">
    <w:name w:val="VHBA Table 1"/>
    <w:basedOn w:val="TableNormal"/>
    <w:uiPriority w:val="99"/>
    <w:rsid w:val="006F1AF7"/>
    <w:pPr>
      <w:spacing w:after="0" w:line="240" w:lineRule="auto"/>
    </w:pPr>
    <w:rPr>
      <w:rFonts w:ascii="Arial" w:eastAsia="Times New Roman" w:hAnsi="Arial" w:cs="Times New Roman"/>
      <w:color w:val="auto"/>
      <w:sz w:val="16"/>
      <w:lang w:eastAsia="en-AU"/>
    </w:rPr>
    <w:tblPr/>
    <w:tblStylePr w:type="firstRow">
      <w:rPr>
        <w:rFonts w:ascii="Arial" w:hAnsi="Arial"/>
        <w:b/>
        <w:i w:val="0"/>
        <w:color w:val="FFFFFF" w:themeColor="background1"/>
        <w:sz w:val="20"/>
      </w:rPr>
      <w:tblPr/>
      <w:tcPr>
        <w:shd w:val="clear" w:color="auto" w:fill="A00024"/>
      </w:tcPr>
    </w:tblStylePr>
    <w:tblStylePr w:type="lastRow">
      <w:rPr>
        <w:rFonts w:ascii="Arial" w:hAnsi="Arial"/>
        <w:sz w:val="20"/>
      </w:rPr>
    </w:tblStylePr>
    <w:tblStylePr w:type="firstCol">
      <w:rPr>
        <w:rFonts w:ascii="Arial" w:hAnsi="Arial"/>
        <w:sz w:val="20"/>
      </w:rPr>
      <w:tblPr/>
      <w:tcPr>
        <w:shd w:val="clear" w:color="auto" w:fill="F3BA97" w:themeFill="accent4" w:themeFillTint="66"/>
      </w:tcPr>
    </w:tblStylePr>
    <w:tblStylePr w:type="lastCol">
      <w:rPr>
        <w:rFonts w:ascii="Arial" w:hAnsi="Arial"/>
        <w:sz w:val="20"/>
      </w:rPr>
    </w:tblStylePr>
  </w:style>
  <w:style w:type="paragraph" w:customStyle="1" w:styleId="VHHSBAtablecolhead">
    <w:name w:val="VHHSBA table col head"/>
    <w:uiPriority w:val="99"/>
    <w:qFormat/>
    <w:rsid w:val="006F1AF7"/>
    <w:pPr>
      <w:keepNext/>
      <w:keepLines/>
      <w:spacing w:before="80" w:after="60" w:line="240" w:lineRule="auto"/>
    </w:pPr>
    <w:rPr>
      <w:rFonts w:ascii="Arial" w:eastAsia="Arial" w:hAnsi="Arial" w:cs="Times New Roman"/>
      <w:b/>
      <w:iCs/>
      <w:color w:val="FFFFFF"/>
      <w:szCs w:val="24"/>
    </w:rPr>
  </w:style>
  <w:style w:type="paragraph" w:customStyle="1" w:styleId="VHHSBAbodyaftertablefigure">
    <w:name w:val="VHHSBA body after table/figure"/>
    <w:basedOn w:val="Normal"/>
    <w:next w:val="Normal"/>
    <w:uiPriority w:val="99"/>
    <w:qFormat/>
    <w:rsid w:val="006F1AF7"/>
    <w:pPr>
      <w:spacing w:before="240" w:line="270" w:lineRule="atLeast"/>
    </w:pPr>
    <w:rPr>
      <w:rFonts w:eastAsia="Times" w:cs="Times New Roman"/>
    </w:rPr>
  </w:style>
  <w:style w:type="paragraph" w:customStyle="1" w:styleId="VHHSBAbody">
    <w:name w:val="VHHSBA body"/>
    <w:uiPriority w:val="99"/>
    <w:qFormat/>
    <w:rsid w:val="006F1AF7"/>
    <w:pPr>
      <w:spacing w:line="270" w:lineRule="atLeast"/>
    </w:pPr>
    <w:rPr>
      <w:rFonts w:ascii="Arial" w:eastAsia="Times" w:hAnsi="Arial" w:cs="Times New Roman"/>
      <w:color w:val="auto"/>
    </w:rPr>
  </w:style>
  <w:style w:type="paragraph" w:customStyle="1" w:styleId="UpdatedBody">
    <w:name w:val="Updated_Body"/>
    <w:basedOn w:val="Normal"/>
    <w:uiPriority w:val="99"/>
    <w:qFormat/>
    <w:rsid w:val="006F1AF7"/>
    <w:pPr>
      <w:spacing w:before="120"/>
    </w:pPr>
    <w:rPr>
      <w:rFonts w:ascii="Source Sans Pro" w:hAnsi="Source Sans Pro"/>
      <w:color w:val="000000" w:themeColor="text1"/>
      <w:lang w:val="en-GB"/>
    </w:rPr>
  </w:style>
  <w:style w:type="table" w:customStyle="1" w:styleId="TableGridDHHSblue1">
    <w:name w:val="Table Grid DHHS blue1"/>
    <w:basedOn w:val="TableNormal"/>
    <w:uiPriority w:val="59"/>
    <w:rsid w:val="006F1AF7"/>
    <w:pPr>
      <w:spacing w:after="0" w:line="240" w:lineRule="auto"/>
    </w:pPr>
    <w:rPr>
      <w:rFonts w:ascii="Arial" w:eastAsia="Times New Roman" w:hAnsi="Arial" w:cs="Times New Roman"/>
      <w:color w:val="auto"/>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74BC"/>
      </w:tcPr>
    </w:tblStylePr>
  </w:style>
  <w:style w:type="paragraph" w:customStyle="1" w:styleId="Documentsubtitle">
    <w:name w:val="Document subtitle"/>
    <w:basedOn w:val="Normal"/>
    <w:uiPriority w:val="7"/>
    <w:rsid w:val="006F1AF7"/>
    <w:pPr>
      <w:spacing w:line="440" w:lineRule="atLeast"/>
    </w:pPr>
    <w:rPr>
      <w:rFonts w:ascii="Verdana" w:hAnsi="Verdana"/>
      <w:color w:val="000000"/>
      <w:sz w:val="28"/>
      <w:szCs w:val="18"/>
    </w:rPr>
  </w:style>
  <w:style w:type="character" w:customStyle="1" w:styleId="Heading1Char1">
    <w:name w:val="Heading 1 Char1"/>
    <w:aliases w:val="1.Heading 1 Char1"/>
    <w:basedOn w:val="DefaultParagraphFont"/>
    <w:uiPriority w:val="1"/>
    <w:rsid w:val="006F1AF7"/>
    <w:rPr>
      <w:rFonts w:asciiTheme="majorHAnsi" w:eastAsiaTheme="majorEastAsia" w:hAnsiTheme="majorHAnsi" w:cstheme="majorBidi"/>
      <w:color w:val="1B232C" w:themeColor="accent1" w:themeShade="BF"/>
      <w:sz w:val="32"/>
      <w:szCs w:val="32"/>
    </w:rPr>
  </w:style>
  <w:style w:type="paragraph" w:customStyle="1" w:styleId="msonormal0">
    <w:name w:val="msonormal"/>
    <w:basedOn w:val="Normal"/>
    <w:uiPriority w:val="99"/>
    <w:semiHidden/>
    <w:rsid w:val="006F1A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otnoteTextChar1">
    <w:name w:val="Footnote Text Char1"/>
    <w:aliases w:val="Footnote Text Char1 Char Char1,Footnote Text Char Char1 Char Char1,Footnote Text Char Char Char Char Char1 Char1,Char Char Char1,Footnote Text Char Char Char Char2,Footnote Text Char Char Char Char Char2,fn Char1,FT Char1,ft Char1"/>
    <w:basedOn w:val="DefaultParagraphFont"/>
    <w:uiPriority w:val="99"/>
    <w:semiHidden/>
    <w:rsid w:val="006F1AF7"/>
    <w:rPr>
      <w:color w:val="262626" w:themeColor="text1" w:themeTint="D9"/>
      <w:sz w:val="20"/>
      <w:szCs w:val="20"/>
    </w:rPr>
  </w:style>
  <w:style w:type="table" w:customStyle="1" w:styleId="TableGrid2">
    <w:name w:val="Table Grid2"/>
    <w:basedOn w:val="TableNormal"/>
    <w:next w:val="TableGrid"/>
    <w:uiPriority w:val="39"/>
    <w:rsid w:val="00D6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7412A4"/>
    <w:pPr>
      <w:spacing w:line="276" w:lineRule="auto"/>
    </w:pPr>
    <w:rPr>
      <w:rFonts w:ascii="Cambria" w:hAnsi="Cambria"/>
      <w:color w:val="auto"/>
      <w:sz w:val="18"/>
      <w:szCs w:val="18"/>
    </w:rPr>
  </w:style>
  <w:style w:type="character" w:customStyle="1" w:styleId="Heading7Char">
    <w:name w:val="Heading 7 Char"/>
    <w:basedOn w:val="DefaultParagraphFont"/>
    <w:link w:val="Heading7"/>
    <w:uiPriority w:val="9"/>
    <w:semiHidden/>
    <w:rsid w:val="0030750F"/>
    <w:rPr>
      <w:rFonts w:asciiTheme="majorHAnsi" w:eastAsiaTheme="majorEastAsia" w:hAnsiTheme="majorHAnsi" w:cstheme="majorBidi"/>
      <w:i/>
      <w:iCs/>
      <w:color w:val="12171D" w:themeColor="accent1" w:themeShade="7F"/>
      <w:sz w:val="22"/>
      <w:szCs w:val="22"/>
    </w:rPr>
  </w:style>
  <w:style w:type="character" w:customStyle="1" w:styleId="Heading8Char">
    <w:name w:val="Heading 8 Char"/>
    <w:basedOn w:val="DefaultParagraphFont"/>
    <w:link w:val="Heading8"/>
    <w:uiPriority w:val="9"/>
    <w:semiHidden/>
    <w:rsid w:val="003075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750F"/>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024689"/>
    <w:pPr>
      <w:spacing w:before="100" w:beforeAutospacing="1" w:after="100" w:afterAutospacing="1" w:line="240" w:lineRule="auto"/>
    </w:pPr>
    <w:rPr>
      <w:rFonts w:ascii="Times New Roman" w:hAnsi="Times New Roman" w:cs="Times New Roman"/>
      <w:sz w:val="24"/>
      <w:szCs w:val="24"/>
      <w:lang w:eastAsia="en-AU"/>
    </w:rPr>
  </w:style>
  <w:style w:type="paragraph" w:customStyle="1" w:styleId="SWABullets">
    <w:name w:val="SWA Bullets"/>
    <w:basedOn w:val="Normal"/>
    <w:qFormat/>
    <w:locked/>
    <w:rsid w:val="00FC2B11"/>
    <w:pPr>
      <w:numPr>
        <w:numId w:val="13"/>
      </w:numPr>
      <w:overflowPunct w:val="0"/>
      <w:autoSpaceDE w:val="0"/>
      <w:autoSpaceDN w:val="0"/>
      <w:adjustRightInd w:val="0"/>
      <w:spacing w:after="0" w:line="240" w:lineRule="auto"/>
      <w:textAlignment w:val="baseline"/>
    </w:pPr>
    <w:rPr>
      <w:rFonts w:eastAsia="Times New Roman" w:cs="Times New Roman"/>
      <w:lang w:eastAsia="en-AU"/>
    </w:rPr>
  </w:style>
  <w:style w:type="paragraph" w:customStyle="1" w:styleId="Normalbeforebullets">
    <w:name w:val="Normal before bullets"/>
    <w:basedOn w:val="Normal"/>
    <w:uiPriority w:val="99"/>
    <w:qFormat/>
    <w:rsid w:val="00BE2E18"/>
    <w:pPr>
      <w:spacing w:before="120" w:line="240" w:lineRule="auto"/>
    </w:pPr>
    <w:rPr>
      <w:rFonts w:eastAsia="Times New Roman" w:cs="Times New Roman"/>
      <w:szCs w:val="24"/>
      <w:lang w:eastAsia="en-AU"/>
    </w:rPr>
  </w:style>
  <w:style w:type="paragraph" w:styleId="Bibliography">
    <w:name w:val="Bibliography"/>
    <w:basedOn w:val="Normal"/>
    <w:next w:val="Normal"/>
    <w:uiPriority w:val="37"/>
    <w:unhideWhenUsed/>
    <w:rsid w:val="006B4A7D"/>
    <w:pPr>
      <w:spacing w:after="240" w:line="240" w:lineRule="auto"/>
    </w:pPr>
  </w:style>
  <w:style w:type="table" w:styleId="PlainTable4">
    <w:name w:val="Plain Table 4"/>
    <w:basedOn w:val="TableNormal"/>
    <w:uiPriority w:val="44"/>
    <w:rsid w:val="00865859"/>
    <w:pPr>
      <w:spacing w:after="0" w:line="240" w:lineRule="auto"/>
    </w:pPr>
    <w:rPr>
      <w:color w:val="auto"/>
      <w:sz w:val="22"/>
      <w:szCs w:val="22"/>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Number">
    <w:name w:val="List Number"/>
    <w:basedOn w:val="Normal"/>
    <w:uiPriority w:val="99"/>
    <w:semiHidden/>
    <w:unhideWhenUsed/>
    <w:rsid w:val="00272CD9"/>
    <w:pPr>
      <w:numPr>
        <w:numId w:val="14"/>
      </w:numPr>
      <w:contextualSpacing/>
    </w:pPr>
  </w:style>
  <w:style w:type="paragraph" w:styleId="EndnoteText">
    <w:name w:val="endnote text"/>
    <w:basedOn w:val="Normal"/>
    <w:link w:val="EndnoteTextChar"/>
    <w:uiPriority w:val="99"/>
    <w:semiHidden/>
    <w:unhideWhenUsed/>
    <w:rsid w:val="009919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19E3"/>
    <w:rPr>
      <w:color w:val="auto"/>
    </w:rPr>
  </w:style>
  <w:style w:type="character" w:styleId="EndnoteReference">
    <w:name w:val="endnote reference"/>
    <w:basedOn w:val="DefaultParagraphFont"/>
    <w:uiPriority w:val="99"/>
    <w:semiHidden/>
    <w:unhideWhenUsed/>
    <w:rsid w:val="009919E3"/>
    <w:rPr>
      <w:vertAlign w:val="superscript"/>
    </w:rPr>
  </w:style>
  <w:style w:type="paragraph" w:customStyle="1" w:styleId="IAListbullet2">
    <w:name w:val="IA List bullet 2"/>
    <w:basedOn w:val="ListBullet"/>
    <w:link w:val="IAListbullet2Char"/>
    <w:qFormat/>
    <w:rsid w:val="00050058"/>
    <w:pPr>
      <w:numPr>
        <w:ilvl w:val="1"/>
        <w:numId w:val="44"/>
      </w:numPr>
      <w:ind w:left="357" w:hanging="357"/>
    </w:pPr>
    <w:rPr>
      <w:szCs w:val="22"/>
    </w:rPr>
  </w:style>
  <w:style w:type="character" w:customStyle="1" w:styleId="ListBulletChar">
    <w:name w:val="List Bullet Char"/>
    <w:aliases w:val="IA List Bullet Char"/>
    <w:basedOn w:val="DefaultParagraphFont"/>
    <w:link w:val="ListBullet"/>
    <w:uiPriority w:val="3"/>
    <w:rsid w:val="001B44C4"/>
    <w:rPr>
      <w:rFonts w:ascii="Arial" w:hAnsi="Arial"/>
      <w:color w:val="auto"/>
      <w:sz w:val="22"/>
      <w:szCs w:val="17"/>
    </w:rPr>
  </w:style>
  <w:style w:type="character" w:customStyle="1" w:styleId="IAListbullet2Char">
    <w:name w:val="IA List bullet 2 Char"/>
    <w:basedOn w:val="ListBulletChar"/>
    <w:link w:val="IAListbullet2"/>
    <w:rsid w:val="00050058"/>
    <w:rPr>
      <w:rFonts w:ascii="Arial" w:hAnsi="Arial"/>
      <w:color w:val="auto"/>
      <w:sz w:val="22"/>
      <w:szCs w:val="22"/>
    </w:rPr>
  </w:style>
  <w:style w:type="paragraph" w:customStyle="1" w:styleId="Heading1numbered">
    <w:name w:val="Heading 1 numbered"/>
    <w:basedOn w:val="Heading1"/>
    <w:next w:val="NormalIndent"/>
    <w:uiPriority w:val="8"/>
    <w:qFormat/>
    <w:rsid w:val="002E5A3A"/>
    <w:pPr>
      <w:numPr>
        <w:ilvl w:val="2"/>
        <w:numId w:val="16"/>
      </w:numPr>
      <w:spacing w:before="360" w:after="120" w:line="276" w:lineRule="auto"/>
    </w:pPr>
    <w:rPr>
      <w:rFonts w:eastAsiaTheme="majorEastAsia" w:cstheme="majorBidi"/>
      <w:bCs/>
      <w:szCs w:val="28"/>
      <w:lang w:eastAsia="en-AU"/>
    </w:rPr>
  </w:style>
  <w:style w:type="paragraph" w:customStyle="1" w:styleId="Heading2numbered">
    <w:name w:val="Heading 2 numbered"/>
    <w:basedOn w:val="Heading2"/>
    <w:next w:val="NormalIndent"/>
    <w:uiPriority w:val="8"/>
    <w:qFormat/>
    <w:rsid w:val="002E5A3A"/>
    <w:pPr>
      <w:numPr>
        <w:ilvl w:val="3"/>
        <w:numId w:val="16"/>
      </w:numPr>
      <w:spacing w:before="280" w:after="120"/>
    </w:pPr>
    <w:rPr>
      <w:bCs/>
      <w:szCs w:val="26"/>
      <w:lang w:eastAsia="en-AU"/>
    </w:rPr>
  </w:style>
  <w:style w:type="paragraph" w:customStyle="1" w:styleId="Heading3numbered">
    <w:name w:val="Heading 3 numbered"/>
    <w:basedOn w:val="Heading3"/>
    <w:next w:val="NormalIndent"/>
    <w:uiPriority w:val="8"/>
    <w:qFormat/>
    <w:rsid w:val="00500EAC"/>
    <w:pPr>
      <w:numPr>
        <w:ilvl w:val="4"/>
        <w:numId w:val="16"/>
      </w:numPr>
      <w:tabs>
        <w:tab w:val="clear" w:pos="792"/>
        <w:tab w:val="num" w:pos="360"/>
      </w:tabs>
      <w:spacing w:after="120" w:line="264" w:lineRule="auto"/>
      <w:ind w:left="0" w:firstLine="0"/>
    </w:pPr>
    <w:rPr>
      <w:b/>
      <w:color w:val="auto"/>
      <w:szCs w:val="24"/>
    </w:rPr>
  </w:style>
  <w:style w:type="paragraph" w:customStyle="1" w:styleId="Heading4numbered">
    <w:name w:val="Heading 4 numbered"/>
    <w:basedOn w:val="Heading4"/>
    <w:next w:val="NormalIndent"/>
    <w:uiPriority w:val="8"/>
    <w:qFormat/>
    <w:rsid w:val="003B5178"/>
    <w:pPr>
      <w:keepLines/>
      <w:numPr>
        <w:ilvl w:val="5"/>
        <w:numId w:val="16"/>
      </w:numPr>
      <w:tabs>
        <w:tab w:val="clear" w:pos="792"/>
        <w:tab w:val="num" w:pos="851"/>
      </w:tabs>
      <w:spacing w:before="200"/>
      <w:ind w:left="0" w:firstLine="0"/>
    </w:pPr>
    <w:rPr>
      <w:rFonts w:eastAsiaTheme="majorEastAsia" w:cstheme="majorBidi"/>
      <w:bCs/>
      <w:i/>
      <w:iCs/>
      <w:color w:val="auto"/>
      <w:szCs w:val="22"/>
      <w:lang w:eastAsia="en-AU"/>
    </w:rPr>
  </w:style>
  <w:style w:type="paragraph" w:customStyle="1" w:styleId="Listnumindent2">
    <w:name w:val="List num indent 2"/>
    <w:basedOn w:val="Normal"/>
    <w:uiPriority w:val="9"/>
    <w:qFormat/>
    <w:rsid w:val="002E5A3A"/>
    <w:pPr>
      <w:numPr>
        <w:ilvl w:val="7"/>
        <w:numId w:val="16"/>
      </w:numPr>
      <w:spacing w:before="100" w:after="120" w:line="264" w:lineRule="auto"/>
      <w:contextualSpacing/>
    </w:pPr>
    <w:rPr>
      <w:rFonts w:eastAsiaTheme="minorEastAsia"/>
      <w:color w:val="000000" w:themeColor="text1"/>
      <w:sz w:val="20"/>
      <w:szCs w:val="20"/>
      <w:lang w:eastAsia="en-AU"/>
    </w:rPr>
  </w:style>
  <w:style w:type="paragraph" w:customStyle="1" w:styleId="Listnumindent">
    <w:name w:val="List num indent"/>
    <w:basedOn w:val="Normal"/>
    <w:link w:val="ListnumindentChar"/>
    <w:uiPriority w:val="9"/>
    <w:qFormat/>
    <w:rsid w:val="002E5A3A"/>
    <w:pPr>
      <w:numPr>
        <w:ilvl w:val="6"/>
        <w:numId w:val="16"/>
      </w:numPr>
      <w:spacing w:before="100" w:after="120" w:line="264" w:lineRule="auto"/>
    </w:pPr>
    <w:rPr>
      <w:rFonts w:eastAsiaTheme="minorEastAsia"/>
      <w:color w:val="000000" w:themeColor="text1"/>
      <w:sz w:val="20"/>
      <w:szCs w:val="20"/>
      <w:lang w:eastAsia="en-AU"/>
    </w:rPr>
  </w:style>
  <w:style w:type="paragraph" w:customStyle="1" w:styleId="Listnum">
    <w:name w:val="List num"/>
    <w:basedOn w:val="Normal"/>
    <w:uiPriority w:val="1"/>
    <w:qFormat/>
    <w:rsid w:val="002E5A3A"/>
    <w:pPr>
      <w:numPr>
        <w:numId w:val="16"/>
      </w:numPr>
      <w:spacing w:before="120" w:after="120" w:line="264" w:lineRule="auto"/>
    </w:pPr>
    <w:rPr>
      <w:rFonts w:eastAsiaTheme="minorEastAsia"/>
      <w:color w:val="000000" w:themeColor="text1"/>
      <w:sz w:val="20"/>
      <w:szCs w:val="20"/>
      <w:lang w:eastAsia="en-AU"/>
    </w:rPr>
  </w:style>
  <w:style w:type="paragraph" w:customStyle="1" w:styleId="Listnum2">
    <w:name w:val="List num 2"/>
    <w:basedOn w:val="Normal"/>
    <w:uiPriority w:val="1"/>
    <w:qFormat/>
    <w:rsid w:val="002E5A3A"/>
    <w:pPr>
      <w:numPr>
        <w:ilvl w:val="1"/>
        <w:numId w:val="16"/>
      </w:numPr>
      <w:spacing w:before="120" w:after="120" w:line="264" w:lineRule="auto"/>
    </w:pPr>
    <w:rPr>
      <w:rFonts w:eastAsiaTheme="minorEastAsia"/>
      <w:color w:val="000000" w:themeColor="text1"/>
      <w:sz w:val="20"/>
      <w:szCs w:val="20"/>
      <w:lang w:eastAsia="en-AU"/>
    </w:rPr>
  </w:style>
  <w:style w:type="paragraph" w:customStyle="1" w:styleId="Numparaindent">
    <w:name w:val="Num para indent"/>
    <w:basedOn w:val="Normal"/>
    <w:uiPriority w:val="9"/>
    <w:qFormat/>
    <w:rsid w:val="002E5A3A"/>
    <w:pPr>
      <w:numPr>
        <w:ilvl w:val="8"/>
        <w:numId w:val="16"/>
      </w:numPr>
      <w:spacing w:before="120" w:after="120" w:line="264" w:lineRule="auto"/>
      <w:contextualSpacing/>
    </w:pPr>
    <w:rPr>
      <w:rFonts w:eastAsiaTheme="minorEastAsia"/>
      <w:color w:val="000000" w:themeColor="text1"/>
      <w:sz w:val="20"/>
      <w:szCs w:val="20"/>
      <w:lang w:eastAsia="en-AU"/>
    </w:rPr>
  </w:style>
  <w:style w:type="paragraph" w:styleId="NormalIndent">
    <w:name w:val="Normal Indent"/>
    <w:basedOn w:val="Normal"/>
    <w:uiPriority w:val="99"/>
    <w:unhideWhenUsed/>
    <w:rsid w:val="002E5A3A"/>
    <w:pPr>
      <w:ind w:left="720"/>
    </w:pPr>
  </w:style>
  <w:style w:type="character" w:customStyle="1" w:styleId="EYBodytextwithparaspaceChar">
    <w:name w:val="EY Body text (with para space) Char"/>
    <w:basedOn w:val="DefaultParagraphFont"/>
    <w:link w:val="EYBodytextwithparaspace"/>
    <w:uiPriority w:val="99"/>
    <w:rsid w:val="002E5A3A"/>
    <w:rPr>
      <w:rFonts w:ascii="EYInterstate Light" w:eastAsia="Times New Roman" w:hAnsi="EYInterstate Light" w:cs="Times New Roman"/>
      <w:color w:val="auto"/>
      <w:sz w:val="22"/>
      <w:szCs w:val="22"/>
    </w:rPr>
  </w:style>
  <w:style w:type="numbering" w:customStyle="1" w:styleId="NoList1">
    <w:name w:val="No List1"/>
    <w:next w:val="NoList"/>
    <w:uiPriority w:val="99"/>
    <w:semiHidden/>
    <w:unhideWhenUsed/>
    <w:rsid w:val="00150A13"/>
  </w:style>
  <w:style w:type="table" w:customStyle="1" w:styleId="TableGrid3">
    <w:name w:val="Table Grid3"/>
    <w:basedOn w:val="TableNormal"/>
    <w:next w:val="TableGrid"/>
    <w:uiPriority w:val="39"/>
    <w:rsid w:val="0015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MCDefaultTableStyle1">
    <w:name w:val="PMC Default Table Style1"/>
    <w:basedOn w:val="TableNormal"/>
    <w:uiPriority w:val="99"/>
    <w:rsid w:val="00150A13"/>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table" w:customStyle="1" w:styleId="PMCTableStyle21">
    <w:name w:val="PMC Table Style 21"/>
    <w:basedOn w:val="TableNormal"/>
    <w:uiPriority w:val="99"/>
    <w:rsid w:val="00150A13"/>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table" w:customStyle="1" w:styleId="Clear1">
    <w:name w:val="Clear1"/>
    <w:basedOn w:val="TableNormal"/>
    <w:uiPriority w:val="99"/>
    <w:rsid w:val="00150A13"/>
    <w:pPr>
      <w:spacing w:after="0" w:line="240" w:lineRule="auto"/>
    </w:pPr>
    <w:rPr>
      <w:color w:val="014463" w:themeColor="text2"/>
      <w:szCs w:val="18"/>
    </w:rPr>
    <w:tblPr>
      <w:tblCellMar>
        <w:left w:w="0" w:type="dxa"/>
        <w:right w:w="0" w:type="dxa"/>
      </w:tblCellMar>
    </w:tblPr>
  </w:style>
  <w:style w:type="table" w:customStyle="1" w:styleId="TableGrid11">
    <w:name w:val="Table Grid11"/>
    <w:basedOn w:val="TableNormal"/>
    <w:next w:val="TableGrid"/>
    <w:uiPriority w:val="39"/>
    <w:rsid w:val="00150A13"/>
    <w:pPr>
      <w:spacing w:before="60" w:after="60" w:line="240" w:lineRule="auto"/>
    </w:pPr>
    <w:rPr>
      <w:rFonts w:ascii="Arial" w:hAnsi="Arial"/>
      <w:color w:val="auto"/>
      <w:szCs w:val="22"/>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numbering" w:customStyle="1" w:styleId="EYPlainBulletList1">
    <w:name w:val="EYPlainBulletList1"/>
    <w:uiPriority w:val="99"/>
    <w:rsid w:val="00150A13"/>
  </w:style>
  <w:style w:type="numbering" w:customStyle="1" w:styleId="ListHeadings1">
    <w:name w:val="List Headings1"/>
    <w:uiPriority w:val="99"/>
    <w:rsid w:val="00150A13"/>
  </w:style>
  <w:style w:type="table" w:customStyle="1" w:styleId="VHBATable11">
    <w:name w:val="VHBA Table 11"/>
    <w:basedOn w:val="TableNormal"/>
    <w:uiPriority w:val="99"/>
    <w:rsid w:val="00150A13"/>
    <w:pPr>
      <w:spacing w:after="0" w:line="240" w:lineRule="auto"/>
    </w:pPr>
    <w:rPr>
      <w:rFonts w:ascii="Arial" w:eastAsia="Times New Roman" w:hAnsi="Arial" w:cs="Times New Roman"/>
      <w:color w:val="auto"/>
      <w:sz w:val="16"/>
      <w:lang w:eastAsia="en-AU"/>
    </w:rPr>
    <w:tblPr/>
    <w:tblStylePr w:type="firstRow">
      <w:rPr>
        <w:rFonts w:ascii="Arial" w:hAnsi="Arial"/>
        <w:b/>
        <w:i w:val="0"/>
        <w:color w:val="FFFFFF" w:themeColor="background1"/>
        <w:sz w:val="20"/>
      </w:rPr>
      <w:tblPr/>
      <w:tcPr>
        <w:shd w:val="clear" w:color="auto" w:fill="A00024"/>
      </w:tcPr>
    </w:tblStylePr>
    <w:tblStylePr w:type="lastRow">
      <w:rPr>
        <w:rFonts w:ascii="Arial" w:hAnsi="Arial"/>
        <w:sz w:val="20"/>
      </w:rPr>
    </w:tblStylePr>
    <w:tblStylePr w:type="firstCol">
      <w:rPr>
        <w:rFonts w:ascii="Arial" w:hAnsi="Arial"/>
        <w:sz w:val="20"/>
      </w:rPr>
      <w:tblPr/>
      <w:tcPr>
        <w:shd w:val="clear" w:color="auto" w:fill="F3BA97" w:themeFill="accent4" w:themeFillTint="66"/>
      </w:tcPr>
    </w:tblStylePr>
    <w:tblStylePr w:type="lastCol">
      <w:rPr>
        <w:rFonts w:ascii="Arial" w:hAnsi="Arial"/>
        <w:sz w:val="20"/>
      </w:rPr>
    </w:tblStylePr>
  </w:style>
  <w:style w:type="table" w:customStyle="1" w:styleId="TableGridDHHSblue11">
    <w:name w:val="Table Grid DHHS blue11"/>
    <w:basedOn w:val="TableNormal"/>
    <w:uiPriority w:val="59"/>
    <w:rsid w:val="00150A13"/>
    <w:pPr>
      <w:spacing w:after="0" w:line="240" w:lineRule="auto"/>
    </w:pPr>
    <w:rPr>
      <w:rFonts w:ascii="Arial" w:eastAsia="Times New Roman" w:hAnsi="Arial" w:cs="Times New Roman"/>
      <w:color w:val="auto"/>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74BC"/>
      </w:tcPr>
    </w:tblStylePr>
  </w:style>
  <w:style w:type="table" w:customStyle="1" w:styleId="TableGrid21">
    <w:name w:val="Table Grid21"/>
    <w:basedOn w:val="TableNormal"/>
    <w:next w:val="TableGrid"/>
    <w:uiPriority w:val="39"/>
    <w:rsid w:val="0015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150A13"/>
    <w:pPr>
      <w:spacing w:after="0" w:line="240" w:lineRule="auto"/>
    </w:pPr>
    <w:rPr>
      <w:color w:val="auto"/>
      <w:sz w:val="22"/>
      <w:szCs w:val="22"/>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ingSWA">
    <w:name w:val="Numbering SWA"/>
    <w:basedOn w:val="Normal"/>
    <w:qFormat/>
    <w:rsid w:val="00EC1F15"/>
    <w:pPr>
      <w:numPr>
        <w:numId w:val="18"/>
      </w:numPr>
      <w:spacing w:after="120" w:line="240" w:lineRule="exact"/>
    </w:pPr>
    <w:rPr>
      <w:rFonts w:cs="Arial"/>
      <w:color w:val="404040" w:themeColor="text1" w:themeTint="BF"/>
      <w:sz w:val="20"/>
      <w:szCs w:val="20"/>
    </w:rPr>
  </w:style>
  <w:style w:type="paragraph" w:customStyle="1" w:styleId="MBPoint">
    <w:name w:val="MB Point"/>
    <w:basedOn w:val="ListParagraph"/>
    <w:qFormat/>
    <w:rsid w:val="00DB2AD9"/>
    <w:pPr>
      <w:numPr>
        <w:numId w:val="19"/>
      </w:numPr>
      <w:spacing w:after="60" w:line="240" w:lineRule="auto"/>
      <w:contextualSpacing w:val="0"/>
    </w:pPr>
    <w:rPr>
      <w:rFonts w:ascii="Times New Roman" w:hAnsi="Times New Roman" w:cs="Times New Roman"/>
      <w:sz w:val="24"/>
      <w:szCs w:val="24"/>
    </w:rPr>
  </w:style>
  <w:style w:type="paragraph" w:customStyle="1" w:styleId="MBPointSub">
    <w:name w:val="MB Point Sub"/>
    <w:basedOn w:val="ListParagraph"/>
    <w:qFormat/>
    <w:rsid w:val="00982F8D"/>
    <w:pPr>
      <w:numPr>
        <w:ilvl w:val="2"/>
        <w:numId w:val="19"/>
      </w:numPr>
      <w:spacing w:after="120" w:line="240" w:lineRule="auto"/>
      <w:contextualSpacing w:val="0"/>
    </w:pPr>
    <w:rPr>
      <w:rFonts w:cstheme="minorHAnsi"/>
    </w:rPr>
  </w:style>
  <w:style w:type="paragraph" w:customStyle="1" w:styleId="MBNumbering">
    <w:name w:val="MB Numbering"/>
    <w:basedOn w:val="MBPoint"/>
    <w:rsid w:val="00982F8D"/>
    <w:pPr>
      <w:spacing w:after="120"/>
    </w:pPr>
    <w:rPr>
      <w:rFonts w:asciiTheme="minorHAnsi" w:hAnsiTheme="minorHAnsi" w:cstheme="minorHAnsi"/>
      <w:sz w:val="22"/>
      <w:szCs w:val="22"/>
    </w:rPr>
  </w:style>
  <w:style w:type="character" w:customStyle="1" w:styleId="Bulletpointslvl1Char">
    <w:name w:val="Bullet points lvl 1 Char"/>
    <w:basedOn w:val="DefaultParagraphFont"/>
    <w:link w:val="Bulletpointslvl1"/>
    <w:locked/>
    <w:rsid w:val="00BD4092"/>
    <w:rPr>
      <w:rFonts w:ascii="Arial" w:hAnsi="Arial"/>
    </w:rPr>
  </w:style>
  <w:style w:type="paragraph" w:customStyle="1" w:styleId="Bulletpointslvl1">
    <w:name w:val="Bullet points lvl 1"/>
    <w:basedOn w:val="Normal"/>
    <w:link w:val="Bulletpointslvl1Char"/>
    <w:rsid w:val="00BD4092"/>
    <w:pPr>
      <w:numPr>
        <w:numId w:val="29"/>
      </w:numPr>
      <w:spacing w:after="120" w:line="276" w:lineRule="auto"/>
      <w:ind w:left="357" w:hanging="357"/>
    </w:pPr>
    <w:rPr>
      <w:color w:val="262626" w:themeColor="text1" w:themeTint="D9"/>
      <w:sz w:val="20"/>
      <w:szCs w:val="20"/>
    </w:rPr>
  </w:style>
  <w:style w:type="character" w:customStyle="1" w:styleId="Bulletpointslvl2Char">
    <w:name w:val="Bullet points lvl 2 Char"/>
    <w:basedOn w:val="DefaultParagraphFont"/>
    <w:link w:val="Bulletpointslvl2"/>
    <w:locked/>
    <w:rsid w:val="00BD4092"/>
    <w:rPr>
      <w:rFonts w:ascii="Calibri" w:hAnsi="Calibri" w:cs="Calibri"/>
    </w:rPr>
  </w:style>
  <w:style w:type="paragraph" w:customStyle="1" w:styleId="Bulletpointslvl2">
    <w:name w:val="Bullet points lvl 2"/>
    <w:basedOn w:val="Normal"/>
    <w:link w:val="Bulletpointslvl2Char"/>
    <w:rsid w:val="00BD4092"/>
    <w:pPr>
      <w:numPr>
        <w:ilvl w:val="1"/>
        <w:numId w:val="30"/>
      </w:numPr>
      <w:spacing w:after="120" w:line="276" w:lineRule="auto"/>
      <w:ind w:left="811" w:hanging="357"/>
    </w:pPr>
    <w:rPr>
      <w:rFonts w:ascii="Calibri" w:hAnsi="Calibri" w:cs="Calibri"/>
      <w:color w:val="262626" w:themeColor="text1" w:themeTint="D9"/>
      <w:sz w:val="20"/>
      <w:szCs w:val="20"/>
    </w:rPr>
  </w:style>
  <w:style w:type="paragraph" w:customStyle="1" w:styleId="BulletsSWA">
    <w:name w:val="Bullets SWA"/>
    <w:basedOn w:val="Normal"/>
    <w:rsid w:val="00C41403"/>
    <w:pPr>
      <w:numPr>
        <w:numId w:val="31"/>
      </w:numPr>
      <w:spacing w:after="120" w:line="240" w:lineRule="exact"/>
    </w:pPr>
    <w:rPr>
      <w:rFonts w:cs="Arial"/>
      <w:color w:val="404040"/>
      <w:sz w:val="20"/>
      <w:szCs w:val="20"/>
    </w:rPr>
  </w:style>
  <w:style w:type="table" w:styleId="GridTable4">
    <w:name w:val="Grid Table 4"/>
    <w:basedOn w:val="TableNormal"/>
    <w:uiPriority w:val="49"/>
    <w:rsid w:val="002611CA"/>
    <w:pPr>
      <w:spacing w:after="0" w:line="240" w:lineRule="auto"/>
    </w:pPr>
    <w:rPr>
      <w:color w:val="auto"/>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DefaultParagraphFont"/>
    <w:rsid w:val="002611CA"/>
  </w:style>
  <w:style w:type="table" w:styleId="LightShading-Accent2">
    <w:name w:val="Light Shading Accent 2"/>
    <w:aliases w:val="SWA Table Style"/>
    <w:basedOn w:val="TableNormal"/>
    <w:uiPriority w:val="60"/>
    <w:rsid w:val="002611CA"/>
    <w:pPr>
      <w:spacing w:before="80" w:after="80" w:line="240" w:lineRule="auto"/>
    </w:pPr>
    <w:rPr>
      <w:rFonts w:ascii="Arial" w:hAnsi="Arial"/>
      <w:color w:val="auto"/>
      <w:szCs w:val="22"/>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5303B" w:themeFill="accent1"/>
      </w:tcPr>
    </w:tblStylePr>
    <w:tblStylePr w:type="lastRow">
      <w:pPr>
        <w:wordWrap/>
        <w:spacing w:beforeLines="0" w:before="80" w:beforeAutospacing="0" w:afterLines="0" w:after="80" w:afterAutospacing="0" w:line="240" w:lineRule="auto"/>
      </w:pPr>
      <w:rPr>
        <w:rFonts w:ascii="EYInterstate Light" w:hAnsi="EYInterstate Light"/>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9ADEFE"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character" w:customStyle="1" w:styleId="NormalSmallChar">
    <w:name w:val="Normal Small Char"/>
    <w:basedOn w:val="DefaultParagraphFont"/>
    <w:link w:val="NormalSmall0"/>
    <w:locked/>
    <w:rsid w:val="002611CA"/>
    <w:rPr>
      <w:rFonts w:ascii="Times New Roman" w:eastAsia="Times New Roman" w:hAnsi="Times New Roman" w:cs="Times New Roman"/>
      <w:lang w:eastAsia="en-AU"/>
    </w:rPr>
  </w:style>
  <w:style w:type="paragraph" w:customStyle="1" w:styleId="NormalSmall0">
    <w:name w:val="Normal Small"/>
    <w:basedOn w:val="Normal"/>
    <w:link w:val="NormalSmallChar"/>
    <w:qFormat/>
    <w:rsid w:val="002611CA"/>
    <w:rPr>
      <w:rFonts w:ascii="Times New Roman" w:eastAsia="Times New Roman" w:hAnsi="Times New Roman" w:cs="Times New Roman"/>
      <w:color w:val="262626" w:themeColor="text1" w:themeTint="D9"/>
      <w:sz w:val="20"/>
      <w:szCs w:val="20"/>
      <w:lang w:eastAsia="en-AU"/>
    </w:rPr>
  </w:style>
  <w:style w:type="paragraph" w:customStyle="1" w:styleId="ExecutiveHeading">
    <w:name w:val="Executive Heading"/>
    <w:basedOn w:val="Normal"/>
    <w:next w:val="Normal"/>
    <w:uiPriority w:val="3"/>
    <w:rsid w:val="002611CA"/>
    <w:pPr>
      <w:keepNext/>
      <w:keepLines/>
      <w:pageBreakBefore/>
      <w:numPr>
        <w:numId w:val="39"/>
      </w:numPr>
      <w:spacing w:after="480" w:line="720" w:lineRule="atLeast"/>
      <w:outlineLvl w:val="0"/>
    </w:pPr>
    <w:rPr>
      <w:rFonts w:ascii="Verdana" w:hAnsi="Verdana"/>
      <w:sz w:val="60"/>
      <w:szCs w:val="18"/>
    </w:rPr>
  </w:style>
  <w:style w:type="paragraph" w:customStyle="1" w:styleId="ExecChartCaption">
    <w:name w:val="Exec Chart Caption"/>
    <w:basedOn w:val="Caption"/>
    <w:next w:val="Normal"/>
    <w:uiPriority w:val="4"/>
    <w:rsid w:val="002611CA"/>
    <w:pPr>
      <w:keepLines/>
      <w:numPr>
        <w:ilvl w:val="2"/>
        <w:numId w:val="39"/>
      </w:numPr>
      <w:tabs>
        <w:tab w:val="clear" w:pos="851"/>
        <w:tab w:val="clear" w:pos="1017"/>
      </w:tabs>
      <w:spacing w:before="240" w:after="240" w:line="240" w:lineRule="atLeast"/>
    </w:pPr>
    <w:rPr>
      <w:rFonts w:ascii="Verdana" w:hAnsi="Verdana"/>
      <w:b/>
      <w:color w:val="A91117" w:themeColor="accent6"/>
      <w:sz w:val="17"/>
      <w:szCs w:val="20"/>
    </w:rPr>
  </w:style>
  <w:style w:type="paragraph" w:customStyle="1" w:styleId="ExecFigureCaption">
    <w:name w:val="Exec Figure Caption"/>
    <w:basedOn w:val="Caption"/>
    <w:next w:val="Normal"/>
    <w:uiPriority w:val="4"/>
    <w:rsid w:val="002611CA"/>
    <w:pPr>
      <w:keepLines/>
      <w:numPr>
        <w:ilvl w:val="3"/>
        <w:numId w:val="39"/>
      </w:numPr>
      <w:tabs>
        <w:tab w:val="clear" w:pos="851"/>
        <w:tab w:val="clear" w:pos="1017"/>
      </w:tabs>
      <w:spacing w:before="240" w:after="240" w:line="240" w:lineRule="atLeast"/>
    </w:pPr>
    <w:rPr>
      <w:rFonts w:ascii="Verdana" w:hAnsi="Verdana"/>
      <w:b/>
      <w:color w:val="A91117" w:themeColor="accent6"/>
      <w:sz w:val="17"/>
      <w:szCs w:val="20"/>
    </w:rPr>
  </w:style>
  <w:style w:type="paragraph" w:customStyle="1" w:styleId="ExecTableCaption">
    <w:name w:val="Exec Table Caption"/>
    <w:basedOn w:val="Caption"/>
    <w:next w:val="Normal"/>
    <w:uiPriority w:val="4"/>
    <w:rsid w:val="002611CA"/>
    <w:pPr>
      <w:keepLines/>
      <w:numPr>
        <w:ilvl w:val="1"/>
        <w:numId w:val="39"/>
      </w:numPr>
      <w:tabs>
        <w:tab w:val="clear" w:pos="851"/>
        <w:tab w:val="clear" w:pos="1017"/>
      </w:tabs>
      <w:spacing w:before="240" w:after="240" w:line="240" w:lineRule="atLeast"/>
      <w:ind w:left="1080"/>
    </w:pPr>
    <w:rPr>
      <w:rFonts w:ascii="Verdana" w:hAnsi="Verdana"/>
      <w:b/>
      <w:color w:val="A91117" w:themeColor="accent6"/>
      <w:sz w:val="17"/>
      <w:szCs w:val="20"/>
    </w:rPr>
  </w:style>
  <w:style w:type="character" w:customStyle="1" w:styleId="cf01">
    <w:name w:val="cf01"/>
    <w:basedOn w:val="DefaultParagraphFont"/>
    <w:rsid w:val="002611CA"/>
    <w:rPr>
      <w:rFonts w:ascii="Segoe UI" w:hAnsi="Segoe UI" w:cs="Segoe UI" w:hint="default"/>
      <w:sz w:val="18"/>
      <w:szCs w:val="18"/>
    </w:rPr>
  </w:style>
  <w:style w:type="paragraph" w:customStyle="1" w:styleId="NewHeading2">
    <w:name w:val="New Heading 2"/>
    <w:basedOn w:val="Heading2"/>
    <w:next w:val="BodyText"/>
    <w:link w:val="NewHeading2Char"/>
    <w:qFormat/>
    <w:rsid w:val="002611CA"/>
    <w:pPr>
      <w:numPr>
        <w:numId w:val="42"/>
      </w:numPr>
    </w:pPr>
  </w:style>
  <w:style w:type="character" w:customStyle="1" w:styleId="NewHeading2Char">
    <w:name w:val="New Heading 2 Char"/>
    <w:basedOn w:val="BodyTextChar"/>
    <w:link w:val="NewHeading2"/>
    <w:rsid w:val="002611CA"/>
    <w:rPr>
      <w:rFonts w:ascii="Arial" w:eastAsiaTheme="majorEastAsia" w:hAnsi="Arial" w:cstheme="majorBidi"/>
      <w:b/>
      <w:color w:val="auto"/>
      <w:sz w:val="28"/>
      <w:szCs w:val="40"/>
    </w:rPr>
  </w:style>
  <w:style w:type="paragraph" w:customStyle="1" w:styleId="NewHeading3">
    <w:name w:val="New Heading 3"/>
    <w:basedOn w:val="Heading2"/>
    <w:next w:val="BodyText"/>
    <w:link w:val="NewHeading3Char"/>
    <w:autoRedefine/>
    <w:qFormat/>
    <w:rsid w:val="002611CA"/>
    <w:pPr>
      <w:numPr>
        <w:ilvl w:val="2"/>
        <w:numId w:val="42"/>
      </w:numPr>
      <w:spacing w:after="120"/>
      <w:outlineLvl w:val="9"/>
    </w:pPr>
    <w:rPr>
      <w:b/>
      <w:sz w:val="24"/>
      <w:szCs w:val="24"/>
    </w:rPr>
  </w:style>
  <w:style w:type="character" w:customStyle="1" w:styleId="NewHeading3Char">
    <w:name w:val="New Heading 3 Char"/>
    <w:basedOn w:val="NewHeading2Char"/>
    <w:link w:val="NewHeading3"/>
    <w:rsid w:val="002611CA"/>
    <w:rPr>
      <w:rFonts w:ascii="Arial" w:eastAsiaTheme="majorEastAsia" w:hAnsi="Arial" w:cstheme="majorBidi"/>
      <w:b w:val="0"/>
      <w:color w:val="auto"/>
      <w:sz w:val="24"/>
      <w:szCs w:val="24"/>
    </w:rPr>
  </w:style>
  <w:style w:type="paragraph" w:styleId="TableofFigures">
    <w:name w:val="table of figures"/>
    <w:basedOn w:val="Normal"/>
    <w:next w:val="Normal"/>
    <w:uiPriority w:val="99"/>
    <w:unhideWhenUsed/>
    <w:rsid w:val="000C4F83"/>
    <w:pPr>
      <w:spacing w:after="0"/>
    </w:pPr>
  </w:style>
  <w:style w:type="paragraph" w:customStyle="1" w:styleId="App1">
    <w:name w:val="App1"/>
    <w:basedOn w:val="Heading1"/>
    <w:qFormat/>
    <w:rsid w:val="00050058"/>
  </w:style>
  <w:style w:type="paragraph" w:customStyle="1" w:styleId="App2">
    <w:name w:val="App2"/>
    <w:basedOn w:val="Heading1"/>
    <w:qFormat/>
    <w:rsid w:val="00A256B4"/>
    <w:pPr>
      <w:spacing w:after="240"/>
    </w:pPr>
    <w:rPr>
      <w:sz w:val="28"/>
    </w:rPr>
  </w:style>
  <w:style w:type="paragraph" w:customStyle="1" w:styleId="App3">
    <w:name w:val="App3"/>
    <w:basedOn w:val="App2"/>
    <w:qFormat/>
    <w:rsid w:val="00445EB6"/>
    <w:rPr>
      <w:b w:val="0"/>
    </w:rPr>
  </w:style>
  <w:style w:type="paragraph" w:customStyle="1" w:styleId="App4">
    <w:name w:val="App4"/>
    <w:basedOn w:val="Heading4"/>
    <w:qFormat/>
    <w:rsid w:val="00445EB6"/>
    <w:pPr>
      <w:numPr>
        <w:numId w:val="0"/>
      </w:numPr>
    </w:pPr>
    <w:rPr>
      <w:color w:val="E81D32"/>
      <w:sz w:val="24"/>
    </w:rPr>
  </w:style>
  <w:style w:type="paragraph" w:customStyle="1" w:styleId="SWAFeaturetext">
    <w:name w:val="SWA Feature text"/>
    <w:basedOn w:val="Normal"/>
    <w:link w:val="SWAFeaturetextChar"/>
    <w:qFormat/>
    <w:rsid w:val="00D43D45"/>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line="240" w:lineRule="auto"/>
    </w:pPr>
    <w:rPr>
      <w:rFonts w:eastAsia="Times New Roman" w:cs="Times New Roman"/>
      <w:sz w:val="20"/>
      <w:szCs w:val="24"/>
      <w:lang w:eastAsia="en-AU"/>
    </w:rPr>
  </w:style>
  <w:style w:type="character" w:customStyle="1" w:styleId="SWAFeaturetextChar">
    <w:name w:val="SWA Feature text Char"/>
    <w:basedOn w:val="DefaultParagraphFont"/>
    <w:link w:val="SWAFeaturetext"/>
    <w:rsid w:val="00D43D45"/>
    <w:rPr>
      <w:rFonts w:ascii="Arial" w:eastAsia="Times New Roman" w:hAnsi="Arial" w:cs="Times New Roman"/>
      <w:color w:val="auto"/>
      <w:szCs w:val="24"/>
      <w:shd w:val="clear" w:color="auto" w:fill="F2F2F2" w:themeFill="background1" w:themeFillShade="F2"/>
      <w:lang w:eastAsia="en-AU"/>
    </w:rPr>
  </w:style>
  <w:style w:type="paragraph" w:styleId="TOC4">
    <w:name w:val="toc 4"/>
    <w:basedOn w:val="Normal"/>
    <w:next w:val="Normal"/>
    <w:autoRedefine/>
    <w:uiPriority w:val="39"/>
    <w:unhideWhenUsed/>
    <w:rsid w:val="001B35DC"/>
    <w:pPr>
      <w:spacing w:after="100"/>
      <w:ind w:left="660"/>
    </w:pPr>
    <w:rPr>
      <w:rFonts w:eastAsiaTheme="minorEastAsia"/>
      <w:kern w:val="2"/>
      <w:lang w:eastAsia="en-AU"/>
      <w14:ligatures w14:val="standardContextual"/>
    </w:rPr>
  </w:style>
  <w:style w:type="paragraph" w:styleId="TOC5">
    <w:name w:val="toc 5"/>
    <w:basedOn w:val="Normal"/>
    <w:next w:val="Normal"/>
    <w:autoRedefine/>
    <w:uiPriority w:val="39"/>
    <w:unhideWhenUsed/>
    <w:rsid w:val="001B35DC"/>
    <w:pPr>
      <w:spacing w:after="100"/>
      <w:ind w:left="880"/>
    </w:pPr>
    <w:rPr>
      <w:rFonts w:eastAsiaTheme="minorEastAsia"/>
      <w:kern w:val="2"/>
      <w:lang w:eastAsia="en-AU"/>
      <w14:ligatures w14:val="standardContextual"/>
    </w:rPr>
  </w:style>
  <w:style w:type="paragraph" w:styleId="TOC6">
    <w:name w:val="toc 6"/>
    <w:basedOn w:val="Normal"/>
    <w:next w:val="Normal"/>
    <w:autoRedefine/>
    <w:uiPriority w:val="39"/>
    <w:unhideWhenUsed/>
    <w:rsid w:val="001B35DC"/>
    <w:pPr>
      <w:spacing w:after="100"/>
      <w:ind w:left="1100"/>
    </w:pPr>
    <w:rPr>
      <w:rFonts w:eastAsiaTheme="minorEastAsia"/>
      <w:kern w:val="2"/>
      <w:lang w:eastAsia="en-AU"/>
      <w14:ligatures w14:val="standardContextual"/>
    </w:rPr>
  </w:style>
  <w:style w:type="paragraph" w:styleId="TOC7">
    <w:name w:val="toc 7"/>
    <w:basedOn w:val="Normal"/>
    <w:next w:val="Normal"/>
    <w:autoRedefine/>
    <w:uiPriority w:val="39"/>
    <w:unhideWhenUsed/>
    <w:rsid w:val="001B35DC"/>
    <w:pPr>
      <w:spacing w:after="100"/>
      <w:ind w:left="1320"/>
    </w:pPr>
    <w:rPr>
      <w:rFonts w:eastAsiaTheme="minorEastAsia"/>
      <w:kern w:val="2"/>
      <w:lang w:eastAsia="en-AU"/>
      <w14:ligatures w14:val="standardContextual"/>
    </w:rPr>
  </w:style>
  <w:style w:type="paragraph" w:styleId="TOC8">
    <w:name w:val="toc 8"/>
    <w:basedOn w:val="Normal"/>
    <w:next w:val="Normal"/>
    <w:autoRedefine/>
    <w:uiPriority w:val="39"/>
    <w:unhideWhenUsed/>
    <w:rsid w:val="001B35DC"/>
    <w:pPr>
      <w:spacing w:after="100"/>
      <w:ind w:left="1540"/>
    </w:pPr>
    <w:rPr>
      <w:rFonts w:eastAsiaTheme="minorEastAsia"/>
      <w:kern w:val="2"/>
      <w:lang w:eastAsia="en-AU"/>
      <w14:ligatures w14:val="standardContextual"/>
    </w:rPr>
  </w:style>
  <w:style w:type="paragraph" w:styleId="TOC9">
    <w:name w:val="toc 9"/>
    <w:basedOn w:val="Normal"/>
    <w:next w:val="Normal"/>
    <w:autoRedefine/>
    <w:uiPriority w:val="39"/>
    <w:unhideWhenUsed/>
    <w:rsid w:val="001B35DC"/>
    <w:pPr>
      <w:spacing w:after="100"/>
      <w:ind w:left="1760"/>
    </w:pPr>
    <w:rPr>
      <w:rFonts w:eastAsiaTheme="minorEastAsia"/>
      <w:kern w:val="2"/>
      <w:lang w:eastAsia="en-AU"/>
      <w14:ligatures w14:val="standardContextual"/>
    </w:rPr>
  </w:style>
  <w:style w:type="paragraph" w:customStyle="1" w:styleId="Sub-list">
    <w:name w:val="Sub-list"/>
    <w:basedOn w:val="Listnumindent"/>
    <w:link w:val="Sub-listChar"/>
    <w:autoRedefine/>
    <w:qFormat/>
    <w:rsid w:val="00B25F26"/>
    <w:pPr>
      <w:tabs>
        <w:tab w:val="clear" w:pos="1296"/>
        <w:tab w:val="num" w:pos="851"/>
      </w:tabs>
      <w:ind w:left="567"/>
    </w:pPr>
    <w:rPr>
      <w:bCs/>
    </w:rPr>
  </w:style>
  <w:style w:type="character" w:customStyle="1" w:styleId="ListnumindentChar">
    <w:name w:val="List num indent Char"/>
    <w:basedOn w:val="DefaultParagraphFont"/>
    <w:link w:val="Listnumindent"/>
    <w:uiPriority w:val="9"/>
    <w:rsid w:val="007F6D09"/>
    <w:rPr>
      <w:rFonts w:ascii="Arial" w:eastAsiaTheme="minorEastAsia" w:hAnsi="Arial"/>
      <w:color w:val="000000" w:themeColor="text1"/>
      <w:lang w:eastAsia="en-AU"/>
    </w:rPr>
  </w:style>
  <w:style w:type="character" w:customStyle="1" w:styleId="Sub-listChar">
    <w:name w:val="Sub-list Char"/>
    <w:basedOn w:val="ListnumindentChar"/>
    <w:link w:val="Sub-list"/>
    <w:rsid w:val="00B25F26"/>
    <w:rPr>
      <w:rFonts w:ascii="Arial" w:eastAsiaTheme="minorEastAsia" w:hAnsi="Arial"/>
      <w:bCs/>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6016">
      <w:bodyDiv w:val="1"/>
      <w:marLeft w:val="0"/>
      <w:marRight w:val="0"/>
      <w:marTop w:val="0"/>
      <w:marBottom w:val="0"/>
      <w:divBdr>
        <w:top w:val="none" w:sz="0" w:space="0" w:color="auto"/>
        <w:left w:val="none" w:sz="0" w:space="0" w:color="auto"/>
        <w:bottom w:val="none" w:sz="0" w:space="0" w:color="auto"/>
        <w:right w:val="none" w:sz="0" w:space="0" w:color="auto"/>
      </w:divBdr>
    </w:div>
    <w:div w:id="6444144">
      <w:bodyDiv w:val="1"/>
      <w:marLeft w:val="0"/>
      <w:marRight w:val="0"/>
      <w:marTop w:val="0"/>
      <w:marBottom w:val="0"/>
      <w:divBdr>
        <w:top w:val="none" w:sz="0" w:space="0" w:color="auto"/>
        <w:left w:val="none" w:sz="0" w:space="0" w:color="auto"/>
        <w:bottom w:val="none" w:sz="0" w:space="0" w:color="auto"/>
        <w:right w:val="none" w:sz="0" w:space="0" w:color="auto"/>
      </w:divBdr>
    </w:div>
    <w:div w:id="18358696">
      <w:bodyDiv w:val="1"/>
      <w:marLeft w:val="0"/>
      <w:marRight w:val="0"/>
      <w:marTop w:val="0"/>
      <w:marBottom w:val="0"/>
      <w:divBdr>
        <w:top w:val="none" w:sz="0" w:space="0" w:color="auto"/>
        <w:left w:val="none" w:sz="0" w:space="0" w:color="auto"/>
        <w:bottom w:val="none" w:sz="0" w:space="0" w:color="auto"/>
        <w:right w:val="none" w:sz="0" w:space="0" w:color="auto"/>
      </w:divBdr>
    </w:div>
    <w:div w:id="25059257">
      <w:bodyDiv w:val="1"/>
      <w:marLeft w:val="0"/>
      <w:marRight w:val="0"/>
      <w:marTop w:val="0"/>
      <w:marBottom w:val="0"/>
      <w:divBdr>
        <w:top w:val="none" w:sz="0" w:space="0" w:color="auto"/>
        <w:left w:val="none" w:sz="0" w:space="0" w:color="auto"/>
        <w:bottom w:val="none" w:sz="0" w:space="0" w:color="auto"/>
        <w:right w:val="none" w:sz="0" w:space="0" w:color="auto"/>
      </w:divBdr>
    </w:div>
    <w:div w:id="25328217">
      <w:bodyDiv w:val="1"/>
      <w:marLeft w:val="0"/>
      <w:marRight w:val="0"/>
      <w:marTop w:val="0"/>
      <w:marBottom w:val="0"/>
      <w:divBdr>
        <w:top w:val="none" w:sz="0" w:space="0" w:color="auto"/>
        <w:left w:val="none" w:sz="0" w:space="0" w:color="auto"/>
        <w:bottom w:val="none" w:sz="0" w:space="0" w:color="auto"/>
        <w:right w:val="none" w:sz="0" w:space="0" w:color="auto"/>
      </w:divBdr>
    </w:div>
    <w:div w:id="32704479">
      <w:bodyDiv w:val="1"/>
      <w:marLeft w:val="0"/>
      <w:marRight w:val="0"/>
      <w:marTop w:val="0"/>
      <w:marBottom w:val="0"/>
      <w:divBdr>
        <w:top w:val="none" w:sz="0" w:space="0" w:color="auto"/>
        <w:left w:val="none" w:sz="0" w:space="0" w:color="auto"/>
        <w:bottom w:val="none" w:sz="0" w:space="0" w:color="auto"/>
        <w:right w:val="none" w:sz="0" w:space="0" w:color="auto"/>
      </w:divBdr>
    </w:div>
    <w:div w:id="34165766">
      <w:bodyDiv w:val="1"/>
      <w:marLeft w:val="0"/>
      <w:marRight w:val="0"/>
      <w:marTop w:val="0"/>
      <w:marBottom w:val="0"/>
      <w:divBdr>
        <w:top w:val="none" w:sz="0" w:space="0" w:color="auto"/>
        <w:left w:val="none" w:sz="0" w:space="0" w:color="auto"/>
        <w:bottom w:val="none" w:sz="0" w:space="0" w:color="auto"/>
        <w:right w:val="none" w:sz="0" w:space="0" w:color="auto"/>
      </w:divBdr>
    </w:div>
    <w:div w:id="40786541">
      <w:bodyDiv w:val="1"/>
      <w:marLeft w:val="0"/>
      <w:marRight w:val="0"/>
      <w:marTop w:val="0"/>
      <w:marBottom w:val="0"/>
      <w:divBdr>
        <w:top w:val="none" w:sz="0" w:space="0" w:color="auto"/>
        <w:left w:val="none" w:sz="0" w:space="0" w:color="auto"/>
        <w:bottom w:val="none" w:sz="0" w:space="0" w:color="auto"/>
        <w:right w:val="none" w:sz="0" w:space="0" w:color="auto"/>
      </w:divBdr>
    </w:div>
    <w:div w:id="44377070">
      <w:bodyDiv w:val="1"/>
      <w:marLeft w:val="0"/>
      <w:marRight w:val="0"/>
      <w:marTop w:val="0"/>
      <w:marBottom w:val="0"/>
      <w:divBdr>
        <w:top w:val="none" w:sz="0" w:space="0" w:color="auto"/>
        <w:left w:val="none" w:sz="0" w:space="0" w:color="auto"/>
        <w:bottom w:val="none" w:sz="0" w:space="0" w:color="auto"/>
        <w:right w:val="none" w:sz="0" w:space="0" w:color="auto"/>
      </w:divBdr>
    </w:div>
    <w:div w:id="46297390">
      <w:bodyDiv w:val="1"/>
      <w:marLeft w:val="0"/>
      <w:marRight w:val="0"/>
      <w:marTop w:val="0"/>
      <w:marBottom w:val="0"/>
      <w:divBdr>
        <w:top w:val="none" w:sz="0" w:space="0" w:color="auto"/>
        <w:left w:val="none" w:sz="0" w:space="0" w:color="auto"/>
        <w:bottom w:val="none" w:sz="0" w:space="0" w:color="auto"/>
        <w:right w:val="none" w:sz="0" w:space="0" w:color="auto"/>
      </w:divBdr>
    </w:div>
    <w:div w:id="51851904">
      <w:bodyDiv w:val="1"/>
      <w:marLeft w:val="0"/>
      <w:marRight w:val="0"/>
      <w:marTop w:val="0"/>
      <w:marBottom w:val="0"/>
      <w:divBdr>
        <w:top w:val="none" w:sz="0" w:space="0" w:color="auto"/>
        <w:left w:val="none" w:sz="0" w:space="0" w:color="auto"/>
        <w:bottom w:val="none" w:sz="0" w:space="0" w:color="auto"/>
        <w:right w:val="none" w:sz="0" w:space="0" w:color="auto"/>
      </w:divBdr>
    </w:div>
    <w:div w:id="57558209">
      <w:bodyDiv w:val="1"/>
      <w:marLeft w:val="0"/>
      <w:marRight w:val="0"/>
      <w:marTop w:val="0"/>
      <w:marBottom w:val="0"/>
      <w:divBdr>
        <w:top w:val="none" w:sz="0" w:space="0" w:color="auto"/>
        <w:left w:val="none" w:sz="0" w:space="0" w:color="auto"/>
        <w:bottom w:val="none" w:sz="0" w:space="0" w:color="auto"/>
        <w:right w:val="none" w:sz="0" w:space="0" w:color="auto"/>
      </w:divBdr>
    </w:div>
    <w:div w:id="57869888">
      <w:bodyDiv w:val="1"/>
      <w:marLeft w:val="0"/>
      <w:marRight w:val="0"/>
      <w:marTop w:val="0"/>
      <w:marBottom w:val="0"/>
      <w:divBdr>
        <w:top w:val="none" w:sz="0" w:space="0" w:color="auto"/>
        <w:left w:val="none" w:sz="0" w:space="0" w:color="auto"/>
        <w:bottom w:val="none" w:sz="0" w:space="0" w:color="auto"/>
        <w:right w:val="none" w:sz="0" w:space="0" w:color="auto"/>
      </w:divBdr>
    </w:div>
    <w:div w:id="58596983">
      <w:bodyDiv w:val="1"/>
      <w:marLeft w:val="0"/>
      <w:marRight w:val="0"/>
      <w:marTop w:val="0"/>
      <w:marBottom w:val="0"/>
      <w:divBdr>
        <w:top w:val="none" w:sz="0" w:space="0" w:color="auto"/>
        <w:left w:val="none" w:sz="0" w:space="0" w:color="auto"/>
        <w:bottom w:val="none" w:sz="0" w:space="0" w:color="auto"/>
        <w:right w:val="none" w:sz="0" w:space="0" w:color="auto"/>
      </w:divBdr>
    </w:div>
    <w:div w:id="63842646">
      <w:bodyDiv w:val="1"/>
      <w:marLeft w:val="0"/>
      <w:marRight w:val="0"/>
      <w:marTop w:val="0"/>
      <w:marBottom w:val="0"/>
      <w:divBdr>
        <w:top w:val="none" w:sz="0" w:space="0" w:color="auto"/>
        <w:left w:val="none" w:sz="0" w:space="0" w:color="auto"/>
        <w:bottom w:val="none" w:sz="0" w:space="0" w:color="auto"/>
        <w:right w:val="none" w:sz="0" w:space="0" w:color="auto"/>
      </w:divBdr>
    </w:div>
    <w:div w:id="69354554">
      <w:bodyDiv w:val="1"/>
      <w:marLeft w:val="0"/>
      <w:marRight w:val="0"/>
      <w:marTop w:val="0"/>
      <w:marBottom w:val="0"/>
      <w:divBdr>
        <w:top w:val="none" w:sz="0" w:space="0" w:color="auto"/>
        <w:left w:val="none" w:sz="0" w:space="0" w:color="auto"/>
        <w:bottom w:val="none" w:sz="0" w:space="0" w:color="auto"/>
        <w:right w:val="none" w:sz="0" w:space="0" w:color="auto"/>
      </w:divBdr>
    </w:div>
    <w:div w:id="74087636">
      <w:bodyDiv w:val="1"/>
      <w:marLeft w:val="0"/>
      <w:marRight w:val="0"/>
      <w:marTop w:val="0"/>
      <w:marBottom w:val="0"/>
      <w:divBdr>
        <w:top w:val="none" w:sz="0" w:space="0" w:color="auto"/>
        <w:left w:val="none" w:sz="0" w:space="0" w:color="auto"/>
        <w:bottom w:val="none" w:sz="0" w:space="0" w:color="auto"/>
        <w:right w:val="none" w:sz="0" w:space="0" w:color="auto"/>
      </w:divBdr>
    </w:div>
    <w:div w:id="74472695">
      <w:bodyDiv w:val="1"/>
      <w:marLeft w:val="0"/>
      <w:marRight w:val="0"/>
      <w:marTop w:val="0"/>
      <w:marBottom w:val="0"/>
      <w:divBdr>
        <w:top w:val="none" w:sz="0" w:space="0" w:color="auto"/>
        <w:left w:val="none" w:sz="0" w:space="0" w:color="auto"/>
        <w:bottom w:val="none" w:sz="0" w:space="0" w:color="auto"/>
        <w:right w:val="none" w:sz="0" w:space="0" w:color="auto"/>
      </w:divBdr>
    </w:div>
    <w:div w:id="76706377">
      <w:bodyDiv w:val="1"/>
      <w:marLeft w:val="0"/>
      <w:marRight w:val="0"/>
      <w:marTop w:val="0"/>
      <w:marBottom w:val="0"/>
      <w:divBdr>
        <w:top w:val="none" w:sz="0" w:space="0" w:color="auto"/>
        <w:left w:val="none" w:sz="0" w:space="0" w:color="auto"/>
        <w:bottom w:val="none" w:sz="0" w:space="0" w:color="auto"/>
        <w:right w:val="none" w:sz="0" w:space="0" w:color="auto"/>
      </w:divBdr>
    </w:div>
    <w:div w:id="77480776">
      <w:bodyDiv w:val="1"/>
      <w:marLeft w:val="0"/>
      <w:marRight w:val="0"/>
      <w:marTop w:val="0"/>
      <w:marBottom w:val="0"/>
      <w:divBdr>
        <w:top w:val="none" w:sz="0" w:space="0" w:color="auto"/>
        <w:left w:val="none" w:sz="0" w:space="0" w:color="auto"/>
        <w:bottom w:val="none" w:sz="0" w:space="0" w:color="auto"/>
        <w:right w:val="none" w:sz="0" w:space="0" w:color="auto"/>
      </w:divBdr>
    </w:div>
    <w:div w:id="82730204">
      <w:bodyDiv w:val="1"/>
      <w:marLeft w:val="0"/>
      <w:marRight w:val="0"/>
      <w:marTop w:val="0"/>
      <w:marBottom w:val="0"/>
      <w:divBdr>
        <w:top w:val="none" w:sz="0" w:space="0" w:color="auto"/>
        <w:left w:val="none" w:sz="0" w:space="0" w:color="auto"/>
        <w:bottom w:val="none" w:sz="0" w:space="0" w:color="auto"/>
        <w:right w:val="none" w:sz="0" w:space="0" w:color="auto"/>
      </w:divBdr>
    </w:div>
    <w:div w:id="83115146">
      <w:bodyDiv w:val="1"/>
      <w:marLeft w:val="0"/>
      <w:marRight w:val="0"/>
      <w:marTop w:val="0"/>
      <w:marBottom w:val="0"/>
      <w:divBdr>
        <w:top w:val="none" w:sz="0" w:space="0" w:color="auto"/>
        <w:left w:val="none" w:sz="0" w:space="0" w:color="auto"/>
        <w:bottom w:val="none" w:sz="0" w:space="0" w:color="auto"/>
        <w:right w:val="none" w:sz="0" w:space="0" w:color="auto"/>
      </w:divBdr>
    </w:div>
    <w:div w:id="85077054">
      <w:bodyDiv w:val="1"/>
      <w:marLeft w:val="0"/>
      <w:marRight w:val="0"/>
      <w:marTop w:val="0"/>
      <w:marBottom w:val="0"/>
      <w:divBdr>
        <w:top w:val="none" w:sz="0" w:space="0" w:color="auto"/>
        <w:left w:val="none" w:sz="0" w:space="0" w:color="auto"/>
        <w:bottom w:val="none" w:sz="0" w:space="0" w:color="auto"/>
        <w:right w:val="none" w:sz="0" w:space="0" w:color="auto"/>
      </w:divBdr>
    </w:div>
    <w:div w:id="86660734">
      <w:bodyDiv w:val="1"/>
      <w:marLeft w:val="0"/>
      <w:marRight w:val="0"/>
      <w:marTop w:val="0"/>
      <w:marBottom w:val="0"/>
      <w:divBdr>
        <w:top w:val="none" w:sz="0" w:space="0" w:color="auto"/>
        <w:left w:val="none" w:sz="0" w:space="0" w:color="auto"/>
        <w:bottom w:val="none" w:sz="0" w:space="0" w:color="auto"/>
        <w:right w:val="none" w:sz="0" w:space="0" w:color="auto"/>
      </w:divBdr>
    </w:div>
    <w:div w:id="91366585">
      <w:bodyDiv w:val="1"/>
      <w:marLeft w:val="0"/>
      <w:marRight w:val="0"/>
      <w:marTop w:val="0"/>
      <w:marBottom w:val="0"/>
      <w:divBdr>
        <w:top w:val="none" w:sz="0" w:space="0" w:color="auto"/>
        <w:left w:val="none" w:sz="0" w:space="0" w:color="auto"/>
        <w:bottom w:val="none" w:sz="0" w:space="0" w:color="auto"/>
        <w:right w:val="none" w:sz="0" w:space="0" w:color="auto"/>
      </w:divBdr>
    </w:div>
    <w:div w:id="96141543">
      <w:bodyDiv w:val="1"/>
      <w:marLeft w:val="0"/>
      <w:marRight w:val="0"/>
      <w:marTop w:val="0"/>
      <w:marBottom w:val="0"/>
      <w:divBdr>
        <w:top w:val="none" w:sz="0" w:space="0" w:color="auto"/>
        <w:left w:val="none" w:sz="0" w:space="0" w:color="auto"/>
        <w:bottom w:val="none" w:sz="0" w:space="0" w:color="auto"/>
        <w:right w:val="none" w:sz="0" w:space="0" w:color="auto"/>
      </w:divBdr>
    </w:div>
    <w:div w:id="99837096">
      <w:bodyDiv w:val="1"/>
      <w:marLeft w:val="0"/>
      <w:marRight w:val="0"/>
      <w:marTop w:val="0"/>
      <w:marBottom w:val="0"/>
      <w:divBdr>
        <w:top w:val="none" w:sz="0" w:space="0" w:color="auto"/>
        <w:left w:val="none" w:sz="0" w:space="0" w:color="auto"/>
        <w:bottom w:val="none" w:sz="0" w:space="0" w:color="auto"/>
        <w:right w:val="none" w:sz="0" w:space="0" w:color="auto"/>
      </w:divBdr>
    </w:div>
    <w:div w:id="102306422">
      <w:bodyDiv w:val="1"/>
      <w:marLeft w:val="0"/>
      <w:marRight w:val="0"/>
      <w:marTop w:val="0"/>
      <w:marBottom w:val="0"/>
      <w:divBdr>
        <w:top w:val="none" w:sz="0" w:space="0" w:color="auto"/>
        <w:left w:val="none" w:sz="0" w:space="0" w:color="auto"/>
        <w:bottom w:val="none" w:sz="0" w:space="0" w:color="auto"/>
        <w:right w:val="none" w:sz="0" w:space="0" w:color="auto"/>
      </w:divBdr>
    </w:div>
    <w:div w:id="110172544">
      <w:bodyDiv w:val="1"/>
      <w:marLeft w:val="0"/>
      <w:marRight w:val="0"/>
      <w:marTop w:val="0"/>
      <w:marBottom w:val="0"/>
      <w:divBdr>
        <w:top w:val="none" w:sz="0" w:space="0" w:color="auto"/>
        <w:left w:val="none" w:sz="0" w:space="0" w:color="auto"/>
        <w:bottom w:val="none" w:sz="0" w:space="0" w:color="auto"/>
        <w:right w:val="none" w:sz="0" w:space="0" w:color="auto"/>
      </w:divBdr>
    </w:div>
    <w:div w:id="115029972">
      <w:bodyDiv w:val="1"/>
      <w:marLeft w:val="0"/>
      <w:marRight w:val="0"/>
      <w:marTop w:val="0"/>
      <w:marBottom w:val="0"/>
      <w:divBdr>
        <w:top w:val="none" w:sz="0" w:space="0" w:color="auto"/>
        <w:left w:val="none" w:sz="0" w:space="0" w:color="auto"/>
        <w:bottom w:val="none" w:sz="0" w:space="0" w:color="auto"/>
        <w:right w:val="none" w:sz="0" w:space="0" w:color="auto"/>
      </w:divBdr>
    </w:div>
    <w:div w:id="118644953">
      <w:bodyDiv w:val="1"/>
      <w:marLeft w:val="0"/>
      <w:marRight w:val="0"/>
      <w:marTop w:val="0"/>
      <w:marBottom w:val="0"/>
      <w:divBdr>
        <w:top w:val="none" w:sz="0" w:space="0" w:color="auto"/>
        <w:left w:val="none" w:sz="0" w:space="0" w:color="auto"/>
        <w:bottom w:val="none" w:sz="0" w:space="0" w:color="auto"/>
        <w:right w:val="none" w:sz="0" w:space="0" w:color="auto"/>
      </w:divBdr>
    </w:div>
    <w:div w:id="124544179">
      <w:bodyDiv w:val="1"/>
      <w:marLeft w:val="0"/>
      <w:marRight w:val="0"/>
      <w:marTop w:val="0"/>
      <w:marBottom w:val="0"/>
      <w:divBdr>
        <w:top w:val="none" w:sz="0" w:space="0" w:color="auto"/>
        <w:left w:val="none" w:sz="0" w:space="0" w:color="auto"/>
        <w:bottom w:val="none" w:sz="0" w:space="0" w:color="auto"/>
        <w:right w:val="none" w:sz="0" w:space="0" w:color="auto"/>
      </w:divBdr>
    </w:div>
    <w:div w:id="130489981">
      <w:bodyDiv w:val="1"/>
      <w:marLeft w:val="0"/>
      <w:marRight w:val="0"/>
      <w:marTop w:val="0"/>
      <w:marBottom w:val="0"/>
      <w:divBdr>
        <w:top w:val="none" w:sz="0" w:space="0" w:color="auto"/>
        <w:left w:val="none" w:sz="0" w:space="0" w:color="auto"/>
        <w:bottom w:val="none" w:sz="0" w:space="0" w:color="auto"/>
        <w:right w:val="none" w:sz="0" w:space="0" w:color="auto"/>
      </w:divBdr>
    </w:div>
    <w:div w:id="137958693">
      <w:bodyDiv w:val="1"/>
      <w:marLeft w:val="0"/>
      <w:marRight w:val="0"/>
      <w:marTop w:val="0"/>
      <w:marBottom w:val="0"/>
      <w:divBdr>
        <w:top w:val="none" w:sz="0" w:space="0" w:color="auto"/>
        <w:left w:val="none" w:sz="0" w:space="0" w:color="auto"/>
        <w:bottom w:val="none" w:sz="0" w:space="0" w:color="auto"/>
        <w:right w:val="none" w:sz="0" w:space="0" w:color="auto"/>
      </w:divBdr>
    </w:div>
    <w:div w:id="139277161">
      <w:bodyDiv w:val="1"/>
      <w:marLeft w:val="0"/>
      <w:marRight w:val="0"/>
      <w:marTop w:val="0"/>
      <w:marBottom w:val="0"/>
      <w:divBdr>
        <w:top w:val="none" w:sz="0" w:space="0" w:color="auto"/>
        <w:left w:val="none" w:sz="0" w:space="0" w:color="auto"/>
        <w:bottom w:val="none" w:sz="0" w:space="0" w:color="auto"/>
        <w:right w:val="none" w:sz="0" w:space="0" w:color="auto"/>
      </w:divBdr>
    </w:div>
    <w:div w:id="139421866">
      <w:bodyDiv w:val="1"/>
      <w:marLeft w:val="0"/>
      <w:marRight w:val="0"/>
      <w:marTop w:val="0"/>
      <w:marBottom w:val="0"/>
      <w:divBdr>
        <w:top w:val="none" w:sz="0" w:space="0" w:color="auto"/>
        <w:left w:val="none" w:sz="0" w:space="0" w:color="auto"/>
        <w:bottom w:val="none" w:sz="0" w:space="0" w:color="auto"/>
        <w:right w:val="none" w:sz="0" w:space="0" w:color="auto"/>
      </w:divBdr>
    </w:div>
    <w:div w:id="151143129">
      <w:bodyDiv w:val="1"/>
      <w:marLeft w:val="0"/>
      <w:marRight w:val="0"/>
      <w:marTop w:val="0"/>
      <w:marBottom w:val="0"/>
      <w:divBdr>
        <w:top w:val="none" w:sz="0" w:space="0" w:color="auto"/>
        <w:left w:val="none" w:sz="0" w:space="0" w:color="auto"/>
        <w:bottom w:val="none" w:sz="0" w:space="0" w:color="auto"/>
        <w:right w:val="none" w:sz="0" w:space="0" w:color="auto"/>
      </w:divBdr>
    </w:div>
    <w:div w:id="157307289">
      <w:bodyDiv w:val="1"/>
      <w:marLeft w:val="0"/>
      <w:marRight w:val="0"/>
      <w:marTop w:val="0"/>
      <w:marBottom w:val="0"/>
      <w:divBdr>
        <w:top w:val="none" w:sz="0" w:space="0" w:color="auto"/>
        <w:left w:val="none" w:sz="0" w:space="0" w:color="auto"/>
        <w:bottom w:val="none" w:sz="0" w:space="0" w:color="auto"/>
        <w:right w:val="none" w:sz="0" w:space="0" w:color="auto"/>
      </w:divBdr>
    </w:div>
    <w:div w:id="159127770">
      <w:bodyDiv w:val="1"/>
      <w:marLeft w:val="0"/>
      <w:marRight w:val="0"/>
      <w:marTop w:val="0"/>
      <w:marBottom w:val="0"/>
      <w:divBdr>
        <w:top w:val="none" w:sz="0" w:space="0" w:color="auto"/>
        <w:left w:val="none" w:sz="0" w:space="0" w:color="auto"/>
        <w:bottom w:val="none" w:sz="0" w:space="0" w:color="auto"/>
        <w:right w:val="none" w:sz="0" w:space="0" w:color="auto"/>
      </w:divBdr>
    </w:div>
    <w:div w:id="164365267">
      <w:bodyDiv w:val="1"/>
      <w:marLeft w:val="0"/>
      <w:marRight w:val="0"/>
      <w:marTop w:val="0"/>
      <w:marBottom w:val="0"/>
      <w:divBdr>
        <w:top w:val="none" w:sz="0" w:space="0" w:color="auto"/>
        <w:left w:val="none" w:sz="0" w:space="0" w:color="auto"/>
        <w:bottom w:val="none" w:sz="0" w:space="0" w:color="auto"/>
        <w:right w:val="none" w:sz="0" w:space="0" w:color="auto"/>
      </w:divBdr>
    </w:div>
    <w:div w:id="165052256">
      <w:bodyDiv w:val="1"/>
      <w:marLeft w:val="0"/>
      <w:marRight w:val="0"/>
      <w:marTop w:val="0"/>
      <w:marBottom w:val="0"/>
      <w:divBdr>
        <w:top w:val="none" w:sz="0" w:space="0" w:color="auto"/>
        <w:left w:val="none" w:sz="0" w:space="0" w:color="auto"/>
        <w:bottom w:val="none" w:sz="0" w:space="0" w:color="auto"/>
        <w:right w:val="none" w:sz="0" w:space="0" w:color="auto"/>
      </w:divBdr>
    </w:div>
    <w:div w:id="174030279">
      <w:bodyDiv w:val="1"/>
      <w:marLeft w:val="0"/>
      <w:marRight w:val="0"/>
      <w:marTop w:val="0"/>
      <w:marBottom w:val="0"/>
      <w:divBdr>
        <w:top w:val="none" w:sz="0" w:space="0" w:color="auto"/>
        <w:left w:val="none" w:sz="0" w:space="0" w:color="auto"/>
        <w:bottom w:val="none" w:sz="0" w:space="0" w:color="auto"/>
        <w:right w:val="none" w:sz="0" w:space="0" w:color="auto"/>
      </w:divBdr>
    </w:div>
    <w:div w:id="176119230">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8279763">
      <w:bodyDiv w:val="1"/>
      <w:marLeft w:val="0"/>
      <w:marRight w:val="0"/>
      <w:marTop w:val="0"/>
      <w:marBottom w:val="0"/>
      <w:divBdr>
        <w:top w:val="none" w:sz="0" w:space="0" w:color="auto"/>
        <w:left w:val="none" w:sz="0" w:space="0" w:color="auto"/>
        <w:bottom w:val="none" w:sz="0" w:space="0" w:color="auto"/>
        <w:right w:val="none" w:sz="0" w:space="0" w:color="auto"/>
      </w:divBdr>
    </w:div>
    <w:div w:id="191724614">
      <w:bodyDiv w:val="1"/>
      <w:marLeft w:val="0"/>
      <w:marRight w:val="0"/>
      <w:marTop w:val="0"/>
      <w:marBottom w:val="0"/>
      <w:divBdr>
        <w:top w:val="none" w:sz="0" w:space="0" w:color="auto"/>
        <w:left w:val="none" w:sz="0" w:space="0" w:color="auto"/>
        <w:bottom w:val="none" w:sz="0" w:space="0" w:color="auto"/>
        <w:right w:val="none" w:sz="0" w:space="0" w:color="auto"/>
      </w:divBdr>
    </w:div>
    <w:div w:id="195042664">
      <w:bodyDiv w:val="1"/>
      <w:marLeft w:val="0"/>
      <w:marRight w:val="0"/>
      <w:marTop w:val="0"/>
      <w:marBottom w:val="0"/>
      <w:divBdr>
        <w:top w:val="none" w:sz="0" w:space="0" w:color="auto"/>
        <w:left w:val="none" w:sz="0" w:space="0" w:color="auto"/>
        <w:bottom w:val="none" w:sz="0" w:space="0" w:color="auto"/>
        <w:right w:val="none" w:sz="0" w:space="0" w:color="auto"/>
      </w:divBdr>
    </w:div>
    <w:div w:id="198393498">
      <w:bodyDiv w:val="1"/>
      <w:marLeft w:val="0"/>
      <w:marRight w:val="0"/>
      <w:marTop w:val="0"/>
      <w:marBottom w:val="0"/>
      <w:divBdr>
        <w:top w:val="none" w:sz="0" w:space="0" w:color="auto"/>
        <w:left w:val="none" w:sz="0" w:space="0" w:color="auto"/>
        <w:bottom w:val="none" w:sz="0" w:space="0" w:color="auto"/>
        <w:right w:val="none" w:sz="0" w:space="0" w:color="auto"/>
      </w:divBdr>
    </w:div>
    <w:div w:id="204172660">
      <w:bodyDiv w:val="1"/>
      <w:marLeft w:val="0"/>
      <w:marRight w:val="0"/>
      <w:marTop w:val="0"/>
      <w:marBottom w:val="0"/>
      <w:divBdr>
        <w:top w:val="none" w:sz="0" w:space="0" w:color="auto"/>
        <w:left w:val="none" w:sz="0" w:space="0" w:color="auto"/>
        <w:bottom w:val="none" w:sz="0" w:space="0" w:color="auto"/>
        <w:right w:val="none" w:sz="0" w:space="0" w:color="auto"/>
      </w:divBdr>
    </w:div>
    <w:div w:id="206918787">
      <w:bodyDiv w:val="1"/>
      <w:marLeft w:val="0"/>
      <w:marRight w:val="0"/>
      <w:marTop w:val="0"/>
      <w:marBottom w:val="0"/>
      <w:divBdr>
        <w:top w:val="none" w:sz="0" w:space="0" w:color="auto"/>
        <w:left w:val="none" w:sz="0" w:space="0" w:color="auto"/>
        <w:bottom w:val="none" w:sz="0" w:space="0" w:color="auto"/>
        <w:right w:val="none" w:sz="0" w:space="0" w:color="auto"/>
      </w:divBdr>
    </w:div>
    <w:div w:id="207838503">
      <w:bodyDiv w:val="1"/>
      <w:marLeft w:val="0"/>
      <w:marRight w:val="0"/>
      <w:marTop w:val="0"/>
      <w:marBottom w:val="0"/>
      <w:divBdr>
        <w:top w:val="none" w:sz="0" w:space="0" w:color="auto"/>
        <w:left w:val="none" w:sz="0" w:space="0" w:color="auto"/>
        <w:bottom w:val="none" w:sz="0" w:space="0" w:color="auto"/>
        <w:right w:val="none" w:sz="0" w:space="0" w:color="auto"/>
      </w:divBdr>
    </w:div>
    <w:div w:id="208108339">
      <w:bodyDiv w:val="1"/>
      <w:marLeft w:val="0"/>
      <w:marRight w:val="0"/>
      <w:marTop w:val="0"/>
      <w:marBottom w:val="0"/>
      <w:divBdr>
        <w:top w:val="none" w:sz="0" w:space="0" w:color="auto"/>
        <w:left w:val="none" w:sz="0" w:space="0" w:color="auto"/>
        <w:bottom w:val="none" w:sz="0" w:space="0" w:color="auto"/>
        <w:right w:val="none" w:sz="0" w:space="0" w:color="auto"/>
      </w:divBdr>
    </w:div>
    <w:div w:id="213976474">
      <w:bodyDiv w:val="1"/>
      <w:marLeft w:val="0"/>
      <w:marRight w:val="0"/>
      <w:marTop w:val="0"/>
      <w:marBottom w:val="0"/>
      <w:divBdr>
        <w:top w:val="none" w:sz="0" w:space="0" w:color="auto"/>
        <w:left w:val="none" w:sz="0" w:space="0" w:color="auto"/>
        <w:bottom w:val="none" w:sz="0" w:space="0" w:color="auto"/>
        <w:right w:val="none" w:sz="0" w:space="0" w:color="auto"/>
      </w:divBdr>
    </w:div>
    <w:div w:id="214585531">
      <w:bodyDiv w:val="1"/>
      <w:marLeft w:val="0"/>
      <w:marRight w:val="0"/>
      <w:marTop w:val="0"/>
      <w:marBottom w:val="0"/>
      <w:divBdr>
        <w:top w:val="none" w:sz="0" w:space="0" w:color="auto"/>
        <w:left w:val="none" w:sz="0" w:space="0" w:color="auto"/>
        <w:bottom w:val="none" w:sz="0" w:space="0" w:color="auto"/>
        <w:right w:val="none" w:sz="0" w:space="0" w:color="auto"/>
      </w:divBdr>
    </w:div>
    <w:div w:id="227695311">
      <w:bodyDiv w:val="1"/>
      <w:marLeft w:val="0"/>
      <w:marRight w:val="0"/>
      <w:marTop w:val="0"/>
      <w:marBottom w:val="0"/>
      <w:divBdr>
        <w:top w:val="none" w:sz="0" w:space="0" w:color="auto"/>
        <w:left w:val="none" w:sz="0" w:space="0" w:color="auto"/>
        <w:bottom w:val="none" w:sz="0" w:space="0" w:color="auto"/>
        <w:right w:val="none" w:sz="0" w:space="0" w:color="auto"/>
      </w:divBdr>
    </w:div>
    <w:div w:id="228468662">
      <w:bodyDiv w:val="1"/>
      <w:marLeft w:val="0"/>
      <w:marRight w:val="0"/>
      <w:marTop w:val="0"/>
      <w:marBottom w:val="0"/>
      <w:divBdr>
        <w:top w:val="none" w:sz="0" w:space="0" w:color="auto"/>
        <w:left w:val="none" w:sz="0" w:space="0" w:color="auto"/>
        <w:bottom w:val="none" w:sz="0" w:space="0" w:color="auto"/>
        <w:right w:val="none" w:sz="0" w:space="0" w:color="auto"/>
      </w:divBdr>
    </w:div>
    <w:div w:id="228811779">
      <w:bodyDiv w:val="1"/>
      <w:marLeft w:val="0"/>
      <w:marRight w:val="0"/>
      <w:marTop w:val="0"/>
      <w:marBottom w:val="0"/>
      <w:divBdr>
        <w:top w:val="none" w:sz="0" w:space="0" w:color="auto"/>
        <w:left w:val="none" w:sz="0" w:space="0" w:color="auto"/>
        <w:bottom w:val="none" w:sz="0" w:space="0" w:color="auto"/>
        <w:right w:val="none" w:sz="0" w:space="0" w:color="auto"/>
      </w:divBdr>
    </w:div>
    <w:div w:id="229997043">
      <w:bodyDiv w:val="1"/>
      <w:marLeft w:val="0"/>
      <w:marRight w:val="0"/>
      <w:marTop w:val="0"/>
      <w:marBottom w:val="0"/>
      <w:divBdr>
        <w:top w:val="none" w:sz="0" w:space="0" w:color="auto"/>
        <w:left w:val="none" w:sz="0" w:space="0" w:color="auto"/>
        <w:bottom w:val="none" w:sz="0" w:space="0" w:color="auto"/>
        <w:right w:val="none" w:sz="0" w:space="0" w:color="auto"/>
      </w:divBdr>
    </w:div>
    <w:div w:id="234097840">
      <w:bodyDiv w:val="1"/>
      <w:marLeft w:val="0"/>
      <w:marRight w:val="0"/>
      <w:marTop w:val="0"/>
      <w:marBottom w:val="0"/>
      <w:divBdr>
        <w:top w:val="none" w:sz="0" w:space="0" w:color="auto"/>
        <w:left w:val="none" w:sz="0" w:space="0" w:color="auto"/>
        <w:bottom w:val="none" w:sz="0" w:space="0" w:color="auto"/>
        <w:right w:val="none" w:sz="0" w:space="0" w:color="auto"/>
      </w:divBdr>
    </w:div>
    <w:div w:id="236675391">
      <w:bodyDiv w:val="1"/>
      <w:marLeft w:val="0"/>
      <w:marRight w:val="0"/>
      <w:marTop w:val="0"/>
      <w:marBottom w:val="0"/>
      <w:divBdr>
        <w:top w:val="none" w:sz="0" w:space="0" w:color="auto"/>
        <w:left w:val="none" w:sz="0" w:space="0" w:color="auto"/>
        <w:bottom w:val="none" w:sz="0" w:space="0" w:color="auto"/>
        <w:right w:val="none" w:sz="0" w:space="0" w:color="auto"/>
      </w:divBdr>
    </w:div>
    <w:div w:id="243884410">
      <w:bodyDiv w:val="1"/>
      <w:marLeft w:val="0"/>
      <w:marRight w:val="0"/>
      <w:marTop w:val="0"/>
      <w:marBottom w:val="0"/>
      <w:divBdr>
        <w:top w:val="none" w:sz="0" w:space="0" w:color="auto"/>
        <w:left w:val="none" w:sz="0" w:space="0" w:color="auto"/>
        <w:bottom w:val="none" w:sz="0" w:space="0" w:color="auto"/>
        <w:right w:val="none" w:sz="0" w:space="0" w:color="auto"/>
      </w:divBdr>
    </w:div>
    <w:div w:id="243999370">
      <w:bodyDiv w:val="1"/>
      <w:marLeft w:val="0"/>
      <w:marRight w:val="0"/>
      <w:marTop w:val="0"/>
      <w:marBottom w:val="0"/>
      <w:divBdr>
        <w:top w:val="none" w:sz="0" w:space="0" w:color="auto"/>
        <w:left w:val="none" w:sz="0" w:space="0" w:color="auto"/>
        <w:bottom w:val="none" w:sz="0" w:space="0" w:color="auto"/>
        <w:right w:val="none" w:sz="0" w:space="0" w:color="auto"/>
      </w:divBdr>
    </w:div>
    <w:div w:id="247615680">
      <w:bodyDiv w:val="1"/>
      <w:marLeft w:val="0"/>
      <w:marRight w:val="0"/>
      <w:marTop w:val="0"/>
      <w:marBottom w:val="0"/>
      <w:divBdr>
        <w:top w:val="none" w:sz="0" w:space="0" w:color="auto"/>
        <w:left w:val="none" w:sz="0" w:space="0" w:color="auto"/>
        <w:bottom w:val="none" w:sz="0" w:space="0" w:color="auto"/>
        <w:right w:val="none" w:sz="0" w:space="0" w:color="auto"/>
      </w:divBdr>
    </w:div>
    <w:div w:id="250283444">
      <w:bodyDiv w:val="1"/>
      <w:marLeft w:val="0"/>
      <w:marRight w:val="0"/>
      <w:marTop w:val="0"/>
      <w:marBottom w:val="0"/>
      <w:divBdr>
        <w:top w:val="none" w:sz="0" w:space="0" w:color="auto"/>
        <w:left w:val="none" w:sz="0" w:space="0" w:color="auto"/>
        <w:bottom w:val="none" w:sz="0" w:space="0" w:color="auto"/>
        <w:right w:val="none" w:sz="0" w:space="0" w:color="auto"/>
      </w:divBdr>
    </w:div>
    <w:div w:id="252904643">
      <w:bodyDiv w:val="1"/>
      <w:marLeft w:val="0"/>
      <w:marRight w:val="0"/>
      <w:marTop w:val="0"/>
      <w:marBottom w:val="0"/>
      <w:divBdr>
        <w:top w:val="none" w:sz="0" w:space="0" w:color="auto"/>
        <w:left w:val="none" w:sz="0" w:space="0" w:color="auto"/>
        <w:bottom w:val="none" w:sz="0" w:space="0" w:color="auto"/>
        <w:right w:val="none" w:sz="0" w:space="0" w:color="auto"/>
      </w:divBdr>
    </w:div>
    <w:div w:id="255476728">
      <w:bodyDiv w:val="1"/>
      <w:marLeft w:val="0"/>
      <w:marRight w:val="0"/>
      <w:marTop w:val="0"/>
      <w:marBottom w:val="0"/>
      <w:divBdr>
        <w:top w:val="none" w:sz="0" w:space="0" w:color="auto"/>
        <w:left w:val="none" w:sz="0" w:space="0" w:color="auto"/>
        <w:bottom w:val="none" w:sz="0" w:space="0" w:color="auto"/>
        <w:right w:val="none" w:sz="0" w:space="0" w:color="auto"/>
      </w:divBdr>
    </w:div>
    <w:div w:id="256446248">
      <w:bodyDiv w:val="1"/>
      <w:marLeft w:val="0"/>
      <w:marRight w:val="0"/>
      <w:marTop w:val="0"/>
      <w:marBottom w:val="0"/>
      <w:divBdr>
        <w:top w:val="none" w:sz="0" w:space="0" w:color="auto"/>
        <w:left w:val="none" w:sz="0" w:space="0" w:color="auto"/>
        <w:bottom w:val="none" w:sz="0" w:space="0" w:color="auto"/>
        <w:right w:val="none" w:sz="0" w:space="0" w:color="auto"/>
      </w:divBdr>
    </w:div>
    <w:div w:id="260846420">
      <w:bodyDiv w:val="1"/>
      <w:marLeft w:val="0"/>
      <w:marRight w:val="0"/>
      <w:marTop w:val="0"/>
      <w:marBottom w:val="0"/>
      <w:divBdr>
        <w:top w:val="none" w:sz="0" w:space="0" w:color="auto"/>
        <w:left w:val="none" w:sz="0" w:space="0" w:color="auto"/>
        <w:bottom w:val="none" w:sz="0" w:space="0" w:color="auto"/>
        <w:right w:val="none" w:sz="0" w:space="0" w:color="auto"/>
      </w:divBdr>
    </w:div>
    <w:div w:id="261304808">
      <w:bodyDiv w:val="1"/>
      <w:marLeft w:val="0"/>
      <w:marRight w:val="0"/>
      <w:marTop w:val="0"/>
      <w:marBottom w:val="0"/>
      <w:divBdr>
        <w:top w:val="none" w:sz="0" w:space="0" w:color="auto"/>
        <w:left w:val="none" w:sz="0" w:space="0" w:color="auto"/>
        <w:bottom w:val="none" w:sz="0" w:space="0" w:color="auto"/>
        <w:right w:val="none" w:sz="0" w:space="0" w:color="auto"/>
      </w:divBdr>
    </w:div>
    <w:div w:id="261570762">
      <w:bodyDiv w:val="1"/>
      <w:marLeft w:val="0"/>
      <w:marRight w:val="0"/>
      <w:marTop w:val="0"/>
      <w:marBottom w:val="0"/>
      <w:divBdr>
        <w:top w:val="none" w:sz="0" w:space="0" w:color="auto"/>
        <w:left w:val="none" w:sz="0" w:space="0" w:color="auto"/>
        <w:bottom w:val="none" w:sz="0" w:space="0" w:color="auto"/>
        <w:right w:val="none" w:sz="0" w:space="0" w:color="auto"/>
      </w:divBdr>
    </w:div>
    <w:div w:id="262079880">
      <w:bodyDiv w:val="1"/>
      <w:marLeft w:val="0"/>
      <w:marRight w:val="0"/>
      <w:marTop w:val="0"/>
      <w:marBottom w:val="0"/>
      <w:divBdr>
        <w:top w:val="none" w:sz="0" w:space="0" w:color="auto"/>
        <w:left w:val="none" w:sz="0" w:space="0" w:color="auto"/>
        <w:bottom w:val="none" w:sz="0" w:space="0" w:color="auto"/>
        <w:right w:val="none" w:sz="0" w:space="0" w:color="auto"/>
      </w:divBdr>
    </w:div>
    <w:div w:id="266086315">
      <w:bodyDiv w:val="1"/>
      <w:marLeft w:val="0"/>
      <w:marRight w:val="0"/>
      <w:marTop w:val="0"/>
      <w:marBottom w:val="0"/>
      <w:divBdr>
        <w:top w:val="none" w:sz="0" w:space="0" w:color="auto"/>
        <w:left w:val="none" w:sz="0" w:space="0" w:color="auto"/>
        <w:bottom w:val="none" w:sz="0" w:space="0" w:color="auto"/>
        <w:right w:val="none" w:sz="0" w:space="0" w:color="auto"/>
      </w:divBdr>
    </w:div>
    <w:div w:id="268322457">
      <w:bodyDiv w:val="1"/>
      <w:marLeft w:val="0"/>
      <w:marRight w:val="0"/>
      <w:marTop w:val="0"/>
      <w:marBottom w:val="0"/>
      <w:divBdr>
        <w:top w:val="none" w:sz="0" w:space="0" w:color="auto"/>
        <w:left w:val="none" w:sz="0" w:space="0" w:color="auto"/>
        <w:bottom w:val="none" w:sz="0" w:space="0" w:color="auto"/>
        <w:right w:val="none" w:sz="0" w:space="0" w:color="auto"/>
      </w:divBdr>
    </w:div>
    <w:div w:id="283191548">
      <w:bodyDiv w:val="1"/>
      <w:marLeft w:val="0"/>
      <w:marRight w:val="0"/>
      <w:marTop w:val="0"/>
      <w:marBottom w:val="0"/>
      <w:divBdr>
        <w:top w:val="none" w:sz="0" w:space="0" w:color="auto"/>
        <w:left w:val="none" w:sz="0" w:space="0" w:color="auto"/>
        <w:bottom w:val="none" w:sz="0" w:space="0" w:color="auto"/>
        <w:right w:val="none" w:sz="0" w:space="0" w:color="auto"/>
      </w:divBdr>
    </w:div>
    <w:div w:id="287516779">
      <w:bodyDiv w:val="1"/>
      <w:marLeft w:val="0"/>
      <w:marRight w:val="0"/>
      <w:marTop w:val="0"/>
      <w:marBottom w:val="0"/>
      <w:divBdr>
        <w:top w:val="none" w:sz="0" w:space="0" w:color="auto"/>
        <w:left w:val="none" w:sz="0" w:space="0" w:color="auto"/>
        <w:bottom w:val="none" w:sz="0" w:space="0" w:color="auto"/>
        <w:right w:val="none" w:sz="0" w:space="0" w:color="auto"/>
      </w:divBdr>
    </w:div>
    <w:div w:id="294409863">
      <w:bodyDiv w:val="1"/>
      <w:marLeft w:val="0"/>
      <w:marRight w:val="0"/>
      <w:marTop w:val="0"/>
      <w:marBottom w:val="0"/>
      <w:divBdr>
        <w:top w:val="none" w:sz="0" w:space="0" w:color="auto"/>
        <w:left w:val="none" w:sz="0" w:space="0" w:color="auto"/>
        <w:bottom w:val="none" w:sz="0" w:space="0" w:color="auto"/>
        <w:right w:val="none" w:sz="0" w:space="0" w:color="auto"/>
      </w:divBdr>
    </w:div>
    <w:div w:id="304362161">
      <w:bodyDiv w:val="1"/>
      <w:marLeft w:val="0"/>
      <w:marRight w:val="0"/>
      <w:marTop w:val="0"/>
      <w:marBottom w:val="0"/>
      <w:divBdr>
        <w:top w:val="none" w:sz="0" w:space="0" w:color="auto"/>
        <w:left w:val="none" w:sz="0" w:space="0" w:color="auto"/>
        <w:bottom w:val="none" w:sz="0" w:space="0" w:color="auto"/>
        <w:right w:val="none" w:sz="0" w:space="0" w:color="auto"/>
      </w:divBdr>
    </w:div>
    <w:div w:id="304703377">
      <w:bodyDiv w:val="1"/>
      <w:marLeft w:val="0"/>
      <w:marRight w:val="0"/>
      <w:marTop w:val="0"/>
      <w:marBottom w:val="0"/>
      <w:divBdr>
        <w:top w:val="none" w:sz="0" w:space="0" w:color="auto"/>
        <w:left w:val="none" w:sz="0" w:space="0" w:color="auto"/>
        <w:bottom w:val="none" w:sz="0" w:space="0" w:color="auto"/>
        <w:right w:val="none" w:sz="0" w:space="0" w:color="auto"/>
      </w:divBdr>
    </w:div>
    <w:div w:id="308167907">
      <w:bodyDiv w:val="1"/>
      <w:marLeft w:val="0"/>
      <w:marRight w:val="0"/>
      <w:marTop w:val="0"/>
      <w:marBottom w:val="0"/>
      <w:divBdr>
        <w:top w:val="none" w:sz="0" w:space="0" w:color="auto"/>
        <w:left w:val="none" w:sz="0" w:space="0" w:color="auto"/>
        <w:bottom w:val="none" w:sz="0" w:space="0" w:color="auto"/>
        <w:right w:val="none" w:sz="0" w:space="0" w:color="auto"/>
      </w:divBdr>
    </w:div>
    <w:div w:id="309989809">
      <w:bodyDiv w:val="1"/>
      <w:marLeft w:val="0"/>
      <w:marRight w:val="0"/>
      <w:marTop w:val="0"/>
      <w:marBottom w:val="0"/>
      <w:divBdr>
        <w:top w:val="none" w:sz="0" w:space="0" w:color="auto"/>
        <w:left w:val="none" w:sz="0" w:space="0" w:color="auto"/>
        <w:bottom w:val="none" w:sz="0" w:space="0" w:color="auto"/>
        <w:right w:val="none" w:sz="0" w:space="0" w:color="auto"/>
      </w:divBdr>
    </w:div>
    <w:div w:id="315845365">
      <w:bodyDiv w:val="1"/>
      <w:marLeft w:val="0"/>
      <w:marRight w:val="0"/>
      <w:marTop w:val="0"/>
      <w:marBottom w:val="0"/>
      <w:divBdr>
        <w:top w:val="none" w:sz="0" w:space="0" w:color="auto"/>
        <w:left w:val="none" w:sz="0" w:space="0" w:color="auto"/>
        <w:bottom w:val="none" w:sz="0" w:space="0" w:color="auto"/>
        <w:right w:val="none" w:sz="0" w:space="0" w:color="auto"/>
      </w:divBdr>
    </w:div>
    <w:div w:id="316106215">
      <w:bodyDiv w:val="1"/>
      <w:marLeft w:val="0"/>
      <w:marRight w:val="0"/>
      <w:marTop w:val="0"/>
      <w:marBottom w:val="0"/>
      <w:divBdr>
        <w:top w:val="none" w:sz="0" w:space="0" w:color="auto"/>
        <w:left w:val="none" w:sz="0" w:space="0" w:color="auto"/>
        <w:bottom w:val="none" w:sz="0" w:space="0" w:color="auto"/>
        <w:right w:val="none" w:sz="0" w:space="0" w:color="auto"/>
      </w:divBdr>
    </w:div>
    <w:div w:id="317268651">
      <w:bodyDiv w:val="1"/>
      <w:marLeft w:val="0"/>
      <w:marRight w:val="0"/>
      <w:marTop w:val="0"/>
      <w:marBottom w:val="0"/>
      <w:divBdr>
        <w:top w:val="none" w:sz="0" w:space="0" w:color="auto"/>
        <w:left w:val="none" w:sz="0" w:space="0" w:color="auto"/>
        <w:bottom w:val="none" w:sz="0" w:space="0" w:color="auto"/>
        <w:right w:val="none" w:sz="0" w:space="0" w:color="auto"/>
      </w:divBdr>
    </w:div>
    <w:div w:id="320892519">
      <w:bodyDiv w:val="1"/>
      <w:marLeft w:val="0"/>
      <w:marRight w:val="0"/>
      <w:marTop w:val="0"/>
      <w:marBottom w:val="0"/>
      <w:divBdr>
        <w:top w:val="none" w:sz="0" w:space="0" w:color="auto"/>
        <w:left w:val="none" w:sz="0" w:space="0" w:color="auto"/>
        <w:bottom w:val="none" w:sz="0" w:space="0" w:color="auto"/>
        <w:right w:val="none" w:sz="0" w:space="0" w:color="auto"/>
      </w:divBdr>
    </w:div>
    <w:div w:id="322859032">
      <w:bodyDiv w:val="1"/>
      <w:marLeft w:val="0"/>
      <w:marRight w:val="0"/>
      <w:marTop w:val="0"/>
      <w:marBottom w:val="0"/>
      <w:divBdr>
        <w:top w:val="none" w:sz="0" w:space="0" w:color="auto"/>
        <w:left w:val="none" w:sz="0" w:space="0" w:color="auto"/>
        <w:bottom w:val="none" w:sz="0" w:space="0" w:color="auto"/>
        <w:right w:val="none" w:sz="0" w:space="0" w:color="auto"/>
      </w:divBdr>
    </w:div>
    <w:div w:id="325286418">
      <w:bodyDiv w:val="1"/>
      <w:marLeft w:val="0"/>
      <w:marRight w:val="0"/>
      <w:marTop w:val="0"/>
      <w:marBottom w:val="0"/>
      <w:divBdr>
        <w:top w:val="none" w:sz="0" w:space="0" w:color="auto"/>
        <w:left w:val="none" w:sz="0" w:space="0" w:color="auto"/>
        <w:bottom w:val="none" w:sz="0" w:space="0" w:color="auto"/>
        <w:right w:val="none" w:sz="0" w:space="0" w:color="auto"/>
      </w:divBdr>
    </w:div>
    <w:div w:id="325593930">
      <w:bodyDiv w:val="1"/>
      <w:marLeft w:val="0"/>
      <w:marRight w:val="0"/>
      <w:marTop w:val="0"/>
      <w:marBottom w:val="0"/>
      <w:divBdr>
        <w:top w:val="none" w:sz="0" w:space="0" w:color="auto"/>
        <w:left w:val="none" w:sz="0" w:space="0" w:color="auto"/>
        <w:bottom w:val="none" w:sz="0" w:space="0" w:color="auto"/>
        <w:right w:val="none" w:sz="0" w:space="0" w:color="auto"/>
      </w:divBdr>
    </w:div>
    <w:div w:id="336619899">
      <w:bodyDiv w:val="1"/>
      <w:marLeft w:val="0"/>
      <w:marRight w:val="0"/>
      <w:marTop w:val="0"/>
      <w:marBottom w:val="0"/>
      <w:divBdr>
        <w:top w:val="none" w:sz="0" w:space="0" w:color="auto"/>
        <w:left w:val="none" w:sz="0" w:space="0" w:color="auto"/>
        <w:bottom w:val="none" w:sz="0" w:space="0" w:color="auto"/>
        <w:right w:val="none" w:sz="0" w:space="0" w:color="auto"/>
      </w:divBdr>
    </w:div>
    <w:div w:id="347296758">
      <w:bodyDiv w:val="1"/>
      <w:marLeft w:val="0"/>
      <w:marRight w:val="0"/>
      <w:marTop w:val="0"/>
      <w:marBottom w:val="0"/>
      <w:divBdr>
        <w:top w:val="none" w:sz="0" w:space="0" w:color="auto"/>
        <w:left w:val="none" w:sz="0" w:space="0" w:color="auto"/>
        <w:bottom w:val="none" w:sz="0" w:space="0" w:color="auto"/>
        <w:right w:val="none" w:sz="0" w:space="0" w:color="auto"/>
      </w:divBdr>
    </w:div>
    <w:div w:id="349333469">
      <w:bodyDiv w:val="1"/>
      <w:marLeft w:val="0"/>
      <w:marRight w:val="0"/>
      <w:marTop w:val="0"/>
      <w:marBottom w:val="0"/>
      <w:divBdr>
        <w:top w:val="none" w:sz="0" w:space="0" w:color="auto"/>
        <w:left w:val="none" w:sz="0" w:space="0" w:color="auto"/>
        <w:bottom w:val="none" w:sz="0" w:space="0" w:color="auto"/>
        <w:right w:val="none" w:sz="0" w:space="0" w:color="auto"/>
      </w:divBdr>
    </w:div>
    <w:div w:id="350106309">
      <w:bodyDiv w:val="1"/>
      <w:marLeft w:val="0"/>
      <w:marRight w:val="0"/>
      <w:marTop w:val="0"/>
      <w:marBottom w:val="0"/>
      <w:divBdr>
        <w:top w:val="none" w:sz="0" w:space="0" w:color="auto"/>
        <w:left w:val="none" w:sz="0" w:space="0" w:color="auto"/>
        <w:bottom w:val="none" w:sz="0" w:space="0" w:color="auto"/>
        <w:right w:val="none" w:sz="0" w:space="0" w:color="auto"/>
      </w:divBdr>
    </w:div>
    <w:div w:id="350617650">
      <w:bodyDiv w:val="1"/>
      <w:marLeft w:val="0"/>
      <w:marRight w:val="0"/>
      <w:marTop w:val="0"/>
      <w:marBottom w:val="0"/>
      <w:divBdr>
        <w:top w:val="none" w:sz="0" w:space="0" w:color="auto"/>
        <w:left w:val="none" w:sz="0" w:space="0" w:color="auto"/>
        <w:bottom w:val="none" w:sz="0" w:space="0" w:color="auto"/>
        <w:right w:val="none" w:sz="0" w:space="0" w:color="auto"/>
      </w:divBdr>
    </w:div>
    <w:div w:id="370033854">
      <w:bodyDiv w:val="1"/>
      <w:marLeft w:val="0"/>
      <w:marRight w:val="0"/>
      <w:marTop w:val="0"/>
      <w:marBottom w:val="0"/>
      <w:divBdr>
        <w:top w:val="none" w:sz="0" w:space="0" w:color="auto"/>
        <w:left w:val="none" w:sz="0" w:space="0" w:color="auto"/>
        <w:bottom w:val="none" w:sz="0" w:space="0" w:color="auto"/>
        <w:right w:val="none" w:sz="0" w:space="0" w:color="auto"/>
      </w:divBdr>
    </w:div>
    <w:div w:id="375930651">
      <w:bodyDiv w:val="1"/>
      <w:marLeft w:val="0"/>
      <w:marRight w:val="0"/>
      <w:marTop w:val="0"/>
      <w:marBottom w:val="0"/>
      <w:divBdr>
        <w:top w:val="none" w:sz="0" w:space="0" w:color="auto"/>
        <w:left w:val="none" w:sz="0" w:space="0" w:color="auto"/>
        <w:bottom w:val="none" w:sz="0" w:space="0" w:color="auto"/>
        <w:right w:val="none" w:sz="0" w:space="0" w:color="auto"/>
      </w:divBdr>
    </w:div>
    <w:div w:id="382141337">
      <w:bodyDiv w:val="1"/>
      <w:marLeft w:val="0"/>
      <w:marRight w:val="0"/>
      <w:marTop w:val="0"/>
      <w:marBottom w:val="0"/>
      <w:divBdr>
        <w:top w:val="none" w:sz="0" w:space="0" w:color="auto"/>
        <w:left w:val="none" w:sz="0" w:space="0" w:color="auto"/>
        <w:bottom w:val="none" w:sz="0" w:space="0" w:color="auto"/>
        <w:right w:val="none" w:sz="0" w:space="0" w:color="auto"/>
      </w:divBdr>
    </w:div>
    <w:div w:id="386145127">
      <w:bodyDiv w:val="1"/>
      <w:marLeft w:val="0"/>
      <w:marRight w:val="0"/>
      <w:marTop w:val="0"/>
      <w:marBottom w:val="0"/>
      <w:divBdr>
        <w:top w:val="none" w:sz="0" w:space="0" w:color="auto"/>
        <w:left w:val="none" w:sz="0" w:space="0" w:color="auto"/>
        <w:bottom w:val="none" w:sz="0" w:space="0" w:color="auto"/>
        <w:right w:val="none" w:sz="0" w:space="0" w:color="auto"/>
      </w:divBdr>
    </w:div>
    <w:div w:id="388769486">
      <w:bodyDiv w:val="1"/>
      <w:marLeft w:val="0"/>
      <w:marRight w:val="0"/>
      <w:marTop w:val="0"/>
      <w:marBottom w:val="0"/>
      <w:divBdr>
        <w:top w:val="none" w:sz="0" w:space="0" w:color="auto"/>
        <w:left w:val="none" w:sz="0" w:space="0" w:color="auto"/>
        <w:bottom w:val="none" w:sz="0" w:space="0" w:color="auto"/>
        <w:right w:val="none" w:sz="0" w:space="0" w:color="auto"/>
      </w:divBdr>
    </w:div>
    <w:div w:id="391972676">
      <w:bodyDiv w:val="1"/>
      <w:marLeft w:val="0"/>
      <w:marRight w:val="0"/>
      <w:marTop w:val="0"/>
      <w:marBottom w:val="0"/>
      <w:divBdr>
        <w:top w:val="none" w:sz="0" w:space="0" w:color="auto"/>
        <w:left w:val="none" w:sz="0" w:space="0" w:color="auto"/>
        <w:bottom w:val="none" w:sz="0" w:space="0" w:color="auto"/>
        <w:right w:val="none" w:sz="0" w:space="0" w:color="auto"/>
      </w:divBdr>
    </w:div>
    <w:div w:id="397942054">
      <w:bodyDiv w:val="1"/>
      <w:marLeft w:val="0"/>
      <w:marRight w:val="0"/>
      <w:marTop w:val="0"/>
      <w:marBottom w:val="0"/>
      <w:divBdr>
        <w:top w:val="none" w:sz="0" w:space="0" w:color="auto"/>
        <w:left w:val="none" w:sz="0" w:space="0" w:color="auto"/>
        <w:bottom w:val="none" w:sz="0" w:space="0" w:color="auto"/>
        <w:right w:val="none" w:sz="0" w:space="0" w:color="auto"/>
      </w:divBdr>
    </w:div>
    <w:div w:id="408960520">
      <w:bodyDiv w:val="1"/>
      <w:marLeft w:val="0"/>
      <w:marRight w:val="0"/>
      <w:marTop w:val="0"/>
      <w:marBottom w:val="0"/>
      <w:divBdr>
        <w:top w:val="none" w:sz="0" w:space="0" w:color="auto"/>
        <w:left w:val="none" w:sz="0" w:space="0" w:color="auto"/>
        <w:bottom w:val="none" w:sz="0" w:space="0" w:color="auto"/>
        <w:right w:val="none" w:sz="0" w:space="0" w:color="auto"/>
      </w:divBdr>
    </w:div>
    <w:div w:id="409545044">
      <w:bodyDiv w:val="1"/>
      <w:marLeft w:val="0"/>
      <w:marRight w:val="0"/>
      <w:marTop w:val="0"/>
      <w:marBottom w:val="0"/>
      <w:divBdr>
        <w:top w:val="none" w:sz="0" w:space="0" w:color="auto"/>
        <w:left w:val="none" w:sz="0" w:space="0" w:color="auto"/>
        <w:bottom w:val="none" w:sz="0" w:space="0" w:color="auto"/>
        <w:right w:val="none" w:sz="0" w:space="0" w:color="auto"/>
      </w:divBdr>
    </w:div>
    <w:div w:id="414209078">
      <w:bodyDiv w:val="1"/>
      <w:marLeft w:val="0"/>
      <w:marRight w:val="0"/>
      <w:marTop w:val="0"/>
      <w:marBottom w:val="0"/>
      <w:divBdr>
        <w:top w:val="none" w:sz="0" w:space="0" w:color="auto"/>
        <w:left w:val="none" w:sz="0" w:space="0" w:color="auto"/>
        <w:bottom w:val="none" w:sz="0" w:space="0" w:color="auto"/>
        <w:right w:val="none" w:sz="0" w:space="0" w:color="auto"/>
      </w:divBdr>
    </w:div>
    <w:div w:id="420299552">
      <w:bodyDiv w:val="1"/>
      <w:marLeft w:val="0"/>
      <w:marRight w:val="0"/>
      <w:marTop w:val="0"/>
      <w:marBottom w:val="0"/>
      <w:divBdr>
        <w:top w:val="none" w:sz="0" w:space="0" w:color="auto"/>
        <w:left w:val="none" w:sz="0" w:space="0" w:color="auto"/>
        <w:bottom w:val="none" w:sz="0" w:space="0" w:color="auto"/>
        <w:right w:val="none" w:sz="0" w:space="0" w:color="auto"/>
      </w:divBdr>
    </w:div>
    <w:div w:id="430516242">
      <w:bodyDiv w:val="1"/>
      <w:marLeft w:val="0"/>
      <w:marRight w:val="0"/>
      <w:marTop w:val="0"/>
      <w:marBottom w:val="0"/>
      <w:divBdr>
        <w:top w:val="none" w:sz="0" w:space="0" w:color="auto"/>
        <w:left w:val="none" w:sz="0" w:space="0" w:color="auto"/>
        <w:bottom w:val="none" w:sz="0" w:space="0" w:color="auto"/>
        <w:right w:val="none" w:sz="0" w:space="0" w:color="auto"/>
      </w:divBdr>
    </w:div>
    <w:div w:id="430516624">
      <w:bodyDiv w:val="1"/>
      <w:marLeft w:val="0"/>
      <w:marRight w:val="0"/>
      <w:marTop w:val="0"/>
      <w:marBottom w:val="0"/>
      <w:divBdr>
        <w:top w:val="none" w:sz="0" w:space="0" w:color="auto"/>
        <w:left w:val="none" w:sz="0" w:space="0" w:color="auto"/>
        <w:bottom w:val="none" w:sz="0" w:space="0" w:color="auto"/>
        <w:right w:val="none" w:sz="0" w:space="0" w:color="auto"/>
      </w:divBdr>
    </w:div>
    <w:div w:id="431510539">
      <w:bodyDiv w:val="1"/>
      <w:marLeft w:val="0"/>
      <w:marRight w:val="0"/>
      <w:marTop w:val="0"/>
      <w:marBottom w:val="0"/>
      <w:divBdr>
        <w:top w:val="none" w:sz="0" w:space="0" w:color="auto"/>
        <w:left w:val="none" w:sz="0" w:space="0" w:color="auto"/>
        <w:bottom w:val="none" w:sz="0" w:space="0" w:color="auto"/>
        <w:right w:val="none" w:sz="0" w:space="0" w:color="auto"/>
      </w:divBdr>
    </w:div>
    <w:div w:id="431900953">
      <w:bodyDiv w:val="1"/>
      <w:marLeft w:val="0"/>
      <w:marRight w:val="0"/>
      <w:marTop w:val="0"/>
      <w:marBottom w:val="0"/>
      <w:divBdr>
        <w:top w:val="none" w:sz="0" w:space="0" w:color="auto"/>
        <w:left w:val="none" w:sz="0" w:space="0" w:color="auto"/>
        <w:bottom w:val="none" w:sz="0" w:space="0" w:color="auto"/>
        <w:right w:val="none" w:sz="0" w:space="0" w:color="auto"/>
      </w:divBdr>
    </w:div>
    <w:div w:id="433863316">
      <w:bodyDiv w:val="1"/>
      <w:marLeft w:val="0"/>
      <w:marRight w:val="0"/>
      <w:marTop w:val="0"/>
      <w:marBottom w:val="0"/>
      <w:divBdr>
        <w:top w:val="none" w:sz="0" w:space="0" w:color="auto"/>
        <w:left w:val="none" w:sz="0" w:space="0" w:color="auto"/>
        <w:bottom w:val="none" w:sz="0" w:space="0" w:color="auto"/>
        <w:right w:val="none" w:sz="0" w:space="0" w:color="auto"/>
      </w:divBdr>
    </w:div>
    <w:div w:id="434063245">
      <w:bodyDiv w:val="1"/>
      <w:marLeft w:val="0"/>
      <w:marRight w:val="0"/>
      <w:marTop w:val="0"/>
      <w:marBottom w:val="0"/>
      <w:divBdr>
        <w:top w:val="none" w:sz="0" w:space="0" w:color="auto"/>
        <w:left w:val="none" w:sz="0" w:space="0" w:color="auto"/>
        <w:bottom w:val="none" w:sz="0" w:space="0" w:color="auto"/>
        <w:right w:val="none" w:sz="0" w:space="0" w:color="auto"/>
      </w:divBdr>
    </w:div>
    <w:div w:id="434134796">
      <w:bodyDiv w:val="1"/>
      <w:marLeft w:val="0"/>
      <w:marRight w:val="0"/>
      <w:marTop w:val="0"/>
      <w:marBottom w:val="0"/>
      <w:divBdr>
        <w:top w:val="none" w:sz="0" w:space="0" w:color="auto"/>
        <w:left w:val="none" w:sz="0" w:space="0" w:color="auto"/>
        <w:bottom w:val="none" w:sz="0" w:space="0" w:color="auto"/>
        <w:right w:val="none" w:sz="0" w:space="0" w:color="auto"/>
      </w:divBdr>
    </w:div>
    <w:div w:id="435440656">
      <w:bodyDiv w:val="1"/>
      <w:marLeft w:val="0"/>
      <w:marRight w:val="0"/>
      <w:marTop w:val="0"/>
      <w:marBottom w:val="0"/>
      <w:divBdr>
        <w:top w:val="none" w:sz="0" w:space="0" w:color="auto"/>
        <w:left w:val="none" w:sz="0" w:space="0" w:color="auto"/>
        <w:bottom w:val="none" w:sz="0" w:space="0" w:color="auto"/>
        <w:right w:val="none" w:sz="0" w:space="0" w:color="auto"/>
      </w:divBdr>
    </w:div>
    <w:div w:id="437526986">
      <w:bodyDiv w:val="1"/>
      <w:marLeft w:val="0"/>
      <w:marRight w:val="0"/>
      <w:marTop w:val="0"/>
      <w:marBottom w:val="0"/>
      <w:divBdr>
        <w:top w:val="none" w:sz="0" w:space="0" w:color="auto"/>
        <w:left w:val="none" w:sz="0" w:space="0" w:color="auto"/>
        <w:bottom w:val="none" w:sz="0" w:space="0" w:color="auto"/>
        <w:right w:val="none" w:sz="0" w:space="0" w:color="auto"/>
      </w:divBdr>
    </w:div>
    <w:div w:id="440422403">
      <w:bodyDiv w:val="1"/>
      <w:marLeft w:val="0"/>
      <w:marRight w:val="0"/>
      <w:marTop w:val="0"/>
      <w:marBottom w:val="0"/>
      <w:divBdr>
        <w:top w:val="none" w:sz="0" w:space="0" w:color="auto"/>
        <w:left w:val="none" w:sz="0" w:space="0" w:color="auto"/>
        <w:bottom w:val="none" w:sz="0" w:space="0" w:color="auto"/>
        <w:right w:val="none" w:sz="0" w:space="0" w:color="auto"/>
      </w:divBdr>
    </w:div>
    <w:div w:id="446437569">
      <w:bodyDiv w:val="1"/>
      <w:marLeft w:val="0"/>
      <w:marRight w:val="0"/>
      <w:marTop w:val="0"/>
      <w:marBottom w:val="0"/>
      <w:divBdr>
        <w:top w:val="none" w:sz="0" w:space="0" w:color="auto"/>
        <w:left w:val="none" w:sz="0" w:space="0" w:color="auto"/>
        <w:bottom w:val="none" w:sz="0" w:space="0" w:color="auto"/>
        <w:right w:val="none" w:sz="0" w:space="0" w:color="auto"/>
      </w:divBdr>
    </w:div>
    <w:div w:id="446511733">
      <w:bodyDiv w:val="1"/>
      <w:marLeft w:val="0"/>
      <w:marRight w:val="0"/>
      <w:marTop w:val="0"/>
      <w:marBottom w:val="0"/>
      <w:divBdr>
        <w:top w:val="none" w:sz="0" w:space="0" w:color="auto"/>
        <w:left w:val="none" w:sz="0" w:space="0" w:color="auto"/>
        <w:bottom w:val="none" w:sz="0" w:space="0" w:color="auto"/>
        <w:right w:val="none" w:sz="0" w:space="0" w:color="auto"/>
      </w:divBdr>
    </w:div>
    <w:div w:id="452137807">
      <w:bodyDiv w:val="1"/>
      <w:marLeft w:val="0"/>
      <w:marRight w:val="0"/>
      <w:marTop w:val="0"/>
      <w:marBottom w:val="0"/>
      <w:divBdr>
        <w:top w:val="none" w:sz="0" w:space="0" w:color="auto"/>
        <w:left w:val="none" w:sz="0" w:space="0" w:color="auto"/>
        <w:bottom w:val="none" w:sz="0" w:space="0" w:color="auto"/>
        <w:right w:val="none" w:sz="0" w:space="0" w:color="auto"/>
      </w:divBdr>
    </w:div>
    <w:div w:id="455297242">
      <w:bodyDiv w:val="1"/>
      <w:marLeft w:val="0"/>
      <w:marRight w:val="0"/>
      <w:marTop w:val="0"/>
      <w:marBottom w:val="0"/>
      <w:divBdr>
        <w:top w:val="none" w:sz="0" w:space="0" w:color="auto"/>
        <w:left w:val="none" w:sz="0" w:space="0" w:color="auto"/>
        <w:bottom w:val="none" w:sz="0" w:space="0" w:color="auto"/>
        <w:right w:val="none" w:sz="0" w:space="0" w:color="auto"/>
      </w:divBdr>
    </w:div>
    <w:div w:id="458961183">
      <w:bodyDiv w:val="1"/>
      <w:marLeft w:val="0"/>
      <w:marRight w:val="0"/>
      <w:marTop w:val="0"/>
      <w:marBottom w:val="0"/>
      <w:divBdr>
        <w:top w:val="none" w:sz="0" w:space="0" w:color="auto"/>
        <w:left w:val="none" w:sz="0" w:space="0" w:color="auto"/>
        <w:bottom w:val="none" w:sz="0" w:space="0" w:color="auto"/>
        <w:right w:val="none" w:sz="0" w:space="0" w:color="auto"/>
      </w:divBdr>
    </w:div>
    <w:div w:id="464587120">
      <w:bodyDiv w:val="1"/>
      <w:marLeft w:val="0"/>
      <w:marRight w:val="0"/>
      <w:marTop w:val="0"/>
      <w:marBottom w:val="0"/>
      <w:divBdr>
        <w:top w:val="none" w:sz="0" w:space="0" w:color="auto"/>
        <w:left w:val="none" w:sz="0" w:space="0" w:color="auto"/>
        <w:bottom w:val="none" w:sz="0" w:space="0" w:color="auto"/>
        <w:right w:val="none" w:sz="0" w:space="0" w:color="auto"/>
      </w:divBdr>
    </w:div>
    <w:div w:id="465513465">
      <w:bodyDiv w:val="1"/>
      <w:marLeft w:val="0"/>
      <w:marRight w:val="0"/>
      <w:marTop w:val="0"/>
      <w:marBottom w:val="0"/>
      <w:divBdr>
        <w:top w:val="none" w:sz="0" w:space="0" w:color="auto"/>
        <w:left w:val="none" w:sz="0" w:space="0" w:color="auto"/>
        <w:bottom w:val="none" w:sz="0" w:space="0" w:color="auto"/>
        <w:right w:val="none" w:sz="0" w:space="0" w:color="auto"/>
      </w:divBdr>
    </w:div>
    <w:div w:id="466431018">
      <w:bodyDiv w:val="1"/>
      <w:marLeft w:val="0"/>
      <w:marRight w:val="0"/>
      <w:marTop w:val="0"/>
      <w:marBottom w:val="0"/>
      <w:divBdr>
        <w:top w:val="none" w:sz="0" w:space="0" w:color="auto"/>
        <w:left w:val="none" w:sz="0" w:space="0" w:color="auto"/>
        <w:bottom w:val="none" w:sz="0" w:space="0" w:color="auto"/>
        <w:right w:val="none" w:sz="0" w:space="0" w:color="auto"/>
      </w:divBdr>
    </w:div>
    <w:div w:id="475492446">
      <w:bodyDiv w:val="1"/>
      <w:marLeft w:val="0"/>
      <w:marRight w:val="0"/>
      <w:marTop w:val="0"/>
      <w:marBottom w:val="0"/>
      <w:divBdr>
        <w:top w:val="none" w:sz="0" w:space="0" w:color="auto"/>
        <w:left w:val="none" w:sz="0" w:space="0" w:color="auto"/>
        <w:bottom w:val="none" w:sz="0" w:space="0" w:color="auto"/>
        <w:right w:val="none" w:sz="0" w:space="0" w:color="auto"/>
      </w:divBdr>
    </w:div>
    <w:div w:id="476917886">
      <w:bodyDiv w:val="1"/>
      <w:marLeft w:val="0"/>
      <w:marRight w:val="0"/>
      <w:marTop w:val="0"/>
      <w:marBottom w:val="0"/>
      <w:divBdr>
        <w:top w:val="none" w:sz="0" w:space="0" w:color="auto"/>
        <w:left w:val="none" w:sz="0" w:space="0" w:color="auto"/>
        <w:bottom w:val="none" w:sz="0" w:space="0" w:color="auto"/>
        <w:right w:val="none" w:sz="0" w:space="0" w:color="auto"/>
      </w:divBdr>
    </w:div>
    <w:div w:id="477692320">
      <w:bodyDiv w:val="1"/>
      <w:marLeft w:val="0"/>
      <w:marRight w:val="0"/>
      <w:marTop w:val="0"/>
      <w:marBottom w:val="0"/>
      <w:divBdr>
        <w:top w:val="none" w:sz="0" w:space="0" w:color="auto"/>
        <w:left w:val="none" w:sz="0" w:space="0" w:color="auto"/>
        <w:bottom w:val="none" w:sz="0" w:space="0" w:color="auto"/>
        <w:right w:val="none" w:sz="0" w:space="0" w:color="auto"/>
      </w:divBdr>
    </w:div>
    <w:div w:id="479620206">
      <w:bodyDiv w:val="1"/>
      <w:marLeft w:val="0"/>
      <w:marRight w:val="0"/>
      <w:marTop w:val="0"/>
      <w:marBottom w:val="0"/>
      <w:divBdr>
        <w:top w:val="none" w:sz="0" w:space="0" w:color="auto"/>
        <w:left w:val="none" w:sz="0" w:space="0" w:color="auto"/>
        <w:bottom w:val="none" w:sz="0" w:space="0" w:color="auto"/>
        <w:right w:val="none" w:sz="0" w:space="0" w:color="auto"/>
      </w:divBdr>
    </w:div>
    <w:div w:id="481117948">
      <w:bodyDiv w:val="1"/>
      <w:marLeft w:val="0"/>
      <w:marRight w:val="0"/>
      <w:marTop w:val="0"/>
      <w:marBottom w:val="0"/>
      <w:divBdr>
        <w:top w:val="none" w:sz="0" w:space="0" w:color="auto"/>
        <w:left w:val="none" w:sz="0" w:space="0" w:color="auto"/>
        <w:bottom w:val="none" w:sz="0" w:space="0" w:color="auto"/>
        <w:right w:val="none" w:sz="0" w:space="0" w:color="auto"/>
      </w:divBdr>
    </w:div>
    <w:div w:id="487550144">
      <w:bodyDiv w:val="1"/>
      <w:marLeft w:val="0"/>
      <w:marRight w:val="0"/>
      <w:marTop w:val="0"/>
      <w:marBottom w:val="0"/>
      <w:divBdr>
        <w:top w:val="none" w:sz="0" w:space="0" w:color="auto"/>
        <w:left w:val="none" w:sz="0" w:space="0" w:color="auto"/>
        <w:bottom w:val="none" w:sz="0" w:space="0" w:color="auto"/>
        <w:right w:val="none" w:sz="0" w:space="0" w:color="auto"/>
      </w:divBdr>
    </w:div>
    <w:div w:id="488255815">
      <w:bodyDiv w:val="1"/>
      <w:marLeft w:val="0"/>
      <w:marRight w:val="0"/>
      <w:marTop w:val="0"/>
      <w:marBottom w:val="0"/>
      <w:divBdr>
        <w:top w:val="none" w:sz="0" w:space="0" w:color="auto"/>
        <w:left w:val="none" w:sz="0" w:space="0" w:color="auto"/>
        <w:bottom w:val="none" w:sz="0" w:space="0" w:color="auto"/>
        <w:right w:val="none" w:sz="0" w:space="0" w:color="auto"/>
      </w:divBdr>
    </w:div>
    <w:div w:id="488636491">
      <w:bodyDiv w:val="1"/>
      <w:marLeft w:val="0"/>
      <w:marRight w:val="0"/>
      <w:marTop w:val="0"/>
      <w:marBottom w:val="0"/>
      <w:divBdr>
        <w:top w:val="none" w:sz="0" w:space="0" w:color="auto"/>
        <w:left w:val="none" w:sz="0" w:space="0" w:color="auto"/>
        <w:bottom w:val="none" w:sz="0" w:space="0" w:color="auto"/>
        <w:right w:val="none" w:sz="0" w:space="0" w:color="auto"/>
      </w:divBdr>
    </w:div>
    <w:div w:id="491721329">
      <w:bodyDiv w:val="1"/>
      <w:marLeft w:val="0"/>
      <w:marRight w:val="0"/>
      <w:marTop w:val="0"/>
      <w:marBottom w:val="0"/>
      <w:divBdr>
        <w:top w:val="none" w:sz="0" w:space="0" w:color="auto"/>
        <w:left w:val="none" w:sz="0" w:space="0" w:color="auto"/>
        <w:bottom w:val="none" w:sz="0" w:space="0" w:color="auto"/>
        <w:right w:val="none" w:sz="0" w:space="0" w:color="auto"/>
      </w:divBdr>
    </w:div>
    <w:div w:id="495607542">
      <w:bodyDiv w:val="1"/>
      <w:marLeft w:val="0"/>
      <w:marRight w:val="0"/>
      <w:marTop w:val="0"/>
      <w:marBottom w:val="0"/>
      <w:divBdr>
        <w:top w:val="none" w:sz="0" w:space="0" w:color="auto"/>
        <w:left w:val="none" w:sz="0" w:space="0" w:color="auto"/>
        <w:bottom w:val="none" w:sz="0" w:space="0" w:color="auto"/>
        <w:right w:val="none" w:sz="0" w:space="0" w:color="auto"/>
      </w:divBdr>
    </w:div>
    <w:div w:id="509829722">
      <w:bodyDiv w:val="1"/>
      <w:marLeft w:val="0"/>
      <w:marRight w:val="0"/>
      <w:marTop w:val="0"/>
      <w:marBottom w:val="0"/>
      <w:divBdr>
        <w:top w:val="none" w:sz="0" w:space="0" w:color="auto"/>
        <w:left w:val="none" w:sz="0" w:space="0" w:color="auto"/>
        <w:bottom w:val="none" w:sz="0" w:space="0" w:color="auto"/>
        <w:right w:val="none" w:sz="0" w:space="0" w:color="auto"/>
      </w:divBdr>
    </w:div>
    <w:div w:id="510879581">
      <w:bodyDiv w:val="1"/>
      <w:marLeft w:val="0"/>
      <w:marRight w:val="0"/>
      <w:marTop w:val="0"/>
      <w:marBottom w:val="0"/>
      <w:divBdr>
        <w:top w:val="none" w:sz="0" w:space="0" w:color="auto"/>
        <w:left w:val="none" w:sz="0" w:space="0" w:color="auto"/>
        <w:bottom w:val="none" w:sz="0" w:space="0" w:color="auto"/>
        <w:right w:val="none" w:sz="0" w:space="0" w:color="auto"/>
      </w:divBdr>
    </w:div>
    <w:div w:id="511720384">
      <w:bodyDiv w:val="1"/>
      <w:marLeft w:val="0"/>
      <w:marRight w:val="0"/>
      <w:marTop w:val="0"/>
      <w:marBottom w:val="0"/>
      <w:divBdr>
        <w:top w:val="none" w:sz="0" w:space="0" w:color="auto"/>
        <w:left w:val="none" w:sz="0" w:space="0" w:color="auto"/>
        <w:bottom w:val="none" w:sz="0" w:space="0" w:color="auto"/>
        <w:right w:val="none" w:sz="0" w:space="0" w:color="auto"/>
      </w:divBdr>
    </w:div>
    <w:div w:id="514685451">
      <w:bodyDiv w:val="1"/>
      <w:marLeft w:val="0"/>
      <w:marRight w:val="0"/>
      <w:marTop w:val="0"/>
      <w:marBottom w:val="0"/>
      <w:divBdr>
        <w:top w:val="none" w:sz="0" w:space="0" w:color="auto"/>
        <w:left w:val="none" w:sz="0" w:space="0" w:color="auto"/>
        <w:bottom w:val="none" w:sz="0" w:space="0" w:color="auto"/>
        <w:right w:val="none" w:sz="0" w:space="0" w:color="auto"/>
      </w:divBdr>
    </w:div>
    <w:div w:id="514921097">
      <w:bodyDiv w:val="1"/>
      <w:marLeft w:val="0"/>
      <w:marRight w:val="0"/>
      <w:marTop w:val="0"/>
      <w:marBottom w:val="0"/>
      <w:divBdr>
        <w:top w:val="none" w:sz="0" w:space="0" w:color="auto"/>
        <w:left w:val="none" w:sz="0" w:space="0" w:color="auto"/>
        <w:bottom w:val="none" w:sz="0" w:space="0" w:color="auto"/>
        <w:right w:val="none" w:sz="0" w:space="0" w:color="auto"/>
      </w:divBdr>
    </w:div>
    <w:div w:id="522284484">
      <w:bodyDiv w:val="1"/>
      <w:marLeft w:val="0"/>
      <w:marRight w:val="0"/>
      <w:marTop w:val="0"/>
      <w:marBottom w:val="0"/>
      <w:divBdr>
        <w:top w:val="none" w:sz="0" w:space="0" w:color="auto"/>
        <w:left w:val="none" w:sz="0" w:space="0" w:color="auto"/>
        <w:bottom w:val="none" w:sz="0" w:space="0" w:color="auto"/>
        <w:right w:val="none" w:sz="0" w:space="0" w:color="auto"/>
      </w:divBdr>
    </w:div>
    <w:div w:id="526917683">
      <w:bodyDiv w:val="1"/>
      <w:marLeft w:val="0"/>
      <w:marRight w:val="0"/>
      <w:marTop w:val="0"/>
      <w:marBottom w:val="0"/>
      <w:divBdr>
        <w:top w:val="none" w:sz="0" w:space="0" w:color="auto"/>
        <w:left w:val="none" w:sz="0" w:space="0" w:color="auto"/>
        <w:bottom w:val="none" w:sz="0" w:space="0" w:color="auto"/>
        <w:right w:val="none" w:sz="0" w:space="0" w:color="auto"/>
      </w:divBdr>
    </w:div>
    <w:div w:id="529731299">
      <w:bodyDiv w:val="1"/>
      <w:marLeft w:val="0"/>
      <w:marRight w:val="0"/>
      <w:marTop w:val="0"/>
      <w:marBottom w:val="0"/>
      <w:divBdr>
        <w:top w:val="none" w:sz="0" w:space="0" w:color="auto"/>
        <w:left w:val="none" w:sz="0" w:space="0" w:color="auto"/>
        <w:bottom w:val="none" w:sz="0" w:space="0" w:color="auto"/>
        <w:right w:val="none" w:sz="0" w:space="0" w:color="auto"/>
      </w:divBdr>
    </w:div>
    <w:div w:id="529879683">
      <w:bodyDiv w:val="1"/>
      <w:marLeft w:val="0"/>
      <w:marRight w:val="0"/>
      <w:marTop w:val="0"/>
      <w:marBottom w:val="0"/>
      <w:divBdr>
        <w:top w:val="none" w:sz="0" w:space="0" w:color="auto"/>
        <w:left w:val="none" w:sz="0" w:space="0" w:color="auto"/>
        <w:bottom w:val="none" w:sz="0" w:space="0" w:color="auto"/>
        <w:right w:val="none" w:sz="0" w:space="0" w:color="auto"/>
      </w:divBdr>
    </w:div>
    <w:div w:id="531455634">
      <w:bodyDiv w:val="1"/>
      <w:marLeft w:val="0"/>
      <w:marRight w:val="0"/>
      <w:marTop w:val="0"/>
      <w:marBottom w:val="0"/>
      <w:divBdr>
        <w:top w:val="none" w:sz="0" w:space="0" w:color="auto"/>
        <w:left w:val="none" w:sz="0" w:space="0" w:color="auto"/>
        <w:bottom w:val="none" w:sz="0" w:space="0" w:color="auto"/>
        <w:right w:val="none" w:sz="0" w:space="0" w:color="auto"/>
      </w:divBdr>
    </w:div>
    <w:div w:id="537619997">
      <w:bodyDiv w:val="1"/>
      <w:marLeft w:val="0"/>
      <w:marRight w:val="0"/>
      <w:marTop w:val="0"/>
      <w:marBottom w:val="0"/>
      <w:divBdr>
        <w:top w:val="none" w:sz="0" w:space="0" w:color="auto"/>
        <w:left w:val="none" w:sz="0" w:space="0" w:color="auto"/>
        <w:bottom w:val="none" w:sz="0" w:space="0" w:color="auto"/>
        <w:right w:val="none" w:sz="0" w:space="0" w:color="auto"/>
      </w:divBdr>
    </w:div>
    <w:div w:id="539511903">
      <w:bodyDiv w:val="1"/>
      <w:marLeft w:val="0"/>
      <w:marRight w:val="0"/>
      <w:marTop w:val="0"/>
      <w:marBottom w:val="0"/>
      <w:divBdr>
        <w:top w:val="none" w:sz="0" w:space="0" w:color="auto"/>
        <w:left w:val="none" w:sz="0" w:space="0" w:color="auto"/>
        <w:bottom w:val="none" w:sz="0" w:space="0" w:color="auto"/>
        <w:right w:val="none" w:sz="0" w:space="0" w:color="auto"/>
      </w:divBdr>
    </w:div>
    <w:div w:id="540023492">
      <w:bodyDiv w:val="1"/>
      <w:marLeft w:val="0"/>
      <w:marRight w:val="0"/>
      <w:marTop w:val="0"/>
      <w:marBottom w:val="0"/>
      <w:divBdr>
        <w:top w:val="none" w:sz="0" w:space="0" w:color="auto"/>
        <w:left w:val="none" w:sz="0" w:space="0" w:color="auto"/>
        <w:bottom w:val="none" w:sz="0" w:space="0" w:color="auto"/>
        <w:right w:val="none" w:sz="0" w:space="0" w:color="auto"/>
      </w:divBdr>
    </w:div>
    <w:div w:id="542790841">
      <w:bodyDiv w:val="1"/>
      <w:marLeft w:val="0"/>
      <w:marRight w:val="0"/>
      <w:marTop w:val="0"/>
      <w:marBottom w:val="0"/>
      <w:divBdr>
        <w:top w:val="none" w:sz="0" w:space="0" w:color="auto"/>
        <w:left w:val="none" w:sz="0" w:space="0" w:color="auto"/>
        <w:bottom w:val="none" w:sz="0" w:space="0" w:color="auto"/>
        <w:right w:val="none" w:sz="0" w:space="0" w:color="auto"/>
      </w:divBdr>
    </w:div>
    <w:div w:id="543102587">
      <w:bodyDiv w:val="1"/>
      <w:marLeft w:val="0"/>
      <w:marRight w:val="0"/>
      <w:marTop w:val="0"/>
      <w:marBottom w:val="0"/>
      <w:divBdr>
        <w:top w:val="none" w:sz="0" w:space="0" w:color="auto"/>
        <w:left w:val="none" w:sz="0" w:space="0" w:color="auto"/>
        <w:bottom w:val="none" w:sz="0" w:space="0" w:color="auto"/>
        <w:right w:val="none" w:sz="0" w:space="0" w:color="auto"/>
      </w:divBdr>
    </w:div>
    <w:div w:id="543950661">
      <w:bodyDiv w:val="1"/>
      <w:marLeft w:val="0"/>
      <w:marRight w:val="0"/>
      <w:marTop w:val="0"/>
      <w:marBottom w:val="0"/>
      <w:divBdr>
        <w:top w:val="none" w:sz="0" w:space="0" w:color="auto"/>
        <w:left w:val="none" w:sz="0" w:space="0" w:color="auto"/>
        <w:bottom w:val="none" w:sz="0" w:space="0" w:color="auto"/>
        <w:right w:val="none" w:sz="0" w:space="0" w:color="auto"/>
      </w:divBdr>
    </w:div>
    <w:div w:id="546188389">
      <w:bodyDiv w:val="1"/>
      <w:marLeft w:val="0"/>
      <w:marRight w:val="0"/>
      <w:marTop w:val="0"/>
      <w:marBottom w:val="0"/>
      <w:divBdr>
        <w:top w:val="none" w:sz="0" w:space="0" w:color="auto"/>
        <w:left w:val="none" w:sz="0" w:space="0" w:color="auto"/>
        <w:bottom w:val="none" w:sz="0" w:space="0" w:color="auto"/>
        <w:right w:val="none" w:sz="0" w:space="0" w:color="auto"/>
      </w:divBdr>
    </w:div>
    <w:div w:id="547912800">
      <w:bodyDiv w:val="1"/>
      <w:marLeft w:val="0"/>
      <w:marRight w:val="0"/>
      <w:marTop w:val="0"/>
      <w:marBottom w:val="0"/>
      <w:divBdr>
        <w:top w:val="none" w:sz="0" w:space="0" w:color="auto"/>
        <w:left w:val="none" w:sz="0" w:space="0" w:color="auto"/>
        <w:bottom w:val="none" w:sz="0" w:space="0" w:color="auto"/>
        <w:right w:val="none" w:sz="0" w:space="0" w:color="auto"/>
      </w:divBdr>
    </w:div>
    <w:div w:id="551698045">
      <w:bodyDiv w:val="1"/>
      <w:marLeft w:val="0"/>
      <w:marRight w:val="0"/>
      <w:marTop w:val="0"/>
      <w:marBottom w:val="0"/>
      <w:divBdr>
        <w:top w:val="none" w:sz="0" w:space="0" w:color="auto"/>
        <w:left w:val="none" w:sz="0" w:space="0" w:color="auto"/>
        <w:bottom w:val="none" w:sz="0" w:space="0" w:color="auto"/>
        <w:right w:val="none" w:sz="0" w:space="0" w:color="auto"/>
      </w:divBdr>
    </w:div>
    <w:div w:id="555510637">
      <w:bodyDiv w:val="1"/>
      <w:marLeft w:val="0"/>
      <w:marRight w:val="0"/>
      <w:marTop w:val="0"/>
      <w:marBottom w:val="0"/>
      <w:divBdr>
        <w:top w:val="none" w:sz="0" w:space="0" w:color="auto"/>
        <w:left w:val="none" w:sz="0" w:space="0" w:color="auto"/>
        <w:bottom w:val="none" w:sz="0" w:space="0" w:color="auto"/>
        <w:right w:val="none" w:sz="0" w:space="0" w:color="auto"/>
      </w:divBdr>
    </w:div>
    <w:div w:id="555898268">
      <w:bodyDiv w:val="1"/>
      <w:marLeft w:val="0"/>
      <w:marRight w:val="0"/>
      <w:marTop w:val="0"/>
      <w:marBottom w:val="0"/>
      <w:divBdr>
        <w:top w:val="none" w:sz="0" w:space="0" w:color="auto"/>
        <w:left w:val="none" w:sz="0" w:space="0" w:color="auto"/>
        <w:bottom w:val="none" w:sz="0" w:space="0" w:color="auto"/>
        <w:right w:val="none" w:sz="0" w:space="0" w:color="auto"/>
      </w:divBdr>
    </w:div>
    <w:div w:id="556093140">
      <w:bodyDiv w:val="1"/>
      <w:marLeft w:val="0"/>
      <w:marRight w:val="0"/>
      <w:marTop w:val="0"/>
      <w:marBottom w:val="0"/>
      <w:divBdr>
        <w:top w:val="none" w:sz="0" w:space="0" w:color="auto"/>
        <w:left w:val="none" w:sz="0" w:space="0" w:color="auto"/>
        <w:bottom w:val="none" w:sz="0" w:space="0" w:color="auto"/>
        <w:right w:val="none" w:sz="0" w:space="0" w:color="auto"/>
      </w:divBdr>
    </w:div>
    <w:div w:id="559828318">
      <w:bodyDiv w:val="1"/>
      <w:marLeft w:val="0"/>
      <w:marRight w:val="0"/>
      <w:marTop w:val="0"/>
      <w:marBottom w:val="0"/>
      <w:divBdr>
        <w:top w:val="none" w:sz="0" w:space="0" w:color="auto"/>
        <w:left w:val="none" w:sz="0" w:space="0" w:color="auto"/>
        <w:bottom w:val="none" w:sz="0" w:space="0" w:color="auto"/>
        <w:right w:val="none" w:sz="0" w:space="0" w:color="auto"/>
      </w:divBdr>
    </w:div>
    <w:div w:id="579949271">
      <w:bodyDiv w:val="1"/>
      <w:marLeft w:val="0"/>
      <w:marRight w:val="0"/>
      <w:marTop w:val="0"/>
      <w:marBottom w:val="0"/>
      <w:divBdr>
        <w:top w:val="none" w:sz="0" w:space="0" w:color="auto"/>
        <w:left w:val="none" w:sz="0" w:space="0" w:color="auto"/>
        <w:bottom w:val="none" w:sz="0" w:space="0" w:color="auto"/>
        <w:right w:val="none" w:sz="0" w:space="0" w:color="auto"/>
      </w:divBdr>
    </w:div>
    <w:div w:id="580332559">
      <w:bodyDiv w:val="1"/>
      <w:marLeft w:val="0"/>
      <w:marRight w:val="0"/>
      <w:marTop w:val="0"/>
      <w:marBottom w:val="0"/>
      <w:divBdr>
        <w:top w:val="none" w:sz="0" w:space="0" w:color="auto"/>
        <w:left w:val="none" w:sz="0" w:space="0" w:color="auto"/>
        <w:bottom w:val="none" w:sz="0" w:space="0" w:color="auto"/>
        <w:right w:val="none" w:sz="0" w:space="0" w:color="auto"/>
      </w:divBdr>
    </w:div>
    <w:div w:id="583031648">
      <w:bodyDiv w:val="1"/>
      <w:marLeft w:val="0"/>
      <w:marRight w:val="0"/>
      <w:marTop w:val="0"/>
      <w:marBottom w:val="0"/>
      <w:divBdr>
        <w:top w:val="none" w:sz="0" w:space="0" w:color="auto"/>
        <w:left w:val="none" w:sz="0" w:space="0" w:color="auto"/>
        <w:bottom w:val="none" w:sz="0" w:space="0" w:color="auto"/>
        <w:right w:val="none" w:sz="0" w:space="0" w:color="auto"/>
      </w:divBdr>
    </w:div>
    <w:div w:id="585695890">
      <w:bodyDiv w:val="1"/>
      <w:marLeft w:val="0"/>
      <w:marRight w:val="0"/>
      <w:marTop w:val="0"/>
      <w:marBottom w:val="0"/>
      <w:divBdr>
        <w:top w:val="none" w:sz="0" w:space="0" w:color="auto"/>
        <w:left w:val="none" w:sz="0" w:space="0" w:color="auto"/>
        <w:bottom w:val="none" w:sz="0" w:space="0" w:color="auto"/>
        <w:right w:val="none" w:sz="0" w:space="0" w:color="auto"/>
      </w:divBdr>
    </w:div>
    <w:div w:id="587352908">
      <w:bodyDiv w:val="1"/>
      <w:marLeft w:val="0"/>
      <w:marRight w:val="0"/>
      <w:marTop w:val="0"/>
      <w:marBottom w:val="0"/>
      <w:divBdr>
        <w:top w:val="none" w:sz="0" w:space="0" w:color="auto"/>
        <w:left w:val="none" w:sz="0" w:space="0" w:color="auto"/>
        <w:bottom w:val="none" w:sz="0" w:space="0" w:color="auto"/>
        <w:right w:val="none" w:sz="0" w:space="0" w:color="auto"/>
      </w:divBdr>
    </w:div>
    <w:div w:id="592470777">
      <w:bodyDiv w:val="1"/>
      <w:marLeft w:val="0"/>
      <w:marRight w:val="0"/>
      <w:marTop w:val="0"/>
      <w:marBottom w:val="0"/>
      <w:divBdr>
        <w:top w:val="none" w:sz="0" w:space="0" w:color="auto"/>
        <w:left w:val="none" w:sz="0" w:space="0" w:color="auto"/>
        <w:bottom w:val="none" w:sz="0" w:space="0" w:color="auto"/>
        <w:right w:val="none" w:sz="0" w:space="0" w:color="auto"/>
      </w:divBdr>
    </w:div>
    <w:div w:id="594703379">
      <w:bodyDiv w:val="1"/>
      <w:marLeft w:val="0"/>
      <w:marRight w:val="0"/>
      <w:marTop w:val="0"/>
      <w:marBottom w:val="0"/>
      <w:divBdr>
        <w:top w:val="none" w:sz="0" w:space="0" w:color="auto"/>
        <w:left w:val="none" w:sz="0" w:space="0" w:color="auto"/>
        <w:bottom w:val="none" w:sz="0" w:space="0" w:color="auto"/>
        <w:right w:val="none" w:sz="0" w:space="0" w:color="auto"/>
      </w:divBdr>
    </w:div>
    <w:div w:id="595285701">
      <w:bodyDiv w:val="1"/>
      <w:marLeft w:val="0"/>
      <w:marRight w:val="0"/>
      <w:marTop w:val="0"/>
      <w:marBottom w:val="0"/>
      <w:divBdr>
        <w:top w:val="none" w:sz="0" w:space="0" w:color="auto"/>
        <w:left w:val="none" w:sz="0" w:space="0" w:color="auto"/>
        <w:bottom w:val="none" w:sz="0" w:space="0" w:color="auto"/>
        <w:right w:val="none" w:sz="0" w:space="0" w:color="auto"/>
      </w:divBdr>
    </w:div>
    <w:div w:id="599607062">
      <w:bodyDiv w:val="1"/>
      <w:marLeft w:val="0"/>
      <w:marRight w:val="0"/>
      <w:marTop w:val="0"/>
      <w:marBottom w:val="0"/>
      <w:divBdr>
        <w:top w:val="none" w:sz="0" w:space="0" w:color="auto"/>
        <w:left w:val="none" w:sz="0" w:space="0" w:color="auto"/>
        <w:bottom w:val="none" w:sz="0" w:space="0" w:color="auto"/>
        <w:right w:val="none" w:sz="0" w:space="0" w:color="auto"/>
      </w:divBdr>
    </w:div>
    <w:div w:id="600529476">
      <w:bodyDiv w:val="1"/>
      <w:marLeft w:val="0"/>
      <w:marRight w:val="0"/>
      <w:marTop w:val="0"/>
      <w:marBottom w:val="0"/>
      <w:divBdr>
        <w:top w:val="none" w:sz="0" w:space="0" w:color="auto"/>
        <w:left w:val="none" w:sz="0" w:space="0" w:color="auto"/>
        <w:bottom w:val="none" w:sz="0" w:space="0" w:color="auto"/>
        <w:right w:val="none" w:sz="0" w:space="0" w:color="auto"/>
      </w:divBdr>
    </w:div>
    <w:div w:id="602034232">
      <w:bodyDiv w:val="1"/>
      <w:marLeft w:val="0"/>
      <w:marRight w:val="0"/>
      <w:marTop w:val="0"/>
      <w:marBottom w:val="0"/>
      <w:divBdr>
        <w:top w:val="none" w:sz="0" w:space="0" w:color="auto"/>
        <w:left w:val="none" w:sz="0" w:space="0" w:color="auto"/>
        <w:bottom w:val="none" w:sz="0" w:space="0" w:color="auto"/>
        <w:right w:val="none" w:sz="0" w:space="0" w:color="auto"/>
      </w:divBdr>
    </w:div>
    <w:div w:id="606694075">
      <w:bodyDiv w:val="1"/>
      <w:marLeft w:val="0"/>
      <w:marRight w:val="0"/>
      <w:marTop w:val="0"/>
      <w:marBottom w:val="0"/>
      <w:divBdr>
        <w:top w:val="none" w:sz="0" w:space="0" w:color="auto"/>
        <w:left w:val="none" w:sz="0" w:space="0" w:color="auto"/>
        <w:bottom w:val="none" w:sz="0" w:space="0" w:color="auto"/>
        <w:right w:val="none" w:sz="0" w:space="0" w:color="auto"/>
      </w:divBdr>
    </w:div>
    <w:div w:id="608313826">
      <w:bodyDiv w:val="1"/>
      <w:marLeft w:val="0"/>
      <w:marRight w:val="0"/>
      <w:marTop w:val="0"/>
      <w:marBottom w:val="0"/>
      <w:divBdr>
        <w:top w:val="none" w:sz="0" w:space="0" w:color="auto"/>
        <w:left w:val="none" w:sz="0" w:space="0" w:color="auto"/>
        <w:bottom w:val="none" w:sz="0" w:space="0" w:color="auto"/>
        <w:right w:val="none" w:sz="0" w:space="0" w:color="auto"/>
      </w:divBdr>
    </w:div>
    <w:div w:id="612439410">
      <w:bodyDiv w:val="1"/>
      <w:marLeft w:val="0"/>
      <w:marRight w:val="0"/>
      <w:marTop w:val="0"/>
      <w:marBottom w:val="0"/>
      <w:divBdr>
        <w:top w:val="none" w:sz="0" w:space="0" w:color="auto"/>
        <w:left w:val="none" w:sz="0" w:space="0" w:color="auto"/>
        <w:bottom w:val="none" w:sz="0" w:space="0" w:color="auto"/>
        <w:right w:val="none" w:sz="0" w:space="0" w:color="auto"/>
      </w:divBdr>
    </w:div>
    <w:div w:id="617684545">
      <w:bodyDiv w:val="1"/>
      <w:marLeft w:val="0"/>
      <w:marRight w:val="0"/>
      <w:marTop w:val="0"/>
      <w:marBottom w:val="0"/>
      <w:divBdr>
        <w:top w:val="none" w:sz="0" w:space="0" w:color="auto"/>
        <w:left w:val="none" w:sz="0" w:space="0" w:color="auto"/>
        <w:bottom w:val="none" w:sz="0" w:space="0" w:color="auto"/>
        <w:right w:val="none" w:sz="0" w:space="0" w:color="auto"/>
      </w:divBdr>
    </w:div>
    <w:div w:id="617762768">
      <w:bodyDiv w:val="1"/>
      <w:marLeft w:val="0"/>
      <w:marRight w:val="0"/>
      <w:marTop w:val="0"/>
      <w:marBottom w:val="0"/>
      <w:divBdr>
        <w:top w:val="none" w:sz="0" w:space="0" w:color="auto"/>
        <w:left w:val="none" w:sz="0" w:space="0" w:color="auto"/>
        <w:bottom w:val="none" w:sz="0" w:space="0" w:color="auto"/>
        <w:right w:val="none" w:sz="0" w:space="0" w:color="auto"/>
      </w:divBdr>
    </w:div>
    <w:div w:id="619383361">
      <w:bodyDiv w:val="1"/>
      <w:marLeft w:val="0"/>
      <w:marRight w:val="0"/>
      <w:marTop w:val="0"/>
      <w:marBottom w:val="0"/>
      <w:divBdr>
        <w:top w:val="none" w:sz="0" w:space="0" w:color="auto"/>
        <w:left w:val="none" w:sz="0" w:space="0" w:color="auto"/>
        <w:bottom w:val="none" w:sz="0" w:space="0" w:color="auto"/>
        <w:right w:val="none" w:sz="0" w:space="0" w:color="auto"/>
      </w:divBdr>
    </w:div>
    <w:div w:id="621422705">
      <w:bodyDiv w:val="1"/>
      <w:marLeft w:val="0"/>
      <w:marRight w:val="0"/>
      <w:marTop w:val="0"/>
      <w:marBottom w:val="0"/>
      <w:divBdr>
        <w:top w:val="none" w:sz="0" w:space="0" w:color="auto"/>
        <w:left w:val="none" w:sz="0" w:space="0" w:color="auto"/>
        <w:bottom w:val="none" w:sz="0" w:space="0" w:color="auto"/>
        <w:right w:val="none" w:sz="0" w:space="0" w:color="auto"/>
      </w:divBdr>
    </w:div>
    <w:div w:id="622225777">
      <w:bodyDiv w:val="1"/>
      <w:marLeft w:val="0"/>
      <w:marRight w:val="0"/>
      <w:marTop w:val="0"/>
      <w:marBottom w:val="0"/>
      <w:divBdr>
        <w:top w:val="none" w:sz="0" w:space="0" w:color="auto"/>
        <w:left w:val="none" w:sz="0" w:space="0" w:color="auto"/>
        <w:bottom w:val="none" w:sz="0" w:space="0" w:color="auto"/>
        <w:right w:val="none" w:sz="0" w:space="0" w:color="auto"/>
      </w:divBdr>
    </w:div>
    <w:div w:id="622729757">
      <w:bodyDiv w:val="1"/>
      <w:marLeft w:val="0"/>
      <w:marRight w:val="0"/>
      <w:marTop w:val="0"/>
      <w:marBottom w:val="0"/>
      <w:divBdr>
        <w:top w:val="none" w:sz="0" w:space="0" w:color="auto"/>
        <w:left w:val="none" w:sz="0" w:space="0" w:color="auto"/>
        <w:bottom w:val="none" w:sz="0" w:space="0" w:color="auto"/>
        <w:right w:val="none" w:sz="0" w:space="0" w:color="auto"/>
      </w:divBdr>
    </w:div>
    <w:div w:id="624779418">
      <w:bodyDiv w:val="1"/>
      <w:marLeft w:val="0"/>
      <w:marRight w:val="0"/>
      <w:marTop w:val="0"/>
      <w:marBottom w:val="0"/>
      <w:divBdr>
        <w:top w:val="none" w:sz="0" w:space="0" w:color="auto"/>
        <w:left w:val="none" w:sz="0" w:space="0" w:color="auto"/>
        <w:bottom w:val="none" w:sz="0" w:space="0" w:color="auto"/>
        <w:right w:val="none" w:sz="0" w:space="0" w:color="auto"/>
      </w:divBdr>
    </w:div>
    <w:div w:id="637997443">
      <w:bodyDiv w:val="1"/>
      <w:marLeft w:val="0"/>
      <w:marRight w:val="0"/>
      <w:marTop w:val="0"/>
      <w:marBottom w:val="0"/>
      <w:divBdr>
        <w:top w:val="none" w:sz="0" w:space="0" w:color="auto"/>
        <w:left w:val="none" w:sz="0" w:space="0" w:color="auto"/>
        <w:bottom w:val="none" w:sz="0" w:space="0" w:color="auto"/>
        <w:right w:val="none" w:sz="0" w:space="0" w:color="auto"/>
      </w:divBdr>
    </w:div>
    <w:div w:id="638921419">
      <w:bodyDiv w:val="1"/>
      <w:marLeft w:val="0"/>
      <w:marRight w:val="0"/>
      <w:marTop w:val="0"/>
      <w:marBottom w:val="0"/>
      <w:divBdr>
        <w:top w:val="none" w:sz="0" w:space="0" w:color="auto"/>
        <w:left w:val="none" w:sz="0" w:space="0" w:color="auto"/>
        <w:bottom w:val="none" w:sz="0" w:space="0" w:color="auto"/>
        <w:right w:val="none" w:sz="0" w:space="0" w:color="auto"/>
      </w:divBdr>
    </w:div>
    <w:div w:id="640118437">
      <w:bodyDiv w:val="1"/>
      <w:marLeft w:val="0"/>
      <w:marRight w:val="0"/>
      <w:marTop w:val="0"/>
      <w:marBottom w:val="0"/>
      <w:divBdr>
        <w:top w:val="none" w:sz="0" w:space="0" w:color="auto"/>
        <w:left w:val="none" w:sz="0" w:space="0" w:color="auto"/>
        <w:bottom w:val="none" w:sz="0" w:space="0" w:color="auto"/>
        <w:right w:val="none" w:sz="0" w:space="0" w:color="auto"/>
      </w:divBdr>
    </w:div>
    <w:div w:id="643047938">
      <w:bodyDiv w:val="1"/>
      <w:marLeft w:val="0"/>
      <w:marRight w:val="0"/>
      <w:marTop w:val="0"/>
      <w:marBottom w:val="0"/>
      <w:divBdr>
        <w:top w:val="none" w:sz="0" w:space="0" w:color="auto"/>
        <w:left w:val="none" w:sz="0" w:space="0" w:color="auto"/>
        <w:bottom w:val="none" w:sz="0" w:space="0" w:color="auto"/>
        <w:right w:val="none" w:sz="0" w:space="0" w:color="auto"/>
      </w:divBdr>
    </w:div>
    <w:div w:id="645672946">
      <w:bodyDiv w:val="1"/>
      <w:marLeft w:val="0"/>
      <w:marRight w:val="0"/>
      <w:marTop w:val="0"/>
      <w:marBottom w:val="0"/>
      <w:divBdr>
        <w:top w:val="none" w:sz="0" w:space="0" w:color="auto"/>
        <w:left w:val="none" w:sz="0" w:space="0" w:color="auto"/>
        <w:bottom w:val="none" w:sz="0" w:space="0" w:color="auto"/>
        <w:right w:val="none" w:sz="0" w:space="0" w:color="auto"/>
      </w:divBdr>
    </w:div>
    <w:div w:id="655913330">
      <w:bodyDiv w:val="1"/>
      <w:marLeft w:val="0"/>
      <w:marRight w:val="0"/>
      <w:marTop w:val="0"/>
      <w:marBottom w:val="0"/>
      <w:divBdr>
        <w:top w:val="none" w:sz="0" w:space="0" w:color="auto"/>
        <w:left w:val="none" w:sz="0" w:space="0" w:color="auto"/>
        <w:bottom w:val="none" w:sz="0" w:space="0" w:color="auto"/>
        <w:right w:val="none" w:sz="0" w:space="0" w:color="auto"/>
      </w:divBdr>
    </w:div>
    <w:div w:id="656373514">
      <w:bodyDiv w:val="1"/>
      <w:marLeft w:val="0"/>
      <w:marRight w:val="0"/>
      <w:marTop w:val="0"/>
      <w:marBottom w:val="0"/>
      <w:divBdr>
        <w:top w:val="none" w:sz="0" w:space="0" w:color="auto"/>
        <w:left w:val="none" w:sz="0" w:space="0" w:color="auto"/>
        <w:bottom w:val="none" w:sz="0" w:space="0" w:color="auto"/>
        <w:right w:val="none" w:sz="0" w:space="0" w:color="auto"/>
      </w:divBdr>
    </w:div>
    <w:div w:id="657684837">
      <w:bodyDiv w:val="1"/>
      <w:marLeft w:val="0"/>
      <w:marRight w:val="0"/>
      <w:marTop w:val="0"/>
      <w:marBottom w:val="0"/>
      <w:divBdr>
        <w:top w:val="none" w:sz="0" w:space="0" w:color="auto"/>
        <w:left w:val="none" w:sz="0" w:space="0" w:color="auto"/>
        <w:bottom w:val="none" w:sz="0" w:space="0" w:color="auto"/>
        <w:right w:val="none" w:sz="0" w:space="0" w:color="auto"/>
      </w:divBdr>
    </w:div>
    <w:div w:id="658967516">
      <w:bodyDiv w:val="1"/>
      <w:marLeft w:val="0"/>
      <w:marRight w:val="0"/>
      <w:marTop w:val="0"/>
      <w:marBottom w:val="0"/>
      <w:divBdr>
        <w:top w:val="none" w:sz="0" w:space="0" w:color="auto"/>
        <w:left w:val="none" w:sz="0" w:space="0" w:color="auto"/>
        <w:bottom w:val="none" w:sz="0" w:space="0" w:color="auto"/>
        <w:right w:val="none" w:sz="0" w:space="0" w:color="auto"/>
      </w:divBdr>
    </w:div>
    <w:div w:id="663241121">
      <w:bodyDiv w:val="1"/>
      <w:marLeft w:val="0"/>
      <w:marRight w:val="0"/>
      <w:marTop w:val="0"/>
      <w:marBottom w:val="0"/>
      <w:divBdr>
        <w:top w:val="none" w:sz="0" w:space="0" w:color="auto"/>
        <w:left w:val="none" w:sz="0" w:space="0" w:color="auto"/>
        <w:bottom w:val="none" w:sz="0" w:space="0" w:color="auto"/>
        <w:right w:val="none" w:sz="0" w:space="0" w:color="auto"/>
      </w:divBdr>
    </w:div>
    <w:div w:id="663359531">
      <w:bodyDiv w:val="1"/>
      <w:marLeft w:val="0"/>
      <w:marRight w:val="0"/>
      <w:marTop w:val="0"/>
      <w:marBottom w:val="0"/>
      <w:divBdr>
        <w:top w:val="none" w:sz="0" w:space="0" w:color="auto"/>
        <w:left w:val="none" w:sz="0" w:space="0" w:color="auto"/>
        <w:bottom w:val="none" w:sz="0" w:space="0" w:color="auto"/>
        <w:right w:val="none" w:sz="0" w:space="0" w:color="auto"/>
      </w:divBdr>
    </w:div>
    <w:div w:id="663826471">
      <w:bodyDiv w:val="1"/>
      <w:marLeft w:val="0"/>
      <w:marRight w:val="0"/>
      <w:marTop w:val="0"/>
      <w:marBottom w:val="0"/>
      <w:divBdr>
        <w:top w:val="none" w:sz="0" w:space="0" w:color="auto"/>
        <w:left w:val="none" w:sz="0" w:space="0" w:color="auto"/>
        <w:bottom w:val="none" w:sz="0" w:space="0" w:color="auto"/>
        <w:right w:val="none" w:sz="0" w:space="0" w:color="auto"/>
      </w:divBdr>
    </w:div>
    <w:div w:id="669917752">
      <w:bodyDiv w:val="1"/>
      <w:marLeft w:val="0"/>
      <w:marRight w:val="0"/>
      <w:marTop w:val="0"/>
      <w:marBottom w:val="0"/>
      <w:divBdr>
        <w:top w:val="none" w:sz="0" w:space="0" w:color="auto"/>
        <w:left w:val="none" w:sz="0" w:space="0" w:color="auto"/>
        <w:bottom w:val="none" w:sz="0" w:space="0" w:color="auto"/>
        <w:right w:val="none" w:sz="0" w:space="0" w:color="auto"/>
      </w:divBdr>
    </w:div>
    <w:div w:id="670334666">
      <w:bodyDiv w:val="1"/>
      <w:marLeft w:val="0"/>
      <w:marRight w:val="0"/>
      <w:marTop w:val="0"/>
      <w:marBottom w:val="0"/>
      <w:divBdr>
        <w:top w:val="none" w:sz="0" w:space="0" w:color="auto"/>
        <w:left w:val="none" w:sz="0" w:space="0" w:color="auto"/>
        <w:bottom w:val="none" w:sz="0" w:space="0" w:color="auto"/>
        <w:right w:val="none" w:sz="0" w:space="0" w:color="auto"/>
      </w:divBdr>
    </w:div>
    <w:div w:id="673262001">
      <w:bodyDiv w:val="1"/>
      <w:marLeft w:val="0"/>
      <w:marRight w:val="0"/>
      <w:marTop w:val="0"/>
      <w:marBottom w:val="0"/>
      <w:divBdr>
        <w:top w:val="none" w:sz="0" w:space="0" w:color="auto"/>
        <w:left w:val="none" w:sz="0" w:space="0" w:color="auto"/>
        <w:bottom w:val="none" w:sz="0" w:space="0" w:color="auto"/>
        <w:right w:val="none" w:sz="0" w:space="0" w:color="auto"/>
      </w:divBdr>
    </w:div>
    <w:div w:id="675882421">
      <w:bodyDiv w:val="1"/>
      <w:marLeft w:val="0"/>
      <w:marRight w:val="0"/>
      <w:marTop w:val="0"/>
      <w:marBottom w:val="0"/>
      <w:divBdr>
        <w:top w:val="none" w:sz="0" w:space="0" w:color="auto"/>
        <w:left w:val="none" w:sz="0" w:space="0" w:color="auto"/>
        <w:bottom w:val="none" w:sz="0" w:space="0" w:color="auto"/>
        <w:right w:val="none" w:sz="0" w:space="0" w:color="auto"/>
      </w:divBdr>
    </w:div>
    <w:div w:id="678389373">
      <w:bodyDiv w:val="1"/>
      <w:marLeft w:val="0"/>
      <w:marRight w:val="0"/>
      <w:marTop w:val="0"/>
      <w:marBottom w:val="0"/>
      <w:divBdr>
        <w:top w:val="none" w:sz="0" w:space="0" w:color="auto"/>
        <w:left w:val="none" w:sz="0" w:space="0" w:color="auto"/>
        <w:bottom w:val="none" w:sz="0" w:space="0" w:color="auto"/>
        <w:right w:val="none" w:sz="0" w:space="0" w:color="auto"/>
      </w:divBdr>
    </w:div>
    <w:div w:id="682123613">
      <w:bodyDiv w:val="1"/>
      <w:marLeft w:val="0"/>
      <w:marRight w:val="0"/>
      <w:marTop w:val="0"/>
      <w:marBottom w:val="0"/>
      <w:divBdr>
        <w:top w:val="none" w:sz="0" w:space="0" w:color="auto"/>
        <w:left w:val="none" w:sz="0" w:space="0" w:color="auto"/>
        <w:bottom w:val="none" w:sz="0" w:space="0" w:color="auto"/>
        <w:right w:val="none" w:sz="0" w:space="0" w:color="auto"/>
      </w:divBdr>
    </w:div>
    <w:div w:id="684794714">
      <w:bodyDiv w:val="1"/>
      <w:marLeft w:val="0"/>
      <w:marRight w:val="0"/>
      <w:marTop w:val="0"/>
      <w:marBottom w:val="0"/>
      <w:divBdr>
        <w:top w:val="none" w:sz="0" w:space="0" w:color="auto"/>
        <w:left w:val="none" w:sz="0" w:space="0" w:color="auto"/>
        <w:bottom w:val="none" w:sz="0" w:space="0" w:color="auto"/>
        <w:right w:val="none" w:sz="0" w:space="0" w:color="auto"/>
      </w:divBdr>
    </w:div>
    <w:div w:id="687754831">
      <w:bodyDiv w:val="1"/>
      <w:marLeft w:val="0"/>
      <w:marRight w:val="0"/>
      <w:marTop w:val="0"/>
      <w:marBottom w:val="0"/>
      <w:divBdr>
        <w:top w:val="none" w:sz="0" w:space="0" w:color="auto"/>
        <w:left w:val="none" w:sz="0" w:space="0" w:color="auto"/>
        <w:bottom w:val="none" w:sz="0" w:space="0" w:color="auto"/>
        <w:right w:val="none" w:sz="0" w:space="0" w:color="auto"/>
      </w:divBdr>
    </w:div>
    <w:div w:id="688529147">
      <w:bodyDiv w:val="1"/>
      <w:marLeft w:val="0"/>
      <w:marRight w:val="0"/>
      <w:marTop w:val="0"/>
      <w:marBottom w:val="0"/>
      <w:divBdr>
        <w:top w:val="none" w:sz="0" w:space="0" w:color="auto"/>
        <w:left w:val="none" w:sz="0" w:space="0" w:color="auto"/>
        <w:bottom w:val="none" w:sz="0" w:space="0" w:color="auto"/>
        <w:right w:val="none" w:sz="0" w:space="0" w:color="auto"/>
      </w:divBdr>
    </w:div>
    <w:div w:id="691877880">
      <w:bodyDiv w:val="1"/>
      <w:marLeft w:val="0"/>
      <w:marRight w:val="0"/>
      <w:marTop w:val="0"/>
      <w:marBottom w:val="0"/>
      <w:divBdr>
        <w:top w:val="none" w:sz="0" w:space="0" w:color="auto"/>
        <w:left w:val="none" w:sz="0" w:space="0" w:color="auto"/>
        <w:bottom w:val="none" w:sz="0" w:space="0" w:color="auto"/>
        <w:right w:val="none" w:sz="0" w:space="0" w:color="auto"/>
      </w:divBdr>
    </w:div>
    <w:div w:id="694157492">
      <w:bodyDiv w:val="1"/>
      <w:marLeft w:val="0"/>
      <w:marRight w:val="0"/>
      <w:marTop w:val="0"/>
      <w:marBottom w:val="0"/>
      <w:divBdr>
        <w:top w:val="none" w:sz="0" w:space="0" w:color="auto"/>
        <w:left w:val="none" w:sz="0" w:space="0" w:color="auto"/>
        <w:bottom w:val="none" w:sz="0" w:space="0" w:color="auto"/>
        <w:right w:val="none" w:sz="0" w:space="0" w:color="auto"/>
      </w:divBdr>
    </w:div>
    <w:div w:id="696395978">
      <w:bodyDiv w:val="1"/>
      <w:marLeft w:val="0"/>
      <w:marRight w:val="0"/>
      <w:marTop w:val="0"/>
      <w:marBottom w:val="0"/>
      <w:divBdr>
        <w:top w:val="none" w:sz="0" w:space="0" w:color="auto"/>
        <w:left w:val="none" w:sz="0" w:space="0" w:color="auto"/>
        <w:bottom w:val="none" w:sz="0" w:space="0" w:color="auto"/>
        <w:right w:val="none" w:sz="0" w:space="0" w:color="auto"/>
      </w:divBdr>
    </w:div>
    <w:div w:id="698891074">
      <w:bodyDiv w:val="1"/>
      <w:marLeft w:val="0"/>
      <w:marRight w:val="0"/>
      <w:marTop w:val="0"/>
      <w:marBottom w:val="0"/>
      <w:divBdr>
        <w:top w:val="none" w:sz="0" w:space="0" w:color="auto"/>
        <w:left w:val="none" w:sz="0" w:space="0" w:color="auto"/>
        <w:bottom w:val="none" w:sz="0" w:space="0" w:color="auto"/>
        <w:right w:val="none" w:sz="0" w:space="0" w:color="auto"/>
      </w:divBdr>
    </w:div>
    <w:div w:id="701789899">
      <w:bodyDiv w:val="1"/>
      <w:marLeft w:val="0"/>
      <w:marRight w:val="0"/>
      <w:marTop w:val="0"/>
      <w:marBottom w:val="0"/>
      <w:divBdr>
        <w:top w:val="none" w:sz="0" w:space="0" w:color="auto"/>
        <w:left w:val="none" w:sz="0" w:space="0" w:color="auto"/>
        <w:bottom w:val="none" w:sz="0" w:space="0" w:color="auto"/>
        <w:right w:val="none" w:sz="0" w:space="0" w:color="auto"/>
      </w:divBdr>
    </w:div>
    <w:div w:id="703601781">
      <w:bodyDiv w:val="1"/>
      <w:marLeft w:val="0"/>
      <w:marRight w:val="0"/>
      <w:marTop w:val="0"/>
      <w:marBottom w:val="0"/>
      <w:divBdr>
        <w:top w:val="none" w:sz="0" w:space="0" w:color="auto"/>
        <w:left w:val="none" w:sz="0" w:space="0" w:color="auto"/>
        <w:bottom w:val="none" w:sz="0" w:space="0" w:color="auto"/>
        <w:right w:val="none" w:sz="0" w:space="0" w:color="auto"/>
      </w:divBdr>
    </w:div>
    <w:div w:id="705368356">
      <w:bodyDiv w:val="1"/>
      <w:marLeft w:val="0"/>
      <w:marRight w:val="0"/>
      <w:marTop w:val="0"/>
      <w:marBottom w:val="0"/>
      <w:divBdr>
        <w:top w:val="none" w:sz="0" w:space="0" w:color="auto"/>
        <w:left w:val="none" w:sz="0" w:space="0" w:color="auto"/>
        <w:bottom w:val="none" w:sz="0" w:space="0" w:color="auto"/>
        <w:right w:val="none" w:sz="0" w:space="0" w:color="auto"/>
      </w:divBdr>
    </w:div>
    <w:div w:id="710308064">
      <w:bodyDiv w:val="1"/>
      <w:marLeft w:val="0"/>
      <w:marRight w:val="0"/>
      <w:marTop w:val="0"/>
      <w:marBottom w:val="0"/>
      <w:divBdr>
        <w:top w:val="none" w:sz="0" w:space="0" w:color="auto"/>
        <w:left w:val="none" w:sz="0" w:space="0" w:color="auto"/>
        <w:bottom w:val="none" w:sz="0" w:space="0" w:color="auto"/>
        <w:right w:val="none" w:sz="0" w:space="0" w:color="auto"/>
      </w:divBdr>
    </w:div>
    <w:div w:id="721176149">
      <w:bodyDiv w:val="1"/>
      <w:marLeft w:val="0"/>
      <w:marRight w:val="0"/>
      <w:marTop w:val="0"/>
      <w:marBottom w:val="0"/>
      <w:divBdr>
        <w:top w:val="none" w:sz="0" w:space="0" w:color="auto"/>
        <w:left w:val="none" w:sz="0" w:space="0" w:color="auto"/>
        <w:bottom w:val="none" w:sz="0" w:space="0" w:color="auto"/>
        <w:right w:val="none" w:sz="0" w:space="0" w:color="auto"/>
      </w:divBdr>
    </w:div>
    <w:div w:id="725614957">
      <w:bodyDiv w:val="1"/>
      <w:marLeft w:val="0"/>
      <w:marRight w:val="0"/>
      <w:marTop w:val="0"/>
      <w:marBottom w:val="0"/>
      <w:divBdr>
        <w:top w:val="none" w:sz="0" w:space="0" w:color="auto"/>
        <w:left w:val="none" w:sz="0" w:space="0" w:color="auto"/>
        <w:bottom w:val="none" w:sz="0" w:space="0" w:color="auto"/>
        <w:right w:val="none" w:sz="0" w:space="0" w:color="auto"/>
      </w:divBdr>
    </w:div>
    <w:div w:id="728192780">
      <w:bodyDiv w:val="1"/>
      <w:marLeft w:val="0"/>
      <w:marRight w:val="0"/>
      <w:marTop w:val="0"/>
      <w:marBottom w:val="0"/>
      <w:divBdr>
        <w:top w:val="none" w:sz="0" w:space="0" w:color="auto"/>
        <w:left w:val="none" w:sz="0" w:space="0" w:color="auto"/>
        <w:bottom w:val="none" w:sz="0" w:space="0" w:color="auto"/>
        <w:right w:val="none" w:sz="0" w:space="0" w:color="auto"/>
      </w:divBdr>
    </w:div>
    <w:div w:id="731125740">
      <w:bodyDiv w:val="1"/>
      <w:marLeft w:val="0"/>
      <w:marRight w:val="0"/>
      <w:marTop w:val="0"/>
      <w:marBottom w:val="0"/>
      <w:divBdr>
        <w:top w:val="none" w:sz="0" w:space="0" w:color="auto"/>
        <w:left w:val="none" w:sz="0" w:space="0" w:color="auto"/>
        <w:bottom w:val="none" w:sz="0" w:space="0" w:color="auto"/>
        <w:right w:val="none" w:sz="0" w:space="0" w:color="auto"/>
      </w:divBdr>
    </w:div>
    <w:div w:id="732779968">
      <w:bodyDiv w:val="1"/>
      <w:marLeft w:val="0"/>
      <w:marRight w:val="0"/>
      <w:marTop w:val="0"/>
      <w:marBottom w:val="0"/>
      <w:divBdr>
        <w:top w:val="none" w:sz="0" w:space="0" w:color="auto"/>
        <w:left w:val="none" w:sz="0" w:space="0" w:color="auto"/>
        <w:bottom w:val="none" w:sz="0" w:space="0" w:color="auto"/>
        <w:right w:val="none" w:sz="0" w:space="0" w:color="auto"/>
      </w:divBdr>
    </w:div>
    <w:div w:id="737246176">
      <w:bodyDiv w:val="1"/>
      <w:marLeft w:val="0"/>
      <w:marRight w:val="0"/>
      <w:marTop w:val="0"/>
      <w:marBottom w:val="0"/>
      <w:divBdr>
        <w:top w:val="none" w:sz="0" w:space="0" w:color="auto"/>
        <w:left w:val="none" w:sz="0" w:space="0" w:color="auto"/>
        <w:bottom w:val="none" w:sz="0" w:space="0" w:color="auto"/>
        <w:right w:val="none" w:sz="0" w:space="0" w:color="auto"/>
      </w:divBdr>
    </w:div>
    <w:div w:id="738483979">
      <w:bodyDiv w:val="1"/>
      <w:marLeft w:val="0"/>
      <w:marRight w:val="0"/>
      <w:marTop w:val="0"/>
      <w:marBottom w:val="0"/>
      <w:divBdr>
        <w:top w:val="none" w:sz="0" w:space="0" w:color="auto"/>
        <w:left w:val="none" w:sz="0" w:space="0" w:color="auto"/>
        <w:bottom w:val="none" w:sz="0" w:space="0" w:color="auto"/>
        <w:right w:val="none" w:sz="0" w:space="0" w:color="auto"/>
      </w:divBdr>
    </w:div>
    <w:div w:id="739913614">
      <w:bodyDiv w:val="1"/>
      <w:marLeft w:val="0"/>
      <w:marRight w:val="0"/>
      <w:marTop w:val="0"/>
      <w:marBottom w:val="0"/>
      <w:divBdr>
        <w:top w:val="none" w:sz="0" w:space="0" w:color="auto"/>
        <w:left w:val="none" w:sz="0" w:space="0" w:color="auto"/>
        <w:bottom w:val="none" w:sz="0" w:space="0" w:color="auto"/>
        <w:right w:val="none" w:sz="0" w:space="0" w:color="auto"/>
      </w:divBdr>
    </w:div>
    <w:div w:id="742683590">
      <w:bodyDiv w:val="1"/>
      <w:marLeft w:val="0"/>
      <w:marRight w:val="0"/>
      <w:marTop w:val="0"/>
      <w:marBottom w:val="0"/>
      <w:divBdr>
        <w:top w:val="none" w:sz="0" w:space="0" w:color="auto"/>
        <w:left w:val="none" w:sz="0" w:space="0" w:color="auto"/>
        <w:bottom w:val="none" w:sz="0" w:space="0" w:color="auto"/>
        <w:right w:val="none" w:sz="0" w:space="0" w:color="auto"/>
      </w:divBdr>
    </w:div>
    <w:div w:id="743334019">
      <w:bodyDiv w:val="1"/>
      <w:marLeft w:val="0"/>
      <w:marRight w:val="0"/>
      <w:marTop w:val="0"/>
      <w:marBottom w:val="0"/>
      <w:divBdr>
        <w:top w:val="none" w:sz="0" w:space="0" w:color="auto"/>
        <w:left w:val="none" w:sz="0" w:space="0" w:color="auto"/>
        <w:bottom w:val="none" w:sz="0" w:space="0" w:color="auto"/>
        <w:right w:val="none" w:sz="0" w:space="0" w:color="auto"/>
      </w:divBdr>
    </w:div>
    <w:div w:id="750666263">
      <w:bodyDiv w:val="1"/>
      <w:marLeft w:val="0"/>
      <w:marRight w:val="0"/>
      <w:marTop w:val="0"/>
      <w:marBottom w:val="0"/>
      <w:divBdr>
        <w:top w:val="none" w:sz="0" w:space="0" w:color="auto"/>
        <w:left w:val="none" w:sz="0" w:space="0" w:color="auto"/>
        <w:bottom w:val="none" w:sz="0" w:space="0" w:color="auto"/>
        <w:right w:val="none" w:sz="0" w:space="0" w:color="auto"/>
      </w:divBdr>
    </w:div>
    <w:div w:id="752505158">
      <w:bodyDiv w:val="1"/>
      <w:marLeft w:val="0"/>
      <w:marRight w:val="0"/>
      <w:marTop w:val="0"/>
      <w:marBottom w:val="0"/>
      <w:divBdr>
        <w:top w:val="none" w:sz="0" w:space="0" w:color="auto"/>
        <w:left w:val="none" w:sz="0" w:space="0" w:color="auto"/>
        <w:bottom w:val="none" w:sz="0" w:space="0" w:color="auto"/>
        <w:right w:val="none" w:sz="0" w:space="0" w:color="auto"/>
      </w:divBdr>
    </w:div>
    <w:div w:id="760177375">
      <w:bodyDiv w:val="1"/>
      <w:marLeft w:val="0"/>
      <w:marRight w:val="0"/>
      <w:marTop w:val="0"/>
      <w:marBottom w:val="0"/>
      <w:divBdr>
        <w:top w:val="none" w:sz="0" w:space="0" w:color="auto"/>
        <w:left w:val="none" w:sz="0" w:space="0" w:color="auto"/>
        <w:bottom w:val="none" w:sz="0" w:space="0" w:color="auto"/>
        <w:right w:val="none" w:sz="0" w:space="0" w:color="auto"/>
      </w:divBdr>
    </w:div>
    <w:div w:id="763569359">
      <w:bodyDiv w:val="1"/>
      <w:marLeft w:val="0"/>
      <w:marRight w:val="0"/>
      <w:marTop w:val="0"/>
      <w:marBottom w:val="0"/>
      <w:divBdr>
        <w:top w:val="none" w:sz="0" w:space="0" w:color="auto"/>
        <w:left w:val="none" w:sz="0" w:space="0" w:color="auto"/>
        <w:bottom w:val="none" w:sz="0" w:space="0" w:color="auto"/>
        <w:right w:val="none" w:sz="0" w:space="0" w:color="auto"/>
      </w:divBdr>
    </w:div>
    <w:div w:id="765619414">
      <w:bodyDiv w:val="1"/>
      <w:marLeft w:val="0"/>
      <w:marRight w:val="0"/>
      <w:marTop w:val="0"/>
      <w:marBottom w:val="0"/>
      <w:divBdr>
        <w:top w:val="none" w:sz="0" w:space="0" w:color="auto"/>
        <w:left w:val="none" w:sz="0" w:space="0" w:color="auto"/>
        <w:bottom w:val="none" w:sz="0" w:space="0" w:color="auto"/>
        <w:right w:val="none" w:sz="0" w:space="0" w:color="auto"/>
      </w:divBdr>
    </w:div>
    <w:div w:id="769012236">
      <w:bodyDiv w:val="1"/>
      <w:marLeft w:val="0"/>
      <w:marRight w:val="0"/>
      <w:marTop w:val="0"/>
      <w:marBottom w:val="0"/>
      <w:divBdr>
        <w:top w:val="none" w:sz="0" w:space="0" w:color="auto"/>
        <w:left w:val="none" w:sz="0" w:space="0" w:color="auto"/>
        <w:bottom w:val="none" w:sz="0" w:space="0" w:color="auto"/>
        <w:right w:val="none" w:sz="0" w:space="0" w:color="auto"/>
      </w:divBdr>
    </w:div>
    <w:div w:id="773861256">
      <w:bodyDiv w:val="1"/>
      <w:marLeft w:val="0"/>
      <w:marRight w:val="0"/>
      <w:marTop w:val="0"/>
      <w:marBottom w:val="0"/>
      <w:divBdr>
        <w:top w:val="none" w:sz="0" w:space="0" w:color="auto"/>
        <w:left w:val="none" w:sz="0" w:space="0" w:color="auto"/>
        <w:bottom w:val="none" w:sz="0" w:space="0" w:color="auto"/>
        <w:right w:val="none" w:sz="0" w:space="0" w:color="auto"/>
      </w:divBdr>
    </w:div>
    <w:div w:id="778530548">
      <w:bodyDiv w:val="1"/>
      <w:marLeft w:val="0"/>
      <w:marRight w:val="0"/>
      <w:marTop w:val="0"/>
      <w:marBottom w:val="0"/>
      <w:divBdr>
        <w:top w:val="none" w:sz="0" w:space="0" w:color="auto"/>
        <w:left w:val="none" w:sz="0" w:space="0" w:color="auto"/>
        <w:bottom w:val="none" w:sz="0" w:space="0" w:color="auto"/>
        <w:right w:val="none" w:sz="0" w:space="0" w:color="auto"/>
      </w:divBdr>
    </w:div>
    <w:div w:id="779685081">
      <w:bodyDiv w:val="1"/>
      <w:marLeft w:val="0"/>
      <w:marRight w:val="0"/>
      <w:marTop w:val="0"/>
      <w:marBottom w:val="0"/>
      <w:divBdr>
        <w:top w:val="none" w:sz="0" w:space="0" w:color="auto"/>
        <w:left w:val="none" w:sz="0" w:space="0" w:color="auto"/>
        <w:bottom w:val="none" w:sz="0" w:space="0" w:color="auto"/>
        <w:right w:val="none" w:sz="0" w:space="0" w:color="auto"/>
      </w:divBdr>
    </w:div>
    <w:div w:id="781344237">
      <w:bodyDiv w:val="1"/>
      <w:marLeft w:val="0"/>
      <w:marRight w:val="0"/>
      <w:marTop w:val="0"/>
      <w:marBottom w:val="0"/>
      <w:divBdr>
        <w:top w:val="none" w:sz="0" w:space="0" w:color="auto"/>
        <w:left w:val="none" w:sz="0" w:space="0" w:color="auto"/>
        <w:bottom w:val="none" w:sz="0" w:space="0" w:color="auto"/>
        <w:right w:val="none" w:sz="0" w:space="0" w:color="auto"/>
      </w:divBdr>
    </w:div>
    <w:div w:id="783576902">
      <w:bodyDiv w:val="1"/>
      <w:marLeft w:val="0"/>
      <w:marRight w:val="0"/>
      <w:marTop w:val="0"/>
      <w:marBottom w:val="0"/>
      <w:divBdr>
        <w:top w:val="none" w:sz="0" w:space="0" w:color="auto"/>
        <w:left w:val="none" w:sz="0" w:space="0" w:color="auto"/>
        <w:bottom w:val="none" w:sz="0" w:space="0" w:color="auto"/>
        <w:right w:val="none" w:sz="0" w:space="0" w:color="auto"/>
      </w:divBdr>
    </w:div>
    <w:div w:id="793594159">
      <w:bodyDiv w:val="1"/>
      <w:marLeft w:val="0"/>
      <w:marRight w:val="0"/>
      <w:marTop w:val="0"/>
      <w:marBottom w:val="0"/>
      <w:divBdr>
        <w:top w:val="none" w:sz="0" w:space="0" w:color="auto"/>
        <w:left w:val="none" w:sz="0" w:space="0" w:color="auto"/>
        <w:bottom w:val="none" w:sz="0" w:space="0" w:color="auto"/>
        <w:right w:val="none" w:sz="0" w:space="0" w:color="auto"/>
      </w:divBdr>
    </w:div>
    <w:div w:id="800659741">
      <w:bodyDiv w:val="1"/>
      <w:marLeft w:val="0"/>
      <w:marRight w:val="0"/>
      <w:marTop w:val="0"/>
      <w:marBottom w:val="0"/>
      <w:divBdr>
        <w:top w:val="none" w:sz="0" w:space="0" w:color="auto"/>
        <w:left w:val="none" w:sz="0" w:space="0" w:color="auto"/>
        <w:bottom w:val="none" w:sz="0" w:space="0" w:color="auto"/>
        <w:right w:val="none" w:sz="0" w:space="0" w:color="auto"/>
      </w:divBdr>
    </w:div>
    <w:div w:id="802776188">
      <w:bodyDiv w:val="1"/>
      <w:marLeft w:val="0"/>
      <w:marRight w:val="0"/>
      <w:marTop w:val="0"/>
      <w:marBottom w:val="0"/>
      <w:divBdr>
        <w:top w:val="none" w:sz="0" w:space="0" w:color="auto"/>
        <w:left w:val="none" w:sz="0" w:space="0" w:color="auto"/>
        <w:bottom w:val="none" w:sz="0" w:space="0" w:color="auto"/>
        <w:right w:val="none" w:sz="0" w:space="0" w:color="auto"/>
      </w:divBdr>
    </w:div>
    <w:div w:id="802961363">
      <w:bodyDiv w:val="1"/>
      <w:marLeft w:val="0"/>
      <w:marRight w:val="0"/>
      <w:marTop w:val="0"/>
      <w:marBottom w:val="0"/>
      <w:divBdr>
        <w:top w:val="none" w:sz="0" w:space="0" w:color="auto"/>
        <w:left w:val="none" w:sz="0" w:space="0" w:color="auto"/>
        <w:bottom w:val="none" w:sz="0" w:space="0" w:color="auto"/>
        <w:right w:val="none" w:sz="0" w:space="0" w:color="auto"/>
      </w:divBdr>
    </w:div>
    <w:div w:id="805050545">
      <w:bodyDiv w:val="1"/>
      <w:marLeft w:val="0"/>
      <w:marRight w:val="0"/>
      <w:marTop w:val="0"/>
      <w:marBottom w:val="0"/>
      <w:divBdr>
        <w:top w:val="none" w:sz="0" w:space="0" w:color="auto"/>
        <w:left w:val="none" w:sz="0" w:space="0" w:color="auto"/>
        <w:bottom w:val="none" w:sz="0" w:space="0" w:color="auto"/>
        <w:right w:val="none" w:sz="0" w:space="0" w:color="auto"/>
      </w:divBdr>
    </w:div>
    <w:div w:id="807631670">
      <w:bodyDiv w:val="1"/>
      <w:marLeft w:val="0"/>
      <w:marRight w:val="0"/>
      <w:marTop w:val="0"/>
      <w:marBottom w:val="0"/>
      <w:divBdr>
        <w:top w:val="none" w:sz="0" w:space="0" w:color="auto"/>
        <w:left w:val="none" w:sz="0" w:space="0" w:color="auto"/>
        <w:bottom w:val="none" w:sz="0" w:space="0" w:color="auto"/>
        <w:right w:val="none" w:sz="0" w:space="0" w:color="auto"/>
      </w:divBdr>
    </w:div>
    <w:div w:id="817694964">
      <w:bodyDiv w:val="1"/>
      <w:marLeft w:val="0"/>
      <w:marRight w:val="0"/>
      <w:marTop w:val="0"/>
      <w:marBottom w:val="0"/>
      <w:divBdr>
        <w:top w:val="none" w:sz="0" w:space="0" w:color="auto"/>
        <w:left w:val="none" w:sz="0" w:space="0" w:color="auto"/>
        <w:bottom w:val="none" w:sz="0" w:space="0" w:color="auto"/>
        <w:right w:val="none" w:sz="0" w:space="0" w:color="auto"/>
      </w:divBdr>
    </w:div>
    <w:div w:id="821965991">
      <w:bodyDiv w:val="1"/>
      <w:marLeft w:val="0"/>
      <w:marRight w:val="0"/>
      <w:marTop w:val="0"/>
      <w:marBottom w:val="0"/>
      <w:divBdr>
        <w:top w:val="none" w:sz="0" w:space="0" w:color="auto"/>
        <w:left w:val="none" w:sz="0" w:space="0" w:color="auto"/>
        <w:bottom w:val="none" w:sz="0" w:space="0" w:color="auto"/>
        <w:right w:val="none" w:sz="0" w:space="0" w:color="auto"/>
      </w:divBdr>
    </w:div>
    <w:div w:id="824787407">
      <w:bodyDiv w:val="1"/>
      <w:marLeft w:val="0"/>
      <w:marRight w:val="0"/>
      <w:marTop w:val="0"/>
      <w:marBottom w:val="0"/>
      <w:divBdr>
        <w:top w:val="none" w:sz="0" w:space="0" w:color="auto"/>
        <w:left w:val="none" w:sz="0" w:space="0" w:color="auto"/>
        <w:bottom w:val="none" w:sz="0" w:space="0" w:color="auto"/>
        <w:right w:val="none" w:sz="0" w:space="0" w:color="auto"/>
      </w:divBdr>
    </w:div>
    <w:div w:id="829180353">
      <w:bodyDiv w:val="1"/>
      <w:marLeft w:val="0"/>
      <w:marRight w:val="0"/>
      <w:marTop w:val="0"/>
      <w:marBottom w:val="0"/>
      <w:divBdr>
        <w:top w:val="none" w:sz="0" w:space="0" w:color="auto"/>
        <w:left w:val="none" w:sz="0" w:space="0" w:color="auto"/>
        <w:bottom w:val="none" w:sz="0" w:space="0" w:color="auto"/>
        <w:right w:val="none" w:sz="0" w:space="0" w:color="auto"/>
      </w:divBdr>
    </w:div>
    <w:div w:id="830292695">
      <w:bodyDiv w:val="1"/>
      <w:marLeft w:val="0"/>
      <w:marRight w:val="0"/>
      <w:marTop w:val="0"/>
      <w:marBottom w:val="0"/>
      <w:divBdr>
        <w:top w:val="none" w:sz="0" w:space="0" w:color="auto"/>
        <w:left w:val="none" w:sz="0" w:space="0" w:color="auto"/>
        <w:bottom w:val="none" w:sz="0" w:space="0" w:color="auto"/>
        <w:right w:val="none" w:sz="0" w:space="0" w:color="auto"/>
      </w:divBdr>
    </w:div>
    <w:div w:id="834881106">
      <w:bodyDiv w:val="1"/>
      <w:marLeft w:val="0"/>
      <w:marRight w:val="0"/>
      <w:marTop w:val="0"/>
      <w:marBottom w:val="0"/>
      <w:divBdr>
        <w:top w:val="none" w:sz="0" w:space="0" w:color="auto"/>
        <w:left w:val="none" w:sz="0" w:space="0" w:color="auto"/>
        <w:bottom w:val="none" w:sz="0" w:space="0" w:color="auto"/>
        <w:right w:val="none" w:sz="0" w:space="0" w:color="auto"/>
      </w:divBdr>
    </w:div>
    <w:div w:id="836068055">
      <w:bodyDiv w:val="1"/>
      <w:marLeft w:val="0"/>
      <w:marRight w:val="0"/>
      <w:marTop w:val="0"/>
      <w:marBottom w:val="0"/>
      <w:divBdr>
        <w:top w:val="none" w:sz="0" w:space="0" w:color="auto"/>
        <w:left w:val="none" w:sz="0" w:space="0" w:color="auto"/>
        <w:bottom w:val="none" w:sz="0" w:space="0" w:color="auto"/>
        <w:right w:val="none" w:sz="0" w:space="0" w:color="auto"/>
      </w:divBdr>
    </w:div>
    <w:div w:id="839472022">
      <w:bodyDiv w:val="1"/>
      <w:marLeft w:val="0"/>
      <w:marRight w:val="0"/>
      <w:marTop w:val="0"/>
      <w:marBottom w:val="0"/>
      <w:divBdr>
        <w:top w:val="none" w:sz="0" w:space="0" w:color="auto"/>
        <w:left w:val="none" w:sz="0" w:space="0" w:color="auto"/>
        <w:bottom w:val="none" w:sz="0" w:space="0" w:color="auto"/>
        <w:right w:val="none" w:sz="0" w:space="0" w:color="auto"/>
      </w:divBdr>
    </w:div>
    <w:div w:id="843200665">
      <w:bodyDiv w:val="1"/>
      <w:marLeft w:val="0"/>
      <w:marRight w:val="0"/>
      <w:marTop w:val="0"/>
      <w:marBottom w:val="0"/>
      <w:divBdr>
        <w:top w:val="none" w:sz="0" w:space="0" w:color="auto"/>
        <w:left w:val="none" w:sz="0" w:space="0" w:color="auto"/>
        <w:bottom w:val="none" w:sz="0" w:space="0" w:color="auto"/>
        <w:right w:val="none" w:sz="0" w:space="0" w:color="auto"/>
      </w:divBdr>
    </w:div>
    <w:div w:id="847259417">
      <w:bodyDiv w:val="1"/>
      <w:marLeft w:val="0"/>
      <w:marRight w:val="0"/>
      <w:marTop w:val="0"/>
      <w:marBottom w:val="0"/>
      <w:divBdr>
        <w:top w:val="none" w:sz="0" w:space="0" w:color="auto"/>
        <w:left w:val="none" w:sz="0" w:space="0" w:color="auto"/>
        <w:bottom w:val="none" w:sz="0" w:space="0" w:color="auto"/>
        <w:right w:val="none" w:sz="0" w:space="0" w:color="auto"/>
      </w:divBdr>
    </w:div>
    <w:div w:id="847871092">
      <w:bodyDiv w:val="1"/>
      <w:marLeft w:val="0"/>
      <w:marRight w:val="0"/>
      <w:marTop w:val="0"/>
      <w:marBottom w:val="0"/>
      <w:divBdr>
        <w:top w:val="none" w:sz="0" w:space="0" w:color="auto"/>
        <w:left w:val="none" w:sz="0" w:space="0" w:color="auto"/>
        <w:bottom w:val="none" w:sz="0" w:space="0" w:color="auto"/>
        <w:right w:val="none" w:sz="0" w:space="0" w:color="auto"/>
      </w:divBdr>
    </w:div>
    <w:div w:id="851378257">
      <w:bodyDiv w:val="1"/>
      <w:marLeft w:val="0"/>
      <w:marRight w:val="0"/>
      <w:marTop w:val="0"/>
      <w:marBottom w:val="0"/>
      <w:divBdr>
        <w:top w:val="none" w:sz="0" w:space="0" w:color="auto"/>
        <w:left w:val="none" w:sz="0" w:space="0" w:color="auto"/>
        <w:bottom w:val="none" w:sz="0" w:space="0" w:color="auto"/>
        <w:right w:val="none" w:sz="0" w:space="0" w:color="auto"/>
      </w:divBdr>
    </w:div>
    <w:div w:id="852761089">
      <w:bodyDiv w:val="1"/>
      <w:marLeft w:val="0"/>
      <w:marRight w:val="0"/>
      <w:marTop w:val="0"/>
      <w:marBottom w:val="0"/>
      <w:divBdr>
        <w:top w:val="none" w:sz="0" w:space="0" w:color="auto"/>
        <w:left w:val="none" w:sz="0" w:space="0" w:color="auto"/>
        <w:bottom w:val="none" w:sz="0" w:space="0" w:color="auto"/>
        <w:right w:val="none" w:sz="0" w:space="0" w:color="auto"/>
      </w:divBdr>
    </w:div>
    <w:div w:id="854921917">
      <w:bodyDiv w:val="1"/>
      <w:marLeft w:val="0"/>
      <w:marRight w:val="0"/>
      <w:marTop w:val="0"/>
      <w:marBottom w:val="0"/>
      <w:divBdr>
        <w:top w:val="none" w:sz="0" w:space="0" w:color="auto"/>
        <w:left w:val="none" w:sz="0" w:space="0" w:color="auto"/>
        <w:bottom w:val="none" w:sz="0" w:space="0" w:color="auto"/>
        <w:right w:val="none" w:sz="0" w:space="0" w:color="auto"/>
      </w:divBdr>
    </w:div>
    <w:div w:id="854924473">
      <w:bodyDiv w:val="1"/>
      <w:marLeft w:val="0"/>
      <w:marRight w:val="0"/>
      <w:marTop w:val="0"/>
      <w:marBottom w:val="0"/>
      <w:divBdr>
        <w:top w:val="none" w:sz="0" w:space="0" w:color="auto"/>
        <w:left w:val="none" w:sz="0" w:space="0" w:color="auto"/>
        <w:bottom w:val="none" w:sz="0" w:space="0" w:color="auto"/>
        <w:right w:val="none" w:sz="0" w:space="0" w:color="auto"/>
      </w:divBdr>
    </w:div>
    <w:div w:id="857545824">
      <w:bodyDiv w:val="1"/>
      <w:marLeft w:val="0"/>
      <w:marRight w:val="0"/>
      <w:marTop w:val="0"/>
      <w:marBottom w:val="0"/>
      <w:divBdr>
        <w:top w:val="none" w:sz="0" w:space="0" w:color="auto"/>
        <w:left w:val="none" w:sz="0" w:space="0" w:color="auto"/>
        <w:bottom w:val="none" w:sz="0" w:space="0" w:color="auto"/>
        <w:right w:val="none" w:sz="0" w:space="0" w:color="auto"/>
      </w:divBdr>
    </w:div>
    <w:div w:id="858011193">
      <w:bodyDiv w:val="1"/>
      <w:marLeft w:val="0"/>
      <w:marRight w:val="0"/>
      <w:marTop w:val="0"/>
      <w:marBottom w:val="0"/>
      <w:divBdr>
        <w:top w:val="none" w:sz="0" w:space="0" w:color="auto"/>
        <w:left w:val="none" w:sz="0" w:space="0" w:color="auto"/>
        <w:bottom w:val="none" w:sz="0" w:space="0" w:color="auto"/>
        <w:right w:val="none" w:sz="0" w:space="0" w:color="auto"/>
      </w:divBdr>
    </w:div>
    <w:div w:id="859582746">
      <w:bodyDiv w:val="1"/>
      <w:marLeft w:val="0"/>
      <w:marRight w:val="0"/>
      <w:marTop w:val="0"/>
      <w:marBottom w:val="0"/>
      <w:divBdr>
        <w:top w:val="none" w:sz="0" w:space="0" w:color="auto"/>
        <w:left w:val="none" w:sz="0" w:space="0" w:color="auto"/>
        <w:bottom w:val="none" w:sz="0" w:space="0" w:color="auto"/>
        <w:right w:val="none" w:sz="0" w:space="0" w:color="auto"/>
      </w:divBdr>
    </w:div>
    <w:div w:id="859707673">
      <w:bodyDiv w:val="1"/>
      <w:marLeft w:val="0"/>
      <w:marRight w:val="0"/>
      <w:marTop w:val="0"/>
      <w:marBottom w:val="0"/>
      <w:divBdr>
        <w:top w:val="none" w:sz="0" w:space="0" w:color="auto"/>
        <w:left w:val="none" w:sz="0" w:space="0" w:color="auto"/>
        <w:bottom w:val="none" w:sz="0" w:space="0" w:color="auto"/>
        <w:right w:val="none" w:sz="0" w:space="0" w:color="auto"/>
      </w:divBdr>
    </w:div>
    <w:div w:id="859776195">
      <w:bodyDiv w:val="1"/>
      <w:marLeft w:val="0"/>
      <w:marRight w:val="0"/>
      <w:marTop w:val="0"/>
      <w:marBottom w:val="0"/>
      <w:divBdr>
        <w:top w:val="none" w:sz="0" w:space="0" w:color="auto"/>
        <w:left w:val="none" w:sz="0" w:space="0" w:color="auto"/>
        <w:bottom w:val="none" w:sz="0" w:space="0" w:color="auto"/>
        <w:right w:val="none" w:sz="0" w:space="0" w:color="auto"/>
      </w:divBdr>
    </w:div>
    <w:div w:id="865480648">
      <w:bodyDiv w:val="1"/>
      <w:marLeft w:val="0"/>
      <w:marRight w:val="0"/>
      <w:marTop w:val="0"/>
      <w:marBottom w:val="0"/>
      <w:divBdr>
        <w:top w:val="none" w:sz="0" w:space="0" w:color="auto"/>
        <w:left w:val="none" w:sz="0" w:space="0" w:color="auto"/>
        <w:bottom w:val="none" w:sz="0" w:space="0" w:color="auto"/>
        <w:right w:val="none" w:sz="0" w:space="0" w:color="auto"/>
      </w:divBdr>
    </w:div>
    <w:div w:id="867566981">
      <w:bodyDiv w:val="1"/>
      <w:marLeft w:val="0"/>
      <w:marRight w:val="0"/>
      <w:marTop w:val="0"/>
      <w:marBottom w:val="0"/>
      <w:divBdr>
        <w:top w:val="none" w:sz="0" w:space="0" w:color="auto"/>
        <w:left w:val="none" w:sz="0" w:space="0" w:color="auto"/>
        <w:bottom w:val="none" w:sz="0" w:space="0" w:color="auto"/>
        <w:right w:val="none" w:sz="0" w:space="0" w:color="auto"/>
      </w:divBdr>
    </w:div>
    <w:div w:id="873153130">
      <w:bodyDiv w:val="1"/>
      <w:marLeft w:val="0"/>
      <w:marRight w:val="0"/>
      <w:marTop w:val="0"/>
      <w:marBottom w:val="0"/>
      <w:divBdr>
        <w:top w:val="none" w:sz="0" w:space="0" w:color="auto"/>
        <w:left w:val="none" w:sz="0" w:space="0" w:color="auto"/>
        <w:bottom w:val="none" w:sz="0" w:space="0" w:color="auto"/>
        <w:right w:val="none" w:sz="0" w:space="0" w:color="auto"/>
      </w:divBdr>
    </w:div>
    <w:div w:id="876433139">
      <w:bodyDiv w:val="1"/>
      <w:marLeft w:val="0"/>
      <w:marRight w:val="0"/>
      <w:marTop w:val="0"/>
      <w:marBottom w:val="0"/>
      <w:divBdr>
        <w:top w:val="none" w:sz="0" w:space="0" w:color="auto"/>
        <w:left w:val="none" w:sz="0" w:space="0" w:color="auto"/>
        <w:bottom w:val="none" w:sz="0" w:space="0" w:color="auto"/>
        <w:right w:val="none" w:sz="0" w:space="0" w:color="auto"/>
      </w:divBdr>
    </w:div>
    <w:div w:id="877277998">
      <w:bodyDiv w:val="1"/>
      <w:marLeft w:val="0"/>
      <w:marRight w:val="0"/>
      <w:marTop w:val="0"/>
      <w:marBottom w:val="0"/>
      <w:divBdr>
        <w:top w:val="none" w:sz="0" w:space="0" w:color="auto"/>
        <w:left w:val="none" w:sz="0" w:space="0" w:color="auto"/>
        <w:bottom w:val="none" w:sz="0" w:space="0" w:color="auto"/>
        <w:right w:val="none" w:sz="0" w:space="0" w:color="auto"/>
      </w:divBdr>
    </w:div>
    <w:div w:id="885871649">
      <w:bodyDiv w:val="1"/>
      <w:marLeft w:val="0"/>
      <w:marRight w:val="0"/>
      <w:marTop w:val="0"/>
      <w:marBottom w:val="0"/>
      <w:divBdr>
        <w:top w:val="none" w:sz="0" w:space="0" w:color="auto"/>
        <w:left w:val="none" w:sz="0" w:space="0" w:color="auto"/>
        <w:bottom w:val="none" w:sz="0" w:space="0" w:color="auto"/>
        <w:right w:val="none" w:sz="0" w:space="0" w:color="auto"/>
      </w:divBdr>
    </w:div>
    <w:div w:id="889003542">
      <w:bodyDiv w:val="1"/>
      <w:marLeft w:val="0"/>
      <w:marRight w:val="0"/>
      <w:marTop w:val="0"/>
      <w:marBottom w:val="0"/>
      <w:divBdr>
        <w:top w:val="none" w:sz="0" w:space="0" w:color="auto"/>
        <w:left w:val="none" w:sz="0" w:space="0" w:color="auto"/>
        <w:bottom w:val="none" w:sz="0" w:space="0" w:color="auto"/>
        <w:right w:val="none" w:sz="0" w:space="0" w:color="auto"/>
      </w:divBdr>
    </w:div>
    <w:div w:id="889540416">
      <w:bodyDiv w:val="1"/>
      <w:marLeft w:val="0"/>
      <w:marRight w:val="0"/>
      <w:marTop w:val="0"/>
      <w:marBottom w:val="0"/>
      <w:divBdr>
        <w:top w:val="none" w:sz="0" w:space="0" w:color="auto"/>
        <w:left w:val="none" w:sz="0" w:space="0" w:color="auto"/>
        <w:bottom w:val="none" w:sz="0" w:space="0" w:color="auto"/>
        <w:right w:val="none" w:sz="0" w:space="0" w:color="auto"/>
      </w:divBdr>
    </w:div>
    <w:div w:id="890573318">
      <w:bodyDiv w:val="1"/>
      <w:marLeft w:val="0"/>
      <w:marRight w:val="0"/>
      <w:marTop w:val="0"/>
      <w:marBottom w:val="0"/>
      <w:divBdr>
        <w:top w:val="none" w:sz="0" w:space="0" w:color="auto"/>
        <w:left w:val="none" w:sz="0" w:space="0" w:color="auto"/>
        <w:bottom w:val="none" w:sz="0" w:space="0" w:color="auto"/>
        <w:right w:val="none" w:sz="0" w:space="0" w:color="auto"/>
      </w:divBdr>
    </w:div>
    <w:div w:id="892618028">
      <w:bodyDiv w:val="1"/>
      <w:marLeft w:val="0"/>
      <w:marRight w:val="0"/>
      <w:marTop w:val="0"/>
      <w:marBottom w:val="0"/>
      <w:divBdr>
        <w:top w:val="none" w:sz="0" w:space="0" w:color="auto"/>
        <w:left w:val="none" w:sz="0" w:space="0" w:color="auto"/>
        <w:bottom w:val="none" w:sz="0" w:space="0" w:color="auto"/>
        <w:right w:val="none" w:sz="0" w:space="0" w:color="auto"/>
      </w:divBdr>
    </w:div>
    <w:div w:id="899443935">
      <w:bodyDiv w:val="1"/>
      <w:marLeft w:val="0"/>
      <w:marRight w:val="0"/>
      <w:marTop w:val="0"/>
      <w:marBottom w:val="0"/>
      <w:divBdr>
        <w:top w:val="none" w:sz="0" w:space="0" w:color="auto"/>
        <w:left w:val="none" w:sz="0" w:space="0" w:color="auto"/>
        <w:bottom w:val="none" w:sz="0" w:space="0" w:color="auto"/>
        <w:right w:val="none" w:sz="0" w:space="0" w:color="auto"/>
      </w:divBdr>
    </w:div>
    <w:div w:id="899631490">
      <w:bodyDiv w:val="1"/>
      <w:marLeft w:val="0"/>
      <w:marRight w:val="0"/>
      <w:marTop w:val="0"/>
      <w:marBottom w:val="0"/>
      <w:divBdr>
        <w:top w:val="none" w:sz="0" w:space="0" w:color="auto"/>
        <w:left w:val="none" w:sz="0" w:space="0" w:color="auto"/>
        <w:bottom w:val="none" w:sz="0" w:space="0" w:color="auto"/>
        <w:right w:val="none" w:sz="0" w:space="0" w:color="auto"/>
      </w:divBdr>
    </w:div>
    <w:div w:id="901866508">
      <w:bodyDiv w:val="1"/>
      <w:marLeft w:val="0"/>
      <w:marRight w:val="0"/>
      <w:marTop w:val="0"/>
      <w:marBottom w:val="0"/>
      <w:divBdr>
        <w:top w:val="none" w:sz="0" w:space="0" w:color="auto"/>
        <w:left w:val="none" w:sz="0" w:space="0" w:color="auto"/>
        <w:bottom w:val="none" w:sz="0" w:space="0" w:color="auto"/>
        <w:right w:val="none" w:sz="0" w:space="0" w:color="auto"/>
      </w:divBdr>
    </w:div>
    <w:div w:id="902060486">
      <w:bodyDiv w:val="1"/>
      <w:marLeft w:val="0"/>
      <w:marRight w:val="0"/>
      <w:marTop w:val="0"/>
      <w:marBottom w:val="0"/>
      <w:divBdr>
        <w:top w:val="none" w:sz="0" w:space="0" w:color="auto"/>
        <w:left w:val="none" w:sz="0" w:space="0" w:color="auto"/>
        <w:bottom w:val="none" w:sz="0" w:space="0" w:color="auto"/>
        <w:right w:val="none" w:sz="0" w:space="0" w:color="auto"/>
      </w:divBdr>
    </w:div>
    <w:div w:id="912855088">
      <w:bodyDiv w:val="1"/>
      <w:marLeft w:val="0"/>
      <w:marRight w:val="0"/>
      <w:marTop w:val="0"/>
      <w:marBottom w:val="0"/>
      <w:divBdr>
        <w:top w:val="none" w:sz="0" w:space="0" w:color="auto"/>
        <w:left w:val="none" w:sz="0" w:space="0" w:color="auto"/>
        <w:bottom w:val="none" w:sz="0" w:space="0" w:color="auto"/>
        <w:right w:val="none" w:sz="0" w:space="0" w:color="auto"/>
      </w:divBdr>
    </w:div>
    <w:div w:id="919293526">
      <w:bodyDiv w:val="1"/>
      <w:marLeft w:val="0"/>
      <w:marRight w:val="0"/>
      <w:marTop w:val="0"/>
      <w:marBottom w:val="0"/>
      <w:divBdr>
        <w:top w:val="none" w:sz="0" w:space="0" w:color="auto"/>
        <w:left w:val="none" w:sz="0" w:space="0" w:color="auto"/>
        <w:bottom w:val="none" w:sz="0" w:space="0" w:color="auto"/>
        <w:right w:val="none" w:sz="0" w:space="0" w:color="auto"/>
      </w:divBdr>
    </w:div>
    <w:div w:id="921644874">
      <w:bodyDiv w:val="1"/>
      <w:marLeft w:val="0"/>
      <w:marRight w:val="0"/>
      <w:marTop w:val="0"/>
      <w:marBottom w:val="0"/>
      <w:divBdr>
        <w:top w:val="none" w:sz="0" w:space="0" w:color="auto"/>
        <w:left w:val="none" w:sz="0" w:space="0" w:color="auto"/>
        <w:bottom w:val="none" w:sz="0" w:space="0" w:color="auto"/>
        <w:right w:val="none" w:sz="0" w:space="0" w:color="auto"/>
      </w:divBdr>
    </w:div>
    <w:div w:id="925042611">
      <w:bodyDiv w:val="1"/>
      <w:marLeft w:val="0"/>
      <w:marRight w:val="0"/>
      <w:marTop w:val="0"/>
      <w:marBottom w:val="0"/>
      <w:divBdr>
        <w:top w:val="none" w:sz="0" w:space="0" w:color="auto"/>
        <w:left w:val="none" w:sz="0" w:space="0" w:color="auto"/>
        <w:bottom w:val="none" w:sz="0" w:space="0" w:color="auto"/>
        <w:right w:val="none" w:sz="0" w:space="0" w:color="auto"/>
      </w:divBdr>
    </w:div>
    <w:div w:id="927154476">
      <w:bodyDiv w:val="1"/>
      <w:marLeft w:val="0"/>
      <w:marRight w:val="0"/>
      <w:marTop w:val="0"/>
      <w:marBottom w:val="0"/>
      <w:divBdr>
        <w:top w:val="none" w:sz="0" w:space="0" w:color="auto"/>
        <w:left w:val="none" w:sz="0" w:space="0" w:color="auto"/>
        <w:bottom w:val="none" w:sz="0" w:space="0" w:color="auto"/>
        <w:right w:val="none" w:sz="0" w:space="0" w:color="auto"/>
      </w:divBdr>
    </w:div>
    <w:div w:id="929388240">
      <w:bodyDiv w:val="1"/>
      <w:marLeft w:val="0"/>
      <w:marRight w:val="0"/>
      <w:marTop w:val="0"/>
      <w:marBottom w:val="0"/>
      <w:divBdr>
        <w:top w:val="none" w:sz="0" w:space="0" w:color="auto"/>
        <w:left w:val="none" w:sz="0" w:space="0" w:color="auto"/>
        <w:bottom w:val="none" w:sz="0" w:space="0" w:color="auto"/>
        <w:right w:val="none" w:sz="0" w:space="0" w:color="auto"/>
      </w:divBdr>
    </w:div>
    <w:div w:id="931740625">
      <w:bodyDiv w:val="1"/>
      <w:marLeft w:val="0"/>
      <w:marRight w:val="0"/>
      <w:marTop w:val="0"/>
      <w:marBottom w:val="0"/>
      <w:divBdr>
        <w:top w:val="none" w:sz="0" w:space="0" w:color="auto"/>
        <w:left w:val="none" w:sz="0" w:space="0" w:color="auto"/>
        <w:bottom w:val="none" w:sz="0" w:space="0" w:color="auto"/>
        <w:right w:val="none" w:sz="0" w:space="0" w:color="auto"/>
      </w:divBdr>
    </w:div>
    <w:div w:id="932980472">
      <w:bodyDiv w:val="1"/>
      <w:marLeft w:val="0"/>
      <w:marRight w:val="0"/>
      <w:marTop w:val="0"/>
      <w:marBottom w:val="0"/>
      <w:divBdr>
        <w:top w:val="none" w:sz="0" w:space="0" w:color="auto"/>
        <w:left w:val="none" w:sz="0" w:space="0" w:color="auto"/>
        <w:bottom w:val="none" w:sz="0" w:space="0" w:color="auto"/>
        <w:right w:val="none" w:sz="0" w:space="0" w:color="auto"/>
      </w:divBdr>
    </w:div>
    <w:div w:id="936787320">
      <w:bodyDiv w:val="1"/>
      <w:marLeft w:val="0"/>
      <w:marRight w:val="0"/>
      <w:marTop w:val="0"/>
      <w:marBottom w:val="0"/>
      <w:divBdr>
        <w:top w:val="none" w:sz="0" w:space="0" w:color="auto"/>
        <w:left w:val="none" w:sz="0" w:space="0" w:color="auto"/>
        <w:bottom w:val="none" w:sz="0" w:space="0" w:color="auto"/>
        <w:right w:val="none" w:sz="0" w:space="0" w:color="auto"/>
      </w:divBdr>
    </w:div>
    <w:div w:id="940456093">
      <w:bodyDiv w:val="1"/>
      <w:marLeft w:val="0"/>
      <w:marRight w:val="0"/>
      <w:marTop w:val="0"/>
      <w:marBottom w:val="0"/>
      <w:divBdr>
        <w:top w:val="none" w:sz="0" w:space="0" w:color="auto"/>
        <w:left w:val="none" w:sz="0" w:space="0" w:color="auto"/>
        <w:bottom w:val="none" w:sz="0" w:space="0" w:color="auto"/>
        <w:right w:val="none" w:sz="0" w:space="0" w:color="auto"/>
      </w:divBdr>
    </w:div>
    <w:div w:id="943731748">
      <w:bodyDiv w:val="1"/>
      <w:marLeft w:val="0"/>
      <w:marRight w:val="0"/>
      <w:marTop w:val="0"/>
      <w:marBottom w:val="0"/>
      <w:divBdr>
        <w:top w:val="none" w:sz="0" w:space="0" w:color="auto"/>
        <w:left w:val="none" w:sz="0" w:space="0" w:color="auto"/>
        <w:bottom w:val="none" w:sz="0" w:space="0" w:color="auto"/>
        <w:right w:val="none" w:sz="0" w:space="0" w:color="auto"/>
      </w:divBdr>
    </w:div>
    <w:div w:id="948585192">
      <w:bodyDiv w:val="1"/>
      <w:marLeft w:val="0"/>
      <w:marRight w:val="0"/>
      <w:marTop w:val="0"/>
      <w:marBottom w:val="0"/>
      <w:divBdr>
        <w:top w:val="none" w:sz="0" w:space="0" w:color="auto"/>
        <w:left w:val="none" w:sz="0" w:space="0" w:color="auto"/>
        <w:bottom w:val="none" w:sz="0" w:space="0" w:color="auto"/>
        <w:right w:val="none" w:sz="0" w:space="0" w:color="auto"/>
      </w:divBdr>
    </w:div>
    <w:div w:id="949513311">
      <w:bodyDiv w:val="1"/>
      <w:marLeft w:val="0"/>
      <w:marRight w:val="0"/>
      <w:marTop w:val="0"/>
      <w:marBottom w:val="0"/>
      <w:divBdr>
        <w:top w:val="none" w:sz="0" w:space="0" w:color="auto"/>
        <w:left w:val="none" w:sz="0" w:space="0" w:color="auto"/>
        <w:bottom w:val="none" w:sz="0" w:space="0" w:color="auto"/>
        <w:right w:val="none" w:sz="0" w:space="0" w:color="auto"/>
      </w:divBdr>
    </w:div>
    <w:div w:id="953900515">
      <w:bodyDiv w:val="1"/>
      <w:marLeft w:val="0"/>
      <w:marRight w:val="0"/>
      <w:marTop w:val="0"/>
      <w:marBottom w:val="0"/>
      <w:divBdr>
        <w:top w:val="none" w:sz="0" w:space="0" w:color="auto"/>
        <w:left w:val="none" w:sz="0" w:space="0" w:color="auto"/>
        <w:bottom w:val="none" w:sz="0" w:space="0" w:color="auto"/>
        <w:right w:val="none" w:sz="0" w:space="0" w:color="auto"/>
      </w:divBdr>
    </w:div>
    <w:div w:id="961956816">
      <w:bodyDiv w:val="1"/>
      <w:marLeft w:val="0"/>
      <w:marRight w:val="0"/>
      <w:marTop w:val="0"/>
      <w:marBottom w:val="0"/>
      <w:divBdr>
        <w:top w:val="none" w:sz="0" w:space="0" w:color="auto"/>
        <w:left w:val="none" w:sz="0" w:space="0" w:color="auto"/>
        <w:bottom w:val="none" w:sz="0" w:space="0" w:color="auto"/>
        <w:right w:val="none" w:sz="0" w:space="0" w:color="auto"/>
      </w:divBdr>
    </w:div>
    <w:div w:id="963973110">
      <w:bodyDiv w:val="1"/>
      <w:marLeft w:val="0"/>
      <w:marRight w:val="0"/>
      <w:marTop w:val="0"/>
      <w:marBottom w:val="0"/>
      <w:divBdr>
        <w:top w:val="none" w:sz="0" w:space="0" w:color="auto"/>
        <w:left w:val="none" w:sz="0" w:space="0" w:color="auto"/>
        <w:bottom w:val="none" w:sz="0" w:space="0" w:color="auto"/>
        <w:right w:val="none" w:sz="0" w:space="0" w:color="auto"/>
      </w:divBdr>
    </w:div>
    <w:div w:id="965962685">
      <w:bodyDiv w:val="1"/>
      <w:marLeft w:val="0"/>
      <w:marRight w:val="0"/>
      <w:marTop w:val="0"/>
      <w:marBottom w:val="0"/>
      <w:divBdr>
        <w:top w:val="none" w:sz="0" w:space="0" w:color="auto"/>
        <w:left w:val="none" w:sz="0" w:space="0" w:color="auto"/>
        <w:bottom w:val="none" w:sz="0" w:space="0" w:color="auto"/>
        <w:right w:val="none" w:sz="0" w:space="0" w:color="auto"/>
      </w:divBdr>
    </w:div>
    <w:div w:id="968703650">
      <w:bodyDiv w:val="1"/>
      <w:marLeft w:val="0"/>
      <w:marRight w:val="0"/>
      <w:marTop w:val="0"/>
      <w:marBottom w:val="0"/>
      <w:divBdr>
        <w:top w:val="none" w:sz="0" w:space="0" w:color="auto"/>
        <w:left w:val="none" w:sz="0" w:space="0" w:color="auto"/>
        <w:bottom w:val="none" w:sz="0" w:space="0" w:color="auto"/>
        <w:right w:val="none" w:sz="0" w:space="0" w:color="auto"/>
      </w:divBdr>
    </w:div>
    <w:div w:id="969167944">
      <w:bodyDiv w:val="1"/>
      <w:marLeft w:val="0"/>
      <w:marRight w:val="0"/>
      <w:marTop w:val="0"/>
      <w:marBottom w:val="0"/>
      <w:divBdr>
        <w:top w:val="none" w:sz="0" w:space="0" w:color="auto"/>
        <w:left w:val="none" w:sz="0" w:space="0" w:color="auto"/>
        <w:bottom w:val="none" w:sz="0" w:space="0" w:color="auto"/>
        <w:right w:val="none" w:sz="0" w:space="0" w:color="auto"/>
      </w:divBdr>
    </w:div>
    <w:div w:id="971129454">
      <w:bodyDiv w:val="1"/>
      <w:marLeft w:val="0"/>
      <w:marRight w:val="0"/>
      <w:marTop w:val="0"/>
      <w:marBottom w:val="0"/>
      <w:divBdr>
        <w:top w:val="none" w:sz="0" w:space="0" w:color="auto"/>
        <w:left w:val="none" w:sz="0" w:space="0" w:color="auto"/>
        <w:bottom w:val="none" w:sz="0" w:space="0" w:color="auto"/>
        <w:right w:val="none" w:sz="0" w:space="0" w:color="auto"/>
      </w:divBdr>
    </w:div>
    <w:div w:id="972560510">
      <w:bodyDiv w:val="1"/>
      <w:marLeft w:val="0"/>
      <w:marRight w:val="0"/>
      <w:marTop w:val="0"/>
      <w:marBottom w:val="0"/>
      <w:divBdr>
        <w:top w:val="none" w:sz="0" w:space="0" w:color="auto"/>
        <w:left w:val="none" w:sz="0" w:space="0" w:color="auto"/>
        <w:bottom w:val="none" w:sz="0" w:space="0" w:color="auto"/>
        <w:right w:val="none" w:sz="0" w:space="0" w:color="auto"/>
      </w:divBdr>
    </w:div>
    <w:div w:id="980428956">
      <w:bodyDiv w:val="1"/>
      <w:marLeft w:val="0"/>
      <w:marRight w:val="0"/>
      <w:marTop w:val="0"/>
      <w:marBottom w:val="0"/>
      <w:divBdr>
        <w:top w:val="none" w:sz="0" w:space="0" w:color="auto"/>
        <w:left w:val="none" w:sz="0" w:space="0" w:color="auto"/>
        <w:bottom w:val="none" w:sz="0" w:space="0" w:color="auto"/>
        <w:right w:val="none" w:sz="0" w:space="0" w:color="auto"/>
      </w:divBdr>
    </w:div>
    <w:div w:id="981229497">
      <w:bodyDiv w:val="1"/>
      <w:marLeft w:val="0"/>
      <w:marRight w:val="0"/>
      <w:marTop w:val="0"/>
      <w:marBottom w:val="0"/>
      <w:divBdr>
        <w:top w:val="none" w:sz="0" w:space="0" w:color="auto"/>
        <w:left w:val="none" w:sz="0" w:space="0" w:color="auto"/>
        <w:bottom w:val="none" w:sz="0" w:space="0" w:color="auto"/>
        <w:right w:val="none" w:sz="0" w:space="0" w:color="auto"/>
      </w:divBdr>
    </w:div>
    <w:div w:id="986786907">
      <w:bodyDiv w:val="1"/>
      <w:marLeft w:val="0"/>
      <w:marRight w:val="0"/>
      <w:marTop w:val="0"/>
      <w:marBottom w:val="0"/>
      <w:divBdr>
        <w:top w:val="none" w:sz="0" w:space="0" w:color="auto"/>
        <w:left w:val="none" w:sz="0" w:space="0" w:color="auto"/>
        <w:bottom w:val="none" w:sz="0" w:space="0" w:color="auto"/>
        <w:right w:val="none" w:sz="0" w:space="0" w:color="auto"/>
      </w:divBdr>
    </w:div>
    <w:div w:id="990017717">
      <w:bodyDiv w:val="1"/>
      <w:marLeft w:val="0"/>
      <w:marRight w:val="0"/>
      <w:marTop w:val="0"/>
      <w:marBottom w:val="0"/>
      <w:divBdr>
        <w:top w:val="none" w:sz="0" w:space="0" w:color="auto"/>
        <w:left w:val="none" w:sz="0" w:space="0" w:color="auto"/>
        <w:bottom w:val="none" w:sz="0" w:space="0" w:color="auto"/>
        <w:right w:val="none" w:sz="0" w:space="0" w:color="auto"/>
      </w:divBdr>
    </w:div>
    <w:div w:id="995302929">
      <w:bodyDiv w:val="1"/>
      <w:marLeft w:val="0"/>
      <w:marRight w:val="0"/>
      <w:marTop w:val="0"/>
      <w:marBottom w:val="0"/>
      <w:divBdr>
        <w:top w:val="none" w:sz="0" w:space="0" w:color="auto"/>
        <w:left w:val="none" w:sz="0" w:space="0" w:color="auto"/>
        <w:bottom w:val="none" w:sz="0" w:space="0" w:color="auto"/>
        <w:right w:val="none" w:sz="0" w:space="0" w:color="auto"/>
      </w:divBdr>
    </w:div>
    <w:div w:id="995688794">
      <w:bodyDiv w:val="1"/>
      <w:marLeft w:val="0"/>
      <w:marRight w:val="0"/>
      <w:marTop w:val="0"/>
      <w:marBottom w:val="0"/>
      <w:divBdr>
        <w:top w:val="none" w:sz="0" w:space="0" w:color="auto"/>
        <w:left w:val="none" w:sz="0" w:space="0" w:color="auto"/>
        <w:bottom w:val="none" w:sz="0" w:space="0" w:color="auto"/>
        <w:right w:val="none" w:sz="0" w:space="0" w:color="auto"/>
      </w:divBdr>
    </w:div>
    <w:div w:id="999893879">
      <w:bodyDiv w:val="1"/>
      <w:marLeft w:val="0"/>
      <w:marRight w:val="0"/>
      <w:marTop w:val="0"/>
      <w:marBottom w:val="0"/>
      <w:divBdr>
        <w:top w:val="none" w:sz="0" w:space="0" w:color="auto"/>
        <w:left w:val="none" w:sz="0" w:space="0" w:color="auto"/>
        <w:bottom w:val="none" w:sz="0" w:space="0" w:color="auto"/>
        <w:right w:val="none" w:sz="0" w:space="0" w:color="auto"/>
      </w:divBdr>
    </w:div>
    <w:div w:id="1002780379">
      <w:bodyDiv w:val="1"/>
      <w:marLeft w:val="0"/>
      <w:marRight w:val="0"/>
      <w:marTop w:val="0"/>
      <w:marBottom w:val="0"/>
      <w:divBdr>
        <w:top w:val="none" w:sz="0" w:space="0" w:color="auto"/>
        <w:left w:val="none" w:sz="0" w:space="0" w:color="auto"/>
        <w:bottom w:val="none" w:sz="0" w:space="0" w:color="auto"/>
        <w:right w:val="none" w:sz="0" w:space="0" w:color="auto"/>
      </w:divBdr>
    </w:div>
    <w:div w:id="1009722012">
      <w:bodyDiv w:val="1"/>
      <w:marLeft w:val="0"/>
      <w:marRight w:val="0"/>
      <w:marTop w:val="0"/>
      <w:marBottom w:val="0"/>
      <w:divBdr>
        <w:top w:val="none" w:sz="0" w:space="0" w:color="auto"/>
        <w:left w:val="none" w:sz="0" w:space="0" w:color="auto"/>
        <w:bottom w:val="none" w:sz="0" w:space="0" w:color="auto"/>
        <w:right w:val="none" w:sz="0" w:space="0" w:color="auto"/>
      </w:divBdr>
    </w:div>
    <w:div w:id="1016077753">
      <w:bodyDiv w:val="1"/>
      <w:marLeft w:val="0"/>
      <w:marRight w:val="0"/>
      <w:marTop w:val="0"/>
      <w:marBottom w:val="0"/>
      <w:divBdr>
        <w:top w:val="none" w:sz="0" w:space="0" w:color="auto"/>
        <w:left w:val="none" w:sz="0" w:space="0" w:color="auto"/>
        <w:bottom w:val="none" w:sz="0" w:space="0" w:color="auto"/>
        <w:right w:val="none" w:sz="0" w:space="0" w:color="auto"/>
      </w:divBdr>
    </w:div>
    <w:div w:id="1018701322">
      <w:bodyDiv w:val="1"/>
      <w:marLeft w:val="0"/>
      <w:marRight w:val="0"/>
      <w:marTop w:val="0"/>
      <w:marBottom w:val="0"/>
      <w:divBdr>
        <w:top w:val="none" w:sz="0" w:space="0" w:color="auto"/>
        <w:left w:val="none" w:sz="0" w:space="0" w:color="auto"/>
        <w:bottom w:val="none" w:sz="0" w:space="0" w:color="auto"/>
        <w:right w:val="none" w:sz="0" w:space="0" w:color="auto"/>
      </w:divBdr>
    </w:div>
    <w:div w:id="1021930843">
      <w:bodyDiv w:val="1"/>
      <w:marLeft w:val="0"/>
      <w:marRight w:val="0"/>
      <w:marTop w:val="0"/>
      <w:marBottom w:val="0"/>
      <w:divBdr>
        <w:top w:val="none" w:sz="0" w:space="0" w:color="auto"/>
        <w:left w:val="none" w:sz="0" w:space="0" w:color="auto"/>
        <w:bottom w:val="none" w:sz="0" w:space="0" w:color="auto"/>
        <w:right w:val="none" w:sz="0" w:space="0" w:color="auto"/>
      </w:divBdr>
    </w:div>
    <w:div w:id="1023869634">
      <w:bodyDiv w:val="1"/>
      <w:marLeft w:val="0"/>
      <w:marRight w:val="0"/>
      <w:marTop w:val="0"/>
      <w:marBottom w:val="0"/>
      <w:divBdr>
        <w:top w:val="none" w:sz="0" w:space="0" w:color="auto"/>
        <w:left w:val="none" w:sz="0" w:space="0" w:color="auto"/>
        <w:bottom w:val="none" w:sz="0" w:space="0" w:color="auto"/>
        <w:right w:val="none" w:sz="0" w:space="0" w:color="auto"/>
      </w:divBdr>
    </w:div>
    <w:div w:id="1025449887">
      <w:bodyDiv w:val="1"/>
      <w:marLeft w:val="0"/>
      <w:marRight w:val="0"/>
      <w:marTop w:val="0"/>
      <w:marBottom w:val="0"/>
      <w:divBdr>
        <w:top w:val="none" w:sz="0" w:space="0" w:color="auto"/>
        <w:left w:val="none" w:sz="0" w:space="0" w:color="auto"/>
        <w:bottom w:val="none" w:sz="0" w:space="0" w:color="auto"/>
        <w:right w:val="none" w:sz="0" w:space="0" w:color="auto"/>
      </w:divBdr>
    </w:div>
    <w:div w:id="1032730773">
      <w:bodyDiv w:val="1"/>
      <w:marLeft w:val="0"/>
      <w:marRight w:val="0"/>
      <w:marTop w:val="0"/>
      <w:marBottom w:val="0"/>
      <w:divBdr>
        <w:top w:val="none" w:sz="0" w:space="0" w:color="auto"/>
        <w:left w:val="none" w:sz="0" w:space="0" w:color="auto"/>
        <w:bottom w:val="none" w:sz="0" w:space="0" w:color="auto"/>
        <w:right w:val="none" w:sz="0" w:space="0" w:color="auto"/>
      </w:divBdr>
    </w:div>
    <w:div w:id="1036152978">
      <w:bodyDiv w:val="1"/>
      <w:marLeft w:val="0"/>
      <w:marRight w:val="0"/>
      <w:marTop w:val="0"/>
      <w:marBottom w:val="0"/>
      <w:divBdr>
        <w:top w:val="none" w:sz="0" w:space="0" w:color="auto"/>
        <w:left w:val="none" w:sz="0" w:space="0" w:color="auto"/>
        <w:bottom w:val="none" w:sz="0" w:space="0" w:color="auto"/>
        <w:right w:val="none" w:sz="0" w:space="0" w:color="auto"/>
      </w:divBdr>
    </w:div>
    <w:div w:id="1039164406">
      <w:bodyDiv w:val="1"/>
      <w:marLeft w:val="0"/>
      <w:marRight w:val="0"/>
      <w:marTop w:val="0"/>
      <w:marBottom w:val="0"/>
      <w:divBdr>
        <w:top w:val="none" w:sz="0" w:space="0" w:color="auto"/>
        <w:left w:val="none" w:sz="0" w:space="0" w:color="auto"/>
        <w:bottom w:val="none" w:sz="0" w:space="0" w:color="auto"/>
        <w:right w:val="none" w:sz="0" w:space="0" w:color="auto"/>
      </w:divBdr>
    </w:div>
    <w:div w:id="1046953637">
      <w:bodyDiv w:val="1"/>
      <w:marLeft w:val="0"/>
      <w:marRight w:val="0"/>
      <w:marTop w:val="0"/>
      <w:marBottom w:val="0"/>
      <w:divBdr>
        <w:top w:val="none" w:sz="0" w:space="0" w:color="auto"/>
        <w:left w:val="none" w:sz="0" w:space="0" w:color="auto"/>
        <w:bottom w:val="none" w:sz="0" w:space="0" w:color="auto"/>
        <w:right w:val="none" w:sz="0" w:space="0" w:color="auto"/>
      </w:divBdr>
    </w:div>
    <w:div w:id="1047146219">
      <w:bodyDiv w:val="1"/>
      <w:marLeft w:val="0"/>
      <w:marRight w:val="0"/>
      <w:marTop w:val="0"/>
      <w:marBottom w:val="0"/>
      <w:divBdr>
        <w:top w:val="none" w:sz="0" w:space="0" w:color="auto"/>
        <w:left w:val="none" w:sz="0" w:space="0" w:color="auto"/>
        <w:bottom w:val="none" w:sz="0" w:space="0" w:color="auto"/>
        <w:right w:val="none" w:sz="0" w:space="0" w:color="auto"/>
      </w:divBdr>
    </w:div>
    <w:div w:id="1050110941">
      <w:bodyDiv w:val="1"/>
      <w:marLeft w:val="0"/>
      <w:marRight w:val="0"/>
      <w:marTop w:val="0"/>
      <w:marBottom w:val="0"/>
      <w:divBdr>
        <w:top w:val="none" w:sz="0" w:space="0" w:color="auto"/>
        <w:left w:val="none" w:sz="0" w:space="0" w:color="auto"/>
        <w:bottom w:val="none" w:sz="0" w:space="0" w:color="auto"/>
        <w:right w:val="none" w:sz="0" w:space="0" w:color="auto"/>
      </w:divBdr>
    </w:div>
    <w:div w:id="1052119285">
      <w:bodyDiv w:val="1"/>
      <w:marLeft w:val="0"/>
      <w:marRight w:val="0"/>
      <w:marTop w:val="0"/>
      <w:marBottom w:val="0"/>
      <w:divBdr>
        <w:top w:val="none" w:sz="0" w:space="0" w:color="auto"/>
        <w:left w:val="none" w:sz="0" w:space="0" w:color="auto"/>
        <w:bottom w:val="none" w:sz="0" w:space="0" w:color="auto"/>
        <w:right w:val="none" w:sz="0" w:space="0" w:color="auto"/>
      </w:divBdr>
    </w:div>
    <w:div w:id="1054544367">
      <w:bodyDiv w:val="1"/>
      <w:marLeft w:val="0"/>
      <w:marRight w:val="0"/>
      <w:marTop w:val="0"/>
      <w:marBottom w:val="0"/>
      <w:divBdr>
        <w:top w:val="none" w:sz="0" w:space="0" w:color="auto"/>
        <w:left w:val="none" w:sz="0" w:space="0" w:color="auto"/>
        <w:bottom w:val="none" w:sz="0" w:space="0" w:color="auto"/>
        <w:right w:val="none" w:sz="0" w:space="0" w:color="auto"/>
      </w:divBdr>
    </w:div>
    <w:div w:id="1064109398">
      <w:bodyDiv w:val="1"/>
      <w:marLeft w:val="0"/>
      <w:marRight w:val="0"/>
      <w:marTop w:val="0"/>
      <w:marBottom w:val="0"/>
      <w:divBdr>
        <w:top w:val="none" w:sz="0" w:space="0" w:color="auto"/>
        <w:left w:val="none" w:sz="0" w:space="0" w:color="auto"/>
        <w:bottom w:val="none" w:sz="0" w:space="0" w:color="auto"/>
        <w:right w:val="none" w:sz="0" w:space="0" w:color="auto"/>
      </w:divBdr>
    </w:div>
    <w:div w:id="1076049426">
      <w:bodyDiv w:val="1"/>
      <w:marLeft w:val="0"/>
      <w:marRight w:val="0"/>
      <w:marTop w:val="0"/>
      <w:marBottom w:val="0"/>
      <w:divBdr>
        <w:top w:val="none" w:sz="0" w:space="0" w:color="auto"/>
        <w:left w:val="none" w:sz="0" w:space="0" w:color="auto"/>
        <w:bottom w:val="none" w:sz="0" w:space="0" w:color="auto"/>
        <w:right w:val="none" w:sz="0" w:space="0" w:color="auto"/>
      </w:divBdr>
    </w:div>
    <w:div w:id="1077167550">
      <w:bodyDiv w:val="1"/>
      <w:marLeft w:val="0"/>
      <w:marRight w:val="0"/>
      <w:marTop w:val="0"/>
      <w:marBottom w:val="0"/>
      <w:divBdr>
        <w:top w:val="none" w:sz="0" w:space="0" w:color="auto"/>
        <w:left w:val="none" w:sz="0" w:space="0" w:color="auto"/>
        <w:bottom w:val="none" w:sz="0" w:space="0" w:color="auto"/>
        <w:right w:val="none" w:sz="0" w:space="0" w:color="auto"/>
      </w:divBdr>
    </w:div>
    <w:div w:id="1086460370">
      <w:bodyDiv w:val="1"/>
      <w:marLeft w:val="0"/>
      <w:marRight w:val="0"/>
      <w:marTop w:val="0"/>
      <w:marBottom w:val="0"/>
      <w:divBdr>
        <w:top w:val="none" w:sz="0" w:space="0" w:color="auto"/>
        <w:left w:val="none" w:sz="0" w:space="0" w:color="auto"/>
        <w:bottom w:val="none" w:sz="0" w:space="0" w:color="auto"/>
        <w:right w:val="none" w:sz="0" w:space="0" w:color="auto"/>
      </w:divBdr>
    </w:div>
    <w:div w:id="1088886726">
      <w:bodyDiv w:val="1"/>
      <w:marLeft w:val="0"/>
      <w:marRight w:val="0"/>
      <w:marTop w:val="0"/>
      <w:marBottom w:val="0"/>
      <w:divBdr>
        <w:top w:val="none" w:sz="0" w:space="0" w:color="auto"/>
        <w:left w:val="none" w:sz="0" w:space="0" w:color="auto"/>
        <w:bottom w:val="none" w:sz="0" w:space="0" w:color="auto"/>
        <w:right w:val="none" w:sz="0" w:space="0" w:color="auto"/>
      </w:divBdr>
    </w:div>
    <w:div w:id="1089349434">
      <w:bodyDiv w:val="1"/>
      <w:marLeft w:val="0"/>
      <w:marRight w:val="0"/>
      <w:marTop w:val="0"/>
      <w:marBottom w:val="0"/>
      <w:divBdr>
        <w:top w:val="none" w:sz="0" w:space="0" w:color="auto"/>
        <w:left w:val="none" w:sz="0" w:space="0" w:color="auto"/>
        <w:bottom w:val="none" w:sz="0" w:space="0" w:color="auto"/>
        <w:right w:val="none" w:sz="0" w:space="0" w:color="auto"/>
      </w:divBdr>
      <w:divsChild>
        <w:div w:id="1662662541">
          <w:marLeft w:val="0"/>
          <w:marRight w:val="0"/>
          <w:marTop w:val="0"/>
          <w:marBottom w:val="0"/>
          <w:divBdr>
            <w:top w:val="none" w:sz="0" w:space="0" w:color="auto"/>
            <w:left w:val="none" w:sz="0" w:space="0" w:color="auto"/>
            <w:bottom w:val="none" w:sz="0" w:space="0" w:color="auto"/>
            <w:right w:val="none" w:sz="0" w:space="0" w:color="auto"/>
          </w:divBdr>
          <w:divsChild>
            <w:div w:id="2800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4675">
      <w:bodyDiv w:val="1"/>
      <w:marLeft w:val="0"/>
      <w:marRight w:val="0"/>
      <w:marTop w:val="0"/>
      <w:marBottom w:val="0"/>
      <w:divBdr>
        <w:top w:val="none" w:sz="0" w:space="0" w:color="auto"/>
        <w:left w:val="none" w:sz="0" w:space="0" w:color="auto"/>
        <w:bottom w:val="none" w:sz="0" w:space="0" w:color="auto"/>
        <w:right w:val="none" w:sz="0" w:space="0" w:color="auto"/>
      </w:divBdr>
    </w:div>
    <w:div w:id="1092899733">
      <w:bodyDiv w:val="1"/>
      <w:marLeft w:val="0"/>
      <w:marRight w:val="0"/>
      <w:marTop w:val="0"/>
      <w:marBottom w:val="0"/>
      <w:divBdr>
        <w:top w:val="none" w:sz="0" w:space="0" w:color="auto"/>
        <w:left w:val="none" w:sz="0" w:space="0" w:color="auto"/>
        <w:bottom w:val="none" w:sz="0" w:space="0" w:color="auto"/>
        <w:right w:val="none" w:sz="0" w:space="0" w:color="auto"/>
      </w:divBdr>
    </w:div>
    <w:div w:id="1096634720">
      <w:bodyDiv w:val="1"/>
      <w:marLeft w:val="0"/>
      <w:marRight w:val="0"/>
      <w:marTop w:val="0"/>
      <w:marBottom w:val="0"/>
      <w:divBdr>
        <w:top w:val="none" w:sz="0" w:space="0" w:color="auto"/>
        <w:left w:val="none" w:sz="0" w:space="0" w:color="auto"/>
        <w:bottom w:val="none" w:sz="0" w:space="0" w:color="auto"/>
        <w:right w:val="none" w:sz="0" w:space="0" w:color="auto"/>
      </w:divBdr>
    </w:div>
    <w:div w:id="1097023779">
      <w:bodyDiv w:val="1"/>
      <w:marLeft w:val="0"/>
      <w:marRight w:val="0"/>
      <w:marTop w:val="0"/>
      <w:marBottom w:val="0"/>
      <w:divBdr>
        <w:top w:val="none" w:sz="0" w:space="0" w:color="auto"/>
        <w:left w:val="none" w:sz="0" w:space="0" w:color="auto"/>
        <w:bottom w:val="none" w:sz="0" w:space="0" w:color="auto"/>
        <w:right w:val="none" w:sz="0" w:space="0" w:color="auto"/>
      </w:divBdr>
    </w:div>
    <w:div w:id="1102645041">
      <w:bodyDiv w:val="1"/>
      <w:marLeft w:val="0"/>
      <w:marRight w:val="0"/>
      <w:marTop w:val="0"/>
      <w:marBottom w:val="0"/>
      <w:divBdr>
        <w:top w:val="none" w:sz="0" w:space="0" w:color="auto"/>
        <w:left w:val="none" w:sz="0" w:space="0" w:color="auto"/>
        <w:bottom w:val="none" w:sz="0" w:space="0" w:color="auto"/>
        <w:right w:val="none" w:sz="0" w:space="0" w:color="auto"/>
      </w:divBdr>
    </w:div>
    <w:div w:id="1103458954">
      <w:bodyDiv w:val="1"/>
      <w:marLeft w:val="0"/>
      <w:marRight w:val="0"/>
      <w:marTop w:val="0"/>
      <w:marBottom w:val="0"/>
      <w:divBdr>
        <w:top w:val="none" w:sz="0" w:space="0" w:color="auto"/>
        <w:left w:val="none" w:sz="0" w:space="0" w:color="auto"/>
        <w:bottom w:val="none" w:sz="0" w:space="0" w:color="auto"/>
        <w:right w:val="none" w:sz="0" w:space="0" w:color="auto"/>
      </w:divBdr>
    </w:div>
    <w:div w:id="1118524816">
      <w:bodyDiv w:val="1"/>
      <w:marLeft w:val="0"/>
      <w:marRight w:val="0"/>
      <w:marTop w:val="0"/>
      <w:marBottom w:val="0"/>
      <w:divBdr>
        <w:top w:val="none" w:sz="0" w:space="0" w:color="auto"/>
        <w:left w:val="none" w:sz="0" w:space="0" w:color="auto"/>
        <w:bottom w:val="none" w:sz="0" w:space="0" w:color="auto"/>
        <w:right w:val="none" w:sz="0" w:space="0" w:color="auto"/>
      </w:divBdr>
    </w:div>
    <w:div w:id="1127117463">
      <w:bodyDiv w:val="1"/>
      <w:marLeft w:val="0"/>
      <w:marRight w:val="0"/>
      <w:marTop w:val="0"/>
      <w:marBottom w:val="0"/>
      <w:divBdr>
        <w:top w:val="none" w:sz="0" w:space="0" w:color="auto"/>
        <w:left w:val="none" w:sz="0" w:space="0" w:color="auto"/>
        <w:bottom w:val="none" w:sz="0" w:space="0" w:color="auto"/>
        <w:right w:val="none" w:sz="0" w:space="0" w:color="auto"/>
      </w:divBdr>
    </w:div>
    <w:div w:id="1135878056">
      <w:bodyDiv w:val="1"/>
      <w:marLeft w:val="0"/>
      <w:marRight w:val="0"/>
      <w:marTop w:val="0"/>
      <w:marBottom w:val="0"/>
      <w:divBdr>
        <w:top w:val="none" w:sz="0" w:space="0" w:color="auto"/>
        <w:left w:val="none" w:sz="0" w:space="0" w:color="auto"/>
        <w:bottom w:val="none" w:sz="0" w:space="0" w:color="auto"/>
        <w:right w:val="none" w:sz="0" w:space="0" w:color="auto"/>
      </w:divBdr>
    </w:div>
    <w:div w:id="1137989933">
      <w:bodyDiv w:val="1"/>
      <w:marLeft w:val="0"/>
      <w:marRight w:val="0"/>
      <w:marTop w:val="0"/>
      <w:marBottom w:val="0"/>
      <w:divBdr>
        <w:top w:val="none" w:sz="0" w:space="0" w:color="auto"/>
        <w:left w:val="none" w:sz="0" w:space="0" w:color="auto"/>
        <w:bottom w:val="none" w:sz="0" w:space="0" w:color="auto"/>
        <w:right w:val="none" w:sz="0" w:space="0" w:color="auto"/>
      </w:divBdr>
    </w:div>
    <w:div w:id="1139879119">
      <w:bodyDiv w:val="1"/>
      <w:marLeft w:val="0"/>
      <w:marRight w:val="0"/>
      <w:marTop w:val="0"/>
      <w:marBottom w:val="0"/>
      <w:divBdr>
        <w:top w:val="none" w:sz="0" w:space="0" w:color="auto"/>
        <w:left w:val="none" w:sz="0" w:space="0" w:color="auto"/>
        <w:bottom w:val="none" w:sz="0" w:space="0" w:color="auto"/>
        <w:right w:val="none" w:sz="0" w:space="0" w:color="auto"/>
      </w:divBdr>
    </w:div>
    <w:div w:id="1142042755">
      <w:bodyDiv w:val="1"/>
      <w:marLeft w:val="0"/>
      <w:marRight w:val="0"/>
      <w:marTop w:val="0"/>
      <w:marBottom w:val="0"/>
      <w:divBdr>
        <w:top w:val="none" w:sz="0" w:space="0" w:color="auto"/>
        <w:left w:val="none" w:sz="0" w:space="0" w:color="auto"/>
        <w:bottom w:val="none" w:sz="0" w:space="0" w:color="auto"/>
        <w:right w:val="none" w:sz="0" w:space="0" w:color="auto"/>
      </w:divBdr>
    </w:div>
    <w:div w:id="1142650295">
      <w:bodyDiv w:val="1"/>
      <w:marLeft w:val="0"/>
      <w:marRight w:val="0"/>
      <w:marTop w:val="0"/>
      <w:marBottom w:val="0"/>
      <w:divBdr>
        <w:top w:val="none" w:sz="0" w:space="0" w:color="auto"/>
        <w:left w:val="none" w:sz="0" w:space="0" w:color="auto"/>
        <w:bottom w:val="none" w:sz="0" w:space="0" w:color="auto"/>
        <w:right w:val="none" w:sz="0" w:space="0" w:color="auto"/>
      </w:divBdr>
    </w:div>
    <w:div w:id="1143037023">
      <w:bodyDiv w:val="1"/>
      <w:marLeft w:val="0"/>
      <w:marRight w:val="0"/>
      <w:marTop w:val="0"/>
      <w:marBottom w:val="0"/>
      <w:divBdr>
        <w:top w:val="none" w:sz="0" w:space="0" w:color="auto"/>
        <w:left w:val="none" w:sz="0" w:space="0" w:color="auto"/>
        <w:bottom w:val="none" w:sz="0" w:space="0" w:color="auto"/>
        <w:right w:val="none" w:sz="0" w:space="0" w:color="auto"/>
      </w:divBdr>
    </w:div>
    <w:div w:id="1145665597">
      <w:bodyDiv w:val="1"/>
      <w:marLeft w:val="0"/>
      <w:marRight w:val="0"/>
      <w:marTop w:val="0"/>
      <w:marBottom w:val="0"/>
      <w:divBdr>
        <w:top w:val="none" w:sz="0" w:space="0" w:color="auto"/>
        <w:left w:val="none" w:sz="0" w:space="0" w:color="auto"/>
        <w:bottom w:val="none" w:sz="0" w:space="0" w:color="auto"/>
        <w:right w:val="none" w:sz="0" w:space="0" w:color="auto"/>
      </w:divBdr>
    </w:div>
    <w:div w:id="1146816523">
      <w:bodyDiv w:val="1"/>
      <w:marLeft w:val="0"/>
      <w:marRight w:val="0"/>
      <w:marTop w:val="0"/>
      <w:marBottom w:val="0"/>
      <w:divBdr>
        <w:top w:val="none" w:sz="0" w:space="0" w:color="auto"/>
        <w:left w:val="none" w:sz="0" w:space="0" w:color="auto"/>
        <w:bottom w:val="none" w:sz="0" w:space="0" w:color="auto"/>
        <w:right w:val="none" w:sz="0" w:space="0" w:color="auto"/>
      </w:divBdr>
    </w:div>
    <w:div w:id="1147209046">
      <w:bodyDiv w:val="1"/>
      <w:marLeft w:val="0"/>
      <w:marRight w:val="0"/>
      <w:marTop w:val="0"/>
      <w:marBottom w:val="0"/>
      <w:divBdr>
        <w:top w:val="none" w:sz="0" w:space="0" w:color="auto"/>
        <w:left w:val="none" w:sz="0" w:space="0" w:color="auto"/>
        <w:bottom w:val="none" w:sz="0" w:space="0" w:color="auto"/>
        <w:right w:val="none" w:sz="0" w:space="0" w:color="auto"/>
      </w:divBdr>
    </w:div>
    <w:div w:id="1150633823">
      <w:bodyDiv w:val="1"/>
      <w:marLeft w:val="0"/>
      <w:marRight w:val="0"/>
      <w:marTop w:val="0"/>
      <w:marBottom w:val="0"/>
      <w:divBdr>
        <w:top w:val="none" w:sz="0" w:space="0" w:color="auto"/>
        <w:left w:val="none" w:sz="0" w:space="0" w:color="auto"/>
        <w:bottom w:val="none" w:sz="0" w:space="0" w:color="auto"/>
        <w:right w:val="none" w:sz="0" w:space="0" w:color="auto"/>
      </w:divBdr>
    </w:div>
    <w:div w:id="1151799410">
      <w:bodyDiv w:val="1"/>
      <w:marLeft w:val="0"/>
      <w:marRight w:val="0"/>
      <w:marTop w:val="0"/>
      <w:marBottom w:val="0"/>
      <w:divBdr>
        <w:top w:val="none" w:sz="0" w:space="0" w:color="auto"/>
        <w:left w:val="none" w:sz="0" w:space="0" w:color="auto"/>
        <w:bottom w:val="none" w:sz="0" w:space="0" w:color="auto"/>
        <w:right w:val="none" w:sz="0" w:space="0" w:color="auto"/>
      </w:divBdr>
    </w:div>
    <w:div w:id="1152141372">
      <w:bodyDiv w:val="1"/>
      <w:marLeft w:val="0"/>
      <w:marRight w:val="0"/>
      <w:marTop w:val="0"/>
      <w:marBottom w:val="0"/>
      <w:divBdr>
        <w:top w:val="none" w:sz="0" w:space="0" w:color="auto"/>
        <w:left w:val="none" w:sz="0" w:space="0" w:color="auto"/>
        <w:bottom w:val="none" w:sz="0" w:space="0" w:color="auto"/>
        <w:right w:val="none" w:sz="0" w:space="0" w:color="auto"/>
      </w:divBdr>
    </w:div>
    <w:div w:id="1165823200">
      <w:bodyDiv w:val="1"/>
      <w:marLeft w:val="0"/>
      <w:marRight w:val="0"/>
      <w:marTop w:val="0"/>
      <w:marBottom w:val="0"/>
      <w:divBdr>
        <w:top w:val="none" w:sz="0" w:space="0" w:color="auto"/>
        <w:left w:val="none" w:sz="0" w:space="0" w:color="auto"/>
        <w:bottom w:val="none" w:sz="0" w:space="0" w:color="auto"/>
        <w:right w:val="none" w:sz="0" w:space="0" w:color="auto"/>
      </w:divBdr>
    </w:div>
    <w:div w:id="1177505519">
      <w:bodyDiv w:val="1"/>
      <w:marLeft w:val="0"/>
      <w:marRight w:val="0"/>
      <w:marTop w:val="0"/>
      <w:marBottom w:val="0"/>
      <w:divBdr>
        <w:top w:val="none" w:sz="0" w:space="0" w:color="auto"/>
        <w:left w:val="none" w:sz="0" w:space="0" w:color="auto"/>
        <w:bottom w:val="none" w:sz="0" w:space="0" w:color="auto"/>
        <w:right w:val="none" w:sz="0" w:space="0" w:color="auto"/>
      </w:divBdr>
    </w:div>
    <w:div w:id="1178235807">
      <w:bodyDiv w:val="1"/>
      <w:marLeft w:val="0"/>
      <w:marRight w:val="0"/>
      <w:marTop w:val="0"/>
      <w:marBottom w:val="0"/>
      <w:divBdr>
        <w:top w:val="none" w:sz="0" w:space="0" w:color="auto"/>
        <w:left w:val="none" w:sz="0" w:space="0" w:color="auto"/>
        <w:bottom w:val="none" w:sz="0" w:space="0" w:color="auto"/>
        <w:right w:val="none" w:sz="0" w:space="0" w:color="auto"/>
      </w:divBdr>
    </w:div>
    <w:div w:id="1187133203">
      <w:bodyDiv w:val="1"/>
      <w:marLeft w:val="0"/>
      <w:marRight w:val="0"/>
      <w:marTop w:val="0"/>
      <w:marBottom w:val="0"/>
      <w:divBdr>
        <w:top w:val="none" w:sz="0" w:space="0" w:color="auto"/>
        <w:left w:val="none" w:sz="0" w:space="0" w:color="auto"/>
        <w:bottom w:val="none" w:sz="0" w:space="0" w:color="auto"/>
        <w:right w:val="none" w:sz="0" w:space="0" w:color="auto"/>
      </w:divBdr>
    </w:div>
    <w:div w:id="1193807455">
      <w:bodyDiv w:val="1"/>
      <w:marLeft w:val="0"/>
      <w:marRight w:val="0"/>
      <w:marTop w:val="0"/>
      <w:marBottom w:val="0"/>
      <w:divBdr>
        <w:top w:val="none" w:sz="0" w:space="0" w:color="auto"/>
        <w:left w:val="none" w:sz="0" w:space="0" w:color="auto"/>
        <w:bottom w:val="none" w:sz="0" w:space="0" w:color="auto"/>
        <w:right w:val="none" w:sz="0" w:space="0" w:color="auto"/>
      </w:divBdr>
    </w:div>
    <w:div w:id="1197430674">
      <w:bodyDiv w:val="1"/>
      <w:marLeft w:val="0"/>
      <w:marRight w:val="0"/>
      <w:marTop w:val="0"/>
      <w:marBottom w:val="0"/>
      <w:divBdr>
        <w:top w:val="none" w:sz="0" w:space="0" w:color="auto"/>
        <w:left w:val="none" w:sz="0" w:space="0" w:color="auto"/>
        <w:bottom w:val="none" w:sz="0" w:space="0" w:color="auto"/>
        <w:right w:val="none" w:sz="0" w:space="0" w:color="auto"/>
      </w:divBdr>
    </w:div>
    <w:div w:id="1198933296">
      <w:bodyDiv w:val="1"/>
      <w:marLeft w:val="0"/>
      <w:marRight w:val="0"/>
      <w:marTop w:val="0"/>
      <w:marBottom w:val="0"/>
      <w:divBdr>
        <w:top w:val="none" w:sz="0" w:space="0" w:color="auto"/>
        <w:left w:val="none" w:sz="0" w:space="0" w:color="auto"/>
        <w:bottom w:val="none" w:sz="0" w:space="0" w:color="auto"/>
        <w:right w:val="none" w:sz="0" w:space="0" w:color="auto"/>
      </w:divBdr>
    </w:div>
    <w:div w:id="1204291590">
      <w:bodyDiv w:val="1"/>
      <w:marLeft w:val="0"/>
      <w:marRight w:val="0"/>
      <w:marTop w:val="0"/>
      <w:marBottom w:val="0"/>
      <w:divBdr>
        <w:top w:val="none" w:sz="0" w:space="0" w:color="auto"/>
        <w:left w:val="none" w:sz="0" w:space="0" w:color="auto"/>
        <w:bottom w:val="none" w:sz="0" w:space="0" w:color="auto"/>
        <w:right w:val="none" w:sz="0" w:space="0" w:color="auto"/>
      </w:divBdr>
    </w:div>
    <w:div w:id="1207176517">
      <w:bodyDiv w:val="1"/>
      <w:marLeft w:val="0"/>
      <w:marRight w:val="0"/>
      <w:marTop w:val="0"/>
      <w:marBottom w:val="0"/>
      <w:divBdr>
        <w:top w:val="none" w:sz="0" w:space="0" w:color="auto"/>
        <w:left w:val="none" w:sz="0" w:space="0" w:color="auto"/>
        <w:bottom w:val="none" w:sz="0" w:space="0" w:color="auto"/>
        <w:right w:val="none" w:sz="0" w:space="0" w:color="auto"/>
      </w:divBdr>
    </w:div>
    <w:div w:id="1208446373">
      <w:bodyDiv w:val="1"/>
      <w:marLeft w:val="0"/>
      <w:marRight w:val="0"/>
      <w:marTop w:val="0"/>
      <w:marBottom w:val="0"/>
      <w:divBdr>
        <w:top w:val="none" w:sz="0" w:space="0" w:color="auto"/>
        <w:left w:val="none" w:sz="0" w:space="0" w:color="auto"/>
        <w:bottom w:val="none" w:sz="0" w:space="0" w:color="auto"/>
        <w:right w:val="none" w:sz="0" w:space="0" w:color="auto"/>
      </w:divBdr>
    </w:div>
    <w:div w:id="1210000205">
      <w:bodyDiv w:val="1"/>
      <w:marLeft w:val="0"/>
      <w:marRight w:val="0"/>
      <w:marTop w:val="0"/>
      <w:marBottom w:val="0"/>
      <w:divBdr>
        <w:top w:val="none" w:sz="0" w:space="0" w:color="auto"/>
        <w:left w:val="none" w:sz="0" w:space="0" w:color="auto"/>
        <w:bottom w:val="none" w:sz="0" w:space="0" w:color="auto"/>
        <w:right w:val="none" w:sz="0" w:space="0" w:color="auto"/>
      </w:divBdr>
    </w:div>
    <w:div w:id="1210915282">
      <w:bodyDiv w:val="1"/>
      <w:marLeft w:val="0"/>
      <w:marRight w:val="0"/>
      <w:marTop w:val="0"/>
      <w:marBottom w:val="0"/>
      <w:divBdr>
        <w:top w:val="none" w:sz="0" w:space="0" w:color="auto"/>
        <w:left w:val="none" w:sz="0" w:space="0" w:color="auto"/>
        <w:bottom w:val="none" w:sz="0" w:space="0" w:color="auto"/>
        <w:right w:val="none" w:sz="0" w:space="0" w:color="auto"/>
      </w:divBdr>
    </w:div>
    <w:div w:id="1212377639">
      <w:bodyDiv w:val="1"/>
      <w:marLeft w:val="0"/>
      <w:marRight w:val="0"/>
      <w:marTop w:val="0"/>
      <w:marBottom w:val="0"/>
      <w:divBdr>
        <w:top w:val="none" w:sz="0" w:space="0" w:color="auto"/>
        <w:left w:val="none" w:sz="0" w:space="0" w:color="auto"/>
        <w:bottom w:val="none" w:sz="0" w:space="0" w:color="auto"/>
        <w:right w:val="none" w:sz="0" w:space="0" w:color="auto"/>
      </w:divBdr>
    </w:div>
    <w:div w:id="1217202359">
      <w:bodyDiv w:val="1"/>
      <w:marLeft w:val="0"/>
      <w:marRight w:val="0"/>
      <w:marTop w:val="0"/>
      <w:marBottom w:val="0"/>
      <w:divBdr>
        <w:top w:val="none" w:sz="0" w:space="0" w:color="auto"/>
        <w:left w:val="none" w:sz="0" w:space="0" w:color="auto"/>
        <w:bottom w:val="none" w:sz="0" w:space="0" w:color="auto"/>
        <w:right w:val="none" w:sz="0" w:space="0" w:color="auto"/>
      </w:divBdr>
    </w:div>
    <w:div w:id="1218054966">
      <w:bodyDiv w:val="1"/>
      <w:marLeft w:val="0"/>
      <w:marRight w:val="0"/>
      <w:marTop w:val="0"/>
      <w:marBottom w:val="0"/>
      <w:divBdr>
        <w:top w:val="none" w:sz="0" w:space="0" w:color="auto"/>
        <w:left w:val="none" w:sz="0" w:space="0" w:color="auto"/>
        <w:bottom w:val="none" w:sz="0" w:space="0" w:color="auto"/>
        <w:right w:val="none" w:sz="0" w:space="0" w:color="auto"/>
      </w:divBdr>
    </w:div>
    <w:div w:id="1218738407">
      <w:bodyDiv w:val="1"/>
      <w:marLeft w:val="0"/>
      <w:marRight w:val="0"/>
      <w:marTop w:val="0"/>
      <w:marBottom w:val="0"/>
      <w:divBdr>
        <w:top w:val="none" w:sz="0" w:space="0" w:color="auto"/>
        <w:left w:val="none" w:sz="0" w:space="0" w:color="auto"/>
        <w:bottom w:val="none" w:sz="0" w:space="0" w:color="auto"/>
        <w:right w:val="none" w:sz="0" w:space="0" w:color="auto"/>
      </w:divBdr>
    </w:div>
    <w:div w:id="1220477508">
      <w:bodyDiv w:val="1"/>
      <w:marLeft w:val="0"/>
      <w:marRight w:val="0"/>
      <w:marTop w:val="0"/>
      <w:marBottom w:val="0"/>
      <w:divBdr>
        <w:top w:val="none" w:sz="0" w:space="0" w:color="auto"/>
        <w:left w:val="none" w:sz="0" w:space="0" w:color="auto"/>
        <w:bottom w:val="none" w:sz="0" w:space="0" w:color="auto"/>
        <w:right w:val="none" w:sz="0" w:space="0" w:color="auto"/>
      </w:divBdr>
    </w:div>
    <w:div w:id="1222131441">
      <w:bodyDiv w:val="1"/>
      <w:marLeft w:val="0"/>
      <w:marRight w:val="0"/>
      <w:marTop w:val="0"/>
      <w:marBottom w:val="0"/>
      <w:divBdr>
        <w:top w:val="none" w:sz="0" w:space="0" w:color="auto"/>
        <w:left w:val="none" w:sz="0" w:space="0" w:color="auto"/>
        <w:bottom w:val="none" w:sz="0" w:space="0" w:color="auto"/>
        <w:right w:val="none" w:sz="0" w:space="0" w:color="auto"/>
      </w:divBdr>
    </w:div>
    <w:div w:id="1227373040">
      <w:bodyDiv w:val="1"/>
      <w:marLeft w:val="0"/>
      <w:marRight w:val="0"/>
      <w:marTop w:val="0"/>
      <w:marBottom w:val="0"/>
      <w:divBdr>
        <w:top w:val="none" w:sz="0" w:space="0" w:color="auto"/>
        <w:left w:val="none" w:sz="0" w:space="0" w:color="auto"/>
        <w:bottom w:val="none" w:sz="0" w:space="0" w:color="auto"/>
        <w:right w:val="none" w:sz="0" w:space="0" w:color="auto"/>
      </w:divBdr>
    </w:div>
    <w:div w:id="1231883758">
      <w:bodyDiv w:val="1"/>
      <w:marLeft w:val="0"/>
      <w:marRight w:val="0"/>
      <w:marTop w:val="0"/>
      <w:marBottom w:val="0"/>
      <w:divBdr>
        <w:top w:val="none" w:sz="0" w:space="0" w:color="auto"/>
        <w:left w:val="none" w:sz="0" w:space="0" w:color="auto"/>
        <w:bottom w:val="none" w:sz="0" w:space="0" w:color="auto"/>
        <w:right w:val="none" w:sz="0" w:space="0" w:color="auto"/>
      </w:divBdr>
    </w:div>
    <w:div w:id="1231958849">
      <w:bodyDiv w:val="1"/>
      <w:marLeft w:val="0"/>
      <w:marRight w:val="0"/>
      <w:marTop w:val="0"/>
      <w:marBottom w:val="0"/>
      <w:divBdr>
        <w:top w:val="none" w:sz="0" w:space="0" w:color="auto"/>
        <w:left w:val="none" w:sz="0" w:space="0" w:color="auto"/>
        <w:bottom w:val="none" w:sz="0" w:space="0" w:color="auto"/>
        <w:right w:val="none" w:sz="0" w:space="0" w:color="auto"/>
      </w:divBdr>
    </w:div>
    <w:div w:id="1232689203">
      <w:bodyDiv w:val="1"/>
      <w:marLeft w:val="0"/>
      <w:marRight w:val="0"/>
      <w:marTop w:val="0"/>
      <w:marBottom w:val="0"/>
      <w:divBdr>
        <w:top w:val="none" w:sz="0" w:space="0" w:color="auto"/>
        <w:left w:val="none" w:sz="0" w:space="0" w:color="auto"/>
        <w:bottom w:val="none" w:sz="0" w:space="0" w:color="auto"/>
        <w:right w:val="none" w:sz="0" w:space="0" w:color="auto"/>
      </w:divBdr>
    </w:div>
    <w:div w:id="1233545846">
      <w:bodyDiv w:val="1"/>
      <w:marLeft w:val="0"/>
      <w:marRight w:val="0"/>
      <w:marTop w:val="0"/>
      <w:marBottom w:val="0"/>
      <w:divBdr>
        <w:top w:val="none" w:sz="0" w:space="0" w:color="auto"/>
        <w:left w:val="none" w:sz="0" w:space="0" w:color="auto"/>
        <w:bottom w:val="none" w:sz="0" w:space="0" w:color="auto"/>
        <w:right w:val="none" w:sz="0" w:space="0" w:color="auto"/>
      </w:divBdr>
    </w:div>
    <w:div w:id="1238242832">
      <w:bodyDiv w:val="1"/>
      <w:marLeft w:val="0"/>
      <w:marRight w:val="0"/>
      <w:marTop w:val="0"/>
      <w:marBottom w:val="0"/>
      <w:divBdr>
        <w:top w:val="none" w:sz="0" w:space="0" w:color="auto"/>
        <w:left w:val="none" w:sz="0" w:space="0" w:color="auto"/>
        <w:bottom w:val="none" w:sz="0" w:space="0" w:color="auto"/>
        <w:right w:val="none" w:sz="0" w:space="0" w:color="auto"/>
      </w:divBdr>
    </w:div>
    <w:div w:id="1240943123">
      <w:bodyDiv w:val="1"/>
      <w:marLeft w:val="0"/>
      <w:marRight w:val="0"/>
      <w:marTop w:val="0"/>
      <w:marBottom w:val="0"/>
      <w:divBdr>
        <w:top w:val="none" w:sz="0" w:space="0" w:color="auto"/>
        <w:left w:val="none" w:sz="0" w:space="0" w:color="auto"/>
        <w:bottom w:val="none" w:sz="0" w:space="0" w:color="auto"/>
        <w:right w:val="none" w:sz="0" w:space="0" w:color="auto"/>
      </w:divBdr>
    </w:div>
    <w:div w:id="1242249848">
      <w:bodyDiv w:val="1"/>
      <w:marLeft w:val="0"/>
      <w:marRight w:val="0"/>
      <w:marTop w:val="0"/>
      <w:marBottom w:val="0"/>
      <w:divBdr>
        <w:top w:val="none" w:sz="0" w:space="0" w:color="auto"/>
        <w:left w:val="none" w:sz="0" w:space="0" w:color="auto"/>
        <w:bottom w:val="none" w:sz="0" w:space="0" w:color="auto"/>
        <w:right w:val="none" w:sz="0" w:space="0" w:color="auto"/>
      </w:divBdr>
    </w:div>
    <w:div w:id="1243757486">
      <w:bodyDiv w:val="1"/>
      <w:marLeft w:val="0"/>
      <w:marRight w:val="0"/>
      <w:marTop w:val="0"/>
      <w:marBottom w:val="0"/>
      <w:divBdr>
        <w:top w:val="none" w:sz="0" w:space="0" w:color="auto"/>
        <w:left w:val="none" w:sz="0" w:space="0" w:color="auto"/>
        <w:bottom w:val="none" w:sz="0" w:space="0" w:color="auto"/>
        <w:right w:val="none" w:sz="0" w:space="0" w:color="auto"/>
      </w:divBdr>
    </w:div>
    <w:div w:id="1244532600">
      <w:bodyDiv w:val="1"/>
      <w:marLeft w:val="0"/>
      <w:marRight w:val="0"/>
      <w:marTop w:val="0"/>
      <w:marBottom w:val="0"/>
      <w:divBdr>
        <w:top w:val="none" w:sz="0" w:space="0" w:color="auto"/>
        <w:left w:val="none" w:sz="0" w:space="0" w:color="auto"/>
        <w:bottom w:val="none" w:sz="0" w:space="0" w:color="auto"/>
        <w:right w:val="none" w:sz="0" w:space="0" w:color="auto"/>
      </w:divBdr>
    </w:div>
    <w:div w:id="1248922972">
      <w:bodyDiv w:val="1"/>
      <w:marLeft w:val="0"/>
      <w:marRight w:val="0"/>
      <w:marTop w:val="0"/>
      <w:marBottom w:val="0"/>
      <w:divBdr>
        <w:top w:val="none" w:sz="0" w:space="0" w:color="auto"/>
        <w:left w:val="none" w:sz="0" w:space="0" w:color="auto"/>
        <w:bottom w:val="none" w:sz="0" w:space="0" w:color="auto"/>
        <w:right w:val="none" w:sz="0" w:space="0" w:color="auto"/>
      </w:divBdr>
    </w:div>
    <w:div w:id="1253661050">
      <w:bodyDiv w:val="1"/>
      <w:marLeft w:val="0"/>
      <w:marRight w:val="0"/>
      <w:marTop w:val="0"/>
      <w:marBottom w:val="0"/>
      <w:divBdr>
        <w:top w:val="none" w:sz="0" w:space="0" w:color="auto"/>
        <w:left w:val="none" w:sz="0" w:space="0" w:color="auto"/>
        <w:bottom w:val="none" w:sz="0" w:space="0" w:color="auto"/>
        <w:right w:val="none" w:sz="0" w:space="0" w:color="auto"/>
      </w:divBdr>
    </w:div>
    <w:div w:id="1255557339">
      <w:bodyDiv w:val="1"/>
      <w:marLeft w:val="0"/>
      <w:marRight w:val="0"/>
      <w:marTop w:val="0"/>
      <w:marBottom w:val="0"/>
      <w:divBdr>
        <w:top w:val="none" w:sz="0" w:space="0" w:color="auto"/>
        <w:left w:val="none" w:sz="0" w:space="0" w:color="auto"/>
        <w:bottom w:val="none" w:sz="0" w:space="0" w:color="auto"/>
        <w:right w:val="none" w:sz="0" w:space="0" w:color="auto"/>
      </w:divBdr>
    </w:div>
    <w:div w:id="1263762277">
      <w:bodyDiv w:val="1"/>
      <w:marLeft w:val="0"/>
      <w:marRight w:val="0"/>
      <w:marTop w:val="0"/>
      <w:marBottom w:val="0"/>
      <w:divBdr>
        <w:top w:val="none" w:sz="0" w:space="0" w:color="auto"/>
        <w:left w:val="none" w:sz="0" w:space="0" w:color="auto"/>
        <w:bottom w:val="none" w:sz="0" w:space="0" w:color="auto"/>
        <w:right w:val="none" w:sz="0" w:space="0" w:color="auto"/>
      </w:divBdr>
    </w:div>
    <w:div w:id="1269578195">
      <w:bodyDiv w:val="1"/>
      <w:marLeft w:val="0"/>
      <w:marRight w:val="0"/>
      <w:marTop w:val="0"/>
      <w:marBottom w:val="0"/>
      <w:divBdr>
        <w:top w:val="none" w:sz="0" w:space="0" w:color="auto"/>
        <w:left w:val="none" w:sz="0" w:space="0" w:color="auto"/>
        <w:bottom w:val="none" w:sz="0" w:space="0" w:color="auto"/>
        <w:right w:val="none" w:sz="0" w:space="0" w:color="auto"/>
      </w:divBdr>
      <w:divsChild>
        <w:div w:id="1199204347">
          <w:marLeft w:val="0"/>
          <w:marRight w:val="0"/>
          <w:marTop w:val="0"/>
          <w:marBottom w:val="0"/>
          <w:divBdr>
            <w:top w:val="none" w:sz="0" w:space="0" w:color="auto"/>
            <w:left w:val="none" w:sz="0" w:space="0" w:color="auto"/>
            <w:bottom w:val="none" w:sz="0" w:space="0" w:color="auto"/>
            <w:right w:val="none" w:sz="0" w:space="0" w:color="auto"/>
          </w:divBdr>
          <w:divsChild>
            <w:div w:id="10339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935932">
      <w:bodyDiv w:val="1"/>
      <w:marLeft w:val="0"/>
      <w:marRight w:val="0"/>
      <w:marTop w:val="0"/>
      <w:marBottom w:val="0"/>
      <w:divBdr>
        <w:top w:val="none" w:sz="0" w:space="0" w:color="auto"/>
        <w:left w:val="none" w:sz="0" w:space="0" w:color="auto"/>
        <w:bottom w:val="none" w:sz="0" w:space="0" w:color="auto"/>
        <w:right w:val="none" w:sz="0" w:space="0" w:color="auto"/>
      </w:divBdr>
    </w:div>
    <w:div w:id="1274552064">
      <w:bodyDiv w:val="1"/>
      <w:marLeft w:val="0"/>
      <w:marRight w:val="0"/>
      <w:marTop w:val="0"/>
      <w:marBottom w:val="0"/>
      <w:divBdr>
        <w:top w:val="none" w:sz="0" w:space="0" w:color="auto"/>
        <w:left w:val="none" w:sz="0" w:space="0" w:color="auto"/>
        <w:bottom w:val="none" w:sz="0" w:space="0" w:color="auto"/>
        <w:right w:val="none" w:sz="0" w:space="0" w:color="auto"/>
      </w:divBdr>
    </w:div>
    <w:div w:id="1274554382">
      <w:bodyDiv w:val="1"/>
      <w:marLeft w:val="0"/>
      <w:marRight w:val="0"/>
      <w:marTop w:val="0"/>
      <w:marBottom w:val="0"/>
      <w:divBdr>
        <w:top w:val="none" w:sz="0" w:space="0" w:color="auto"/>
        <w:left w:val="none" w:sz="0" w:space="0" w:color="auto"/>
        <w:bottom w:val="none" w:sz="0" w:space="0" w:color="auto"/>
        <w:right w:val="none" w:sz="0" w:space="0" w:color="auto"/>
      </w:divBdr>
    </w:div>
    <w:div w:id="1287271700">
      <w:bodyDiv w:val="1"/>
      <w:marLeft w:val="0"/>
      <w:marRight w:val="0"/>
      <w:marTop w:val="0"/>
      <w:marBottom w:val="0"/>
      <w:divBdr>
        <w:top w:val="none" w:sz="0" w:space="0" w:color="auto"/>
        <w:left w:val="none" w:sz="0" w:space="0" w:color="auto"/>
        <w:bottom w:val="none" w:sz="0" w:space="0" w:color="auto"/>
        <w:right w:val="none" w:sz="0" w:space="0" w:color="auto"/>
      </w:divBdr>
    </w:div>
    <w:div w:id="1287854772">
      <w:bodyDiv w:val="1"/>
      <w:marLeft w:val="0"/>
      <w:marRight w:val="0"/>
      <w:marTop w:val="0"/>
      <w:marBottom w:val="0"/>
      <w:divBdr>
        <w:top w:val="none" w:sz="0" w:space="0" w:color="auto"/>
        <w:left w:val="none" w:sz="0" w:space="0" w:color="auto"/>
        <w:bottom w:val="none" w:sz="0" w:space="0" w:color="auto"/>
        <w:right w:val="none" w:sz="0" w:space="0" w:color="auto"/>
      </w:divBdr>
    </w:div>
    <w:div w:id="1288657950">
      <w:bodyDiv w:val="1"/>
      <w:marLeft w:val="0"/>
      <w:marRight w:val="0"/>
      <w:marTop w:val="0"/>
      <w:marBottom w:val="0"/>
      <w:divBdr>
        <w:top w:val="none" w:sz="0" w:space="0" w:color="auto"/>
        <w:left w:val="none" w:sz="0" w:space="0" w:color="auto"/>
        <w:bottom w:val="none" w:sz="0" w:space="0" w:color="auto"/>
        <w:right w:val="none" w:sz="0" w:space="0" w:color="auto"/>
      </w:divBdr>
    </w:div>
    <w:div w:id="1289820770">
      <w:bodyDiv w:val="1"/>
      <w:marLeft w:val="0"/>
      <w:marRight w:val="0"/>
      <w:marTop w:val="0"/>
      <w:marBottom w:val="0"/>
      <w:divBdr>
        <w:top w:val="none" w:sz="0" w:space="0" w:color="auto"/>
        <w:left w:val="none" w:sz="0" w:space="0" w:color="auto"/>
        <w:bottom w:val="none" w:sz="0" w:space="0" w:color="auto"/>
        <w:right w:val="none" w:sz="0" w:space="0" w:color="auto"/>
      </w:divBdr>
    </w:div>
    <w:div w:id="1289897185">
      <w:bodyDiv w:val="1"/>
      <w:marLeft w:val="0"/>
      <w:marRight w:val="0"/>
      <w:marTop w:val="0"/>
      <w:marBottom w:val="0"/>
      <w:divBdr>
        <w:top w:val="none" w:sz="0" w:space="0" w:color="auto"/>
        <w:left w:val="none" w:sz="0" w:space="0" w:color="auto"/>
        <w:bottom w:val="none" w:sz="0" w:space="0" w:color="auto"/>
        <w:right w:val="none" w:sz="0" w:space="0" w:color="auto"/>
      </w:divBdr>
    </w:div>
    <w:div w:id="1294795959">
      <w:bodyDiv w:val="1"/>
      <w:marLeft w:val="0"/>
      <w:marRight w:val="0"/>
      <w:marTop w:val="0"/>
      <w:marBottom w:val="0"/>
      <w:divBdr>
        <w:top w:val="none" w:sz="0" w:space="0" w:color="auto"/>
        <w:left w:val="none" w:sz="0" w:space="0" w:color="auto"/>
        <w:bottom w:val="none" w:sz="0" w:space="0" w:color="auto"/>
        <w:right w:val="none" w:sz="0" w:space="0" w:color="auto"/>
      </w:divBdr>
    </w:div>
    <w:div w:id="1295911817">
      <w:bodyDiv w:val="1"/>
      <w:marLeft w:val="0"/>
      <w:marRight w:val="0"/>
      <w:marTop w:val="0"/>
      <w:marBottom w:val="0"/>
      <w:divBdr>
        <w:top w:val="none" w:sz="0" w:space="0" w:color="auto"/>
        <w:left w:val="none" w:sz="0" w:space="0" w:color="auto"/>
        <w:bottom w:val="none" w:sz="0" w:space="0" w:color="auto"/>
        <w:right w:val="none" w:sz="0" w:space="0" w:color="auto"/>
      </w:divBdr>
    </w:div>
    <w:div w:id="1296133224">
      <w:bodyDiv w:val="1"/>
      <w:marLeft w:val="0"/>
      <w:marRight w:val="0"/>
      <w:marTop w:val="0"/>
      <w:marBottom w:val="0"/>
      <w:divBdr>
        <w:top w:val="none" w:sz="0" w:space="0" w:color="auto"/>
        <w:left w:val="none" w:sz="0" w:space="0" w:color="auto"/>
        <w:bottom w:val="none" w:sz="0" w:space="0" w:color="auto"/>
        <w:right w:val="none" w:sz="0" w:space="0" w:color="auto"/>
      </w:divBdr>
    </w:div>
    <w:div w:id="1296838901">
      <w:bodyDiv w:val="1"/>
      <w:marLeft w:val="0"/>
      <w:marRight w:val="0"/>
      <w:marTop w:val="0"/>
      <w:marBottom w:val="0"/>
      <w:divBdr>
        <w:top w:val="none" w:sz="0" w:space="0" w:color="auto"/>
        <w:left w:val="none" w:sz="0" w:space="0" w:color="auto"/>
        <w:bottom w:val="none" w:sz="0" w:space="0" w:color="auto"/>
        <w:right w:val="none" w:sz="0" w:space="0" w:color="auto"/>
      </w:divBdr>
    </w:div>
    <w:div w:id="1297565335">
      <w:bodyDiv w:val="1"/>
      <w:marLeft w:val="0"/>
      <w:marRight w:val="0"/>
      <w:marTop w:val="0"/>
      <w:marBottom w:val="0"/>
      <w:divBdr>
        <w:top w:val="none" w:sz="0" w:space="0" w:color="auto"/>
        <w:left w:val="none" w:sz="0" w:space="0" w:color="auto"/>
        <w:bottom w:val="none" w:sz="0" w:space="0" w:color="auto"/>
        <w:right w:val="none" w:sz="0" w:space="0" w:color="auto"/>
      </w:divBdr>
    </w:div>
    <w:div w:id="1301223928">
      <w:bodyDiv w:val="1"/>
      <w:marLeft w:val="0"/>
      <w:marRight w:val="0"/>
      <w:marTop w:val="0"/>
      <w:marBottom w:val="0"/>
      <w:divBdr>
        <w:top w:val="none" w:sz="0" w:space="0" w:color="auto"/>
        <w:left w:val="none" w:sz="0" w:space="0" w:color="auto"/>
        <w:bottom w:val="none" w:sz="0" w:space="0" w:color="auto"/>
        <w:right w:val="none" w:sz="0" w:space="0" w:color="auto"/>
      </w:divBdr>
    </w:div>
    <w:div w:id="1305282664">
      <w:bodyDiv w:val="1"/>
      <w:marLeft w:val="0"/>
      <w:marRight w:val="0"/>
      <w:marTop w:val="0"/>
      <w:marBottom w:val="0"/>
      <w:divBdr>
        <w:top w:val="none" w:sz="0" w:space="0" w:color="auto"/>
        <w:left w:val="none" w:sz="0" w:space="0" w:color="auto"/>
        <w:bottom w:val="none" w:sz="0" w:space="0" w:color="auto"/>
        <w:right w:val="none" w:sz="0" w:space="0" w:color="auto"/>
      </w:divBdr>
    </w:div>
    <w:div w:id="1305771706">
      <w:bodyDiv w:val="1"/>
      <w:marLeft w:val="0"/>
      <w:marRight w:val="0"/>
      <w:marTop w:val="0"/>
      <w:marBottom w:val="0"/>
      <w:divBdr>
        <w:top w:val="none" w:sz="0" w:space="0" w:color="auto"/>
        <w:left w:val="none" w:sz="0" w:space="0" w:color="auto"/>
        <w:bottom w:val="none" w:sz="0" w:space="0" w:color="auto"/>
        <w:right w:val="none" w:sz="0" w:space="0" w:color="auto"/>
      </w:divBdr>
    </w:div>
    <w:div w:id="1309937353">
      <w:bodyDiv w:val="1"/>
      <w:marLeft w:val="0"/>
      <w:marRight w:val="0"/>
      <w:marTop w:val="0"/>
      <w:marBottom w:val="0"/>
      <w:divBdr>
        <w:top w:val="none" w:sz="0" w:space="0" w:color="auto"/>
        <w:left w:val="none" w:sz="0" w:space="0" w:color="auto"/>
        <w:bottom w:val="none" w:sz="0" w:space="0" w:color="auto"/>
        <w:right w:val="none" w:sz="0" w:space="0" w:color="auto"/>
      </w:divBdr>
    </w:div>
    <w:div w:id="1317958667">
      <w:bodyDiv w:val="1"/>
      <w:marLeft w:val="0"/>
      <w:marRight w:val="0"/>
      <w:marTop w:val="0"/>
      <w:marBottom w:val="0"/>
      <w:divBdr>
        <w:top w:val="none" w:sz="0" w:space="0" w:color="auto"/>
        <w:left w:val="none" w:sz="0" w:space="0" w:color="auto"/>
        <w:bottom w:val="none" w:sz="0" w:space="0" w:color="auto"/>
        <w:right w:val="none" w:sz="0" w:space="0" w:color="auto"/>
      </w:divBdr>
    </w:div>
    <w:div w:id="1318609657">
      <w:bodyDiv w:val="1"/>
      <w:marLeft w:val="0"/>
      <w:marRight w:val="0"/>
      <w:marTop w:val="0"/>
      <w:marBottom w:val="0"/>
      <w:divBdr>
        <w:top w:val="none" w:sz="0" w:space="0" w:color="auto"/>
        <w:left w:val="none" w:sz="0" w:space="0" w:color="auto"/>
        <w:bottom w:val="none" w:sz="0" w:space="0" w:color="auto"/>
        <w:right w:val="none" w:sz="0" w:space="0" w:color="auto"/>
      </w:divBdr>
    </w:div>
    <w:div w:id="1322536389">
      <w:bodyDiv w:val="1"/>
      <w:marLeft w:val="0"/>
      <w:marRight w:val="0"/>
      <w:marTop w:val="0"/>
      <w:marBottom w:val="0"/>
      <w:divBdr>
        <w:top w:val="none" w:sz="0" w:space="0" w:color="auto"/>
        <w:left w:val="none" w:sz="0" w:space="0" w:color="auto"/>
        <w:bottom w:val="none" w:sz="0" w:space="0" w:color="auto"/>
        <w:right w:val="none" w:sz="0" w:space="0" w:color="auto"/>
      </w:divBdr>
    </w:div>
    <w:div w:id="1331103795">
      <w:bodyDiv w:val="1"/>
      <w:marLeft w:val="0"/>
      <w:marRight w:val="0"/>
      <w:marTop w:val="0"/>
      <w:marBottom w:val="0"/>
      <w:divBdr>
        <w:top w:val="none" w:sz="0" w:space="0" w:color="auto"/>
        <w:left w:val="none" w:sz="0" w:space="0" w:color="auto"/>
        <w:bottom w:val="none" w:sz="0" w:space="0" w:color="auto"/>
        <w:right w:val="none" w:sz="0" w:space="0" w:color="auto"/>
      </w:divBdr>
    </w:div>
    <w:div w:id="1332223614">
      <w:bodyDiv w:val="1"/>
      <w:marLeft w:val="0"/>
      <w:marRight w:val="0"/>
      <w:marTop w:val="0"/>
      <w:marBottom w:val="0"/>
      <w:divBdr>
        <w:top w:val="none" w:sz="0" w:space="0" w:color="auto"/>
        <w:left w:val="none" w:sz="0" w:space="0" w:color="auto"/>
        <w:bottom w:val="none" w:sz="0" w:space="0" w:color="auto"/>
        <w:right w:val="none" w:sz="0" w:space="0" w:color="auto"/>
      </w:divBdr>
    </w:div>
    <w:div w:id="1333336410">
      <w:bodyDiv w:val="1"/>
      <w:marLeft w:val="0"/>
      <w:marRight w:val="0"/>
      <w:marTop w:val="0"/>
      <w:marBottom w:val="0"/>
      <w:divBdr>
        <w:top w:val="none" w:sz="0" w:space="0" w:color="auto"/>
        <w:left w:val="none" w:sz="0" w:space="0" w:color="auto"/>
        <w:bottom w:val="none" w:sz="0" w:space="0" w:color="auto"/>
        <w:right w:val="none" w:sz="0" w:space="0" w:color="auto"/>
      </w:divBdr>
    </w:div>
    <w:div w:id="1335693154">
      <w:bodyDiv w:val="1"/>
      <w:marLeft w:val="0"/>
      <w:marRight w:val="0"/>
      <w:marTop w:val="0"/>
      <w:marBottom w:val="0"/>
      <w:divBdr>
        <w:top w:val="none" w:sz="0" w:space="0" w:color="auto"/>
        <w:left w:val="none" w:sz="0" w:space="0" w:color="auto"/>
        <w:bottom w:val="none" w:sz="0" w:space="0" w:color="auto"/>
        <w:right w:val="none" w:sz="0" w:space="0" w:color="auto"/>
      </w:divBdr>
    </w:div>
    <w:div w:id="1335887084">
      <w:bodyDiv w:val="1"/>
      <w:marLeft w:val="0"/>
      <w:marRight w:val="0"/>
      <w:marTop w:val="0"/>
      <w:marBottom w:val="0"/>
      <w:divBdr>
        <w:top w:val="none" w:sz="0" w:space="0" w:color="auto"/>
        <w:left w:val="none" w:sz="0" w:space="0" w:color="auto"/>
        <w:bottom w:val="none" w:sz="0" w:space="0" w:color="auto"/>
        <w:right w:val="none" w:sz="0" w:space="0" w:color="auto"/>
      </w:divBdr>
    </w:div>
    <w:div w:id="1339045782">
      <w:bodyDiv w:val="1"/>
      <w:marLeft w:val="0"/>
      <w:marRight w:val="0"/>
      <w:marTop w:val="0"/>
      <w:marBottom w:val="0"/>
      <w:divBdr>
        <w:top w:val="none" w:sz="0" w:space="0" w:color="auto"/>
        <w:left w:val="none" w:sz="0" w:space="0" w:color="auto"/>
        <w:bottom w:val="none" w:sz="0" w:space="0" w:color="auto"/>
        <w:right w:val="none" w:sz="0" w:space="0" w:color="auto"/>
      </w:divBdr>
    </w:div>
    <w:div w:id="1340425062">
      <w:bodyDiv w:val="1"/>
      <w:marLeft w:val="0"/>
      <w:marRight w:val="0"/>
      <w:marTop w:val="0"/>
      <w:marBottom w:val="0"/>
      <w:divBdr>
        <w:top w:val="none" w:sz="0" w:space="0" w:color="auto"/>
        <w:left w:val="none" w:sz="0" w:space="0" w:color="auto"/>
        <w:bottom w:val="none" w:sz="0" w:space="0" w:color="auto"/>
        <w:right w:val="none" w:sz="0" w:space="0" w:color="auto"/>
      </w:divBdr>
    </w:div>
    <w:div w:id="1345746225">
      <w:bodyDiv w:val="1"/>
      <w:marLeft w:val="0"/>
      <w:marRight w:val="0"/>
      <w:marTop w:val="0"/>
      <w:marBottom w:val="0"/>
      <w:divBdr>
        <w:top w:val="none" w:sz="0" w:space="0" w:color="auto"/>
        <w:left w:val="none" w:sz="0" w:space="0" w:color="auto"/>
        <w:bottom w:val="none" w:sz="0" w:space="0" w:color="auto"/>
        <w:right w:val="none" w:sz="0" w:space="0" w:color="auto"/>
      </w:divBdr>
    </w:div>
    <w:div w:id="1345866100">
      <w:bodyDiv w:val="1"/>
      <w:marLeft w:val="0"/>
      <w:marRight w:val="0"/>
      <w:marTop w:val="0"/>
      <w:marBottom w:val="0"/>
      <w:divBdr>
        <w:top w:val="none" w:sz="0" w:space="0" w:color="auto"/>
        <w:left w:val="none" w:sz="0" w:space="0" w:color="auto"/>
        <w:bottom w:val="none" w:sz="0" w:space="0" w:color="auto"/>
        <w:right w:val="none" w:sz="0" w:space="0" w:color="auto"/>
      </w:divBdr>
    </w:div>
    <w:div w:id="1346712919">
      <w:bodyDiv w:val="1"/>
      <w:marLeft w:val="0"/>
      <w:marRight w:val="0"/>
      <w:marTop w:val="0"/>
      <w:marBottom w:val="0"/>
      <w:divBdr>
        <w:top w:val="none" w:sz="0" w:space="0" w:color="auto"/>
        <w:left w:val="none" w:sz="0" w:space="0" w:color="auto"/>
        <w:bottom w:val="none" w:sz="0" w:space="0" w:color="auto"/>
        <w:right w:val="none" w:sz="0" w:space="0" w:color="auto"/>
      </w:divBdr>
    </w:div>
    <w:div w:id="1347899902">
      <w:bodyDiv w:val="1"/>
      <w:marLeft w:val="0"/>
      <w:marRight w:val="0"/>
      <w:marTop w:val="0"/>
      <w:marBottom w:val="0"/>
      <w:divBdr>
        <w:top w:val="none" w:sz="0" w:space="0" w:color="auto"/>
        <w:left w:val="none" w:sz="0" w:space="0" w:color="auto"/>
        <w:bottom w:val="none" w:sz="0" w:space="0" w:color="auto"/>
        <w:right w:val="none" w:sz="0" w:space="0" w:color="auto"/>
      </w:divBdr>
    </w:div>
    <w:div w:id="1348942365">
      <w:bodyDiv w:val="1"/>
      <w:marLeft w:val="0"/>
      <w:marRight w:val="0"/>
      <w:marTop w:val="0"/>
      <w:marBottom w:val="0"/>
      <w:divBdr>
        <w:top w:val="none" w:sz="0" w:space="0" w:color="auto"/>
        <w:left w:val="none" w:sz="0" w:space="0" w:color="auto"/>
        <w:bottom w:val="none" w:sz="0" w:space="0" w:color="auto"/>
        <w:right w:val="none" w:sz="0" w:space="0" w:color="auto"/>
      </w:divBdr>
    </w:div>
    <w:div w:id="1350451286">
      <w:bodyDiv w:val="1"/>
      <w:marLeft w:val="0"/>
      <w:marRight w:val="0"/>
      <w:marTop w:val="0"/>
      <w:marBottom w:val="0"/>
      <w:divBdr>
        <w:top w:val="none" w:sz="0" w:space="0" w:color="auto"/>
        <w:left w:val="none" w:sz="0" w:space="0" w:color="auto"/>
        <w:bottom w:val="none" w:sz="0" w:space="0" w:color="auto"/>
        <w:right w:val="none" w:sz="0" w:space="0" w:color="auto"/>
      </w:divBdr>
    </w:div>
    <w:div w:id="1354262770">
      <w:bodyDiv w:val="1"/>
      <w:marLeft w:val="0"/>
      <w:marRight w:val="0"/>
      <w:marTop w:val="0"/>
      <w:marBottom w:val="0"/>
      <w:divBdr>
        <w:top w:val="none" w:sz="0" w:space="0" w:color="auto"/>
        <w:left w:val="none" w:sz="0" w:space="0" w:color="auto"/>
        <w:bottom w:val="none" w:sz="0" w:space="0" w:color="auto"/>
        <w:right w:val="none" w:sz="0" w:space="0" w:color="auto"/>
      </w:divBdr>
    </w:div>
    <w:div w:id="1355887094">
      <w:bodyDiv w:val="1"/>
      <w:marLeft w:val="0"/>
      <w:marRight w:val="0"/>
      <w:marTop w:val="0"/>
      <w:marBottom w:val="0"/>
      <w:divBdr>
        <w:top w:val="none" w:sz="0" w:space="0" w:color="auto"/>
        <w:left w:val="none" w:sz="0" w:space="0" w:color="auto"/>
        <w:bottom w:val="none" w:sz="0" w:space="0" w:color="auto"/>
        <w:right w:val="none" w:sz="0" w:space="0" w:color="auto"/>
      </w:divBdr>
    </w:div>
    <w:div w:id="1357316987">
      <w:bodyDiv w:val="1"/>
      <w:marLeft w:val="0"/>
      <w:marRight w:val="0"/>
      <w:marTop w:val="0"/>
      <w:marBottom w:val="0"/>
      <w:divBdr>
        <w:top w:val="none" w:sz="0" w:space="0" w:color="auto"/>
        <w:left w:val="none" w:sz="0" w:space="0" w:color="auto"/>
        <w:bottom w:val="none" w:sz="0" w:space="0" w:color="auto"/>
        <w:right w:val="none" w:sz="0" w:space="0" w:color="auto"/>
      </w:divBdr>
    </w:div>
    <w:div w:id="1358696261">
      <w:bodyDiv w:val="1"/>
      <w:marLeft w:val="0"/>
      <w:marRight w:val="0"/>
      <w:marTop w:val="0"/>
      <w:marBottom w:val="0"/>
      <w:divBdr>
        <w:top w:val="none" w:sz="0" w:space="0" w:color="auto"/>
        <w:left w:val="none" w:sz="0" w:space="0" w:color="auto"/>
        <w:bottom w:val="none" w:sz="0" w:space="0" w:color="auto"/>
        <w:right w:val="none" w:sz="0" w:space="0" w:color="auto"/>
      </w:divBdr>
    </w:div>
    <w:div w:id="1361323737">
      <w:bodyDiv w:val="1"/>
      <w:marLeft w:val="0"/>
      <w:marRight w:val="0"/>
      <w:marTop w:val="0"/>
      <w:marBottom w:val="0"/>
      <w:divBdr>
        <w:top w:val="none" w:sz="0" w:space="0" w:color="auto"/>
        <w:left w:val="none" w:sz="0" w:space="0" w:color="auto"/>
        <w:bottom w:val="none" w:sz="0" w:space="0" w:color="auto"/>
        <w:right w:val="none" w:sz="0" w:space="0" w:color="auto"/>
      </w:divBdr>
    </w:div>
    <w:div w:id="1363628179">
      <w:bodyDiv w:val="1"/>
      <w:marLeft w:val="0"/>
      <w:marRight w:val="0"/>
      <w:marTop w:val="0"/>
      <w:marBottom w:val="0"/>
      <w:divBdr>
        <w:top w:val="none" w:sz="0" w:space="0" w:color="auto"/>
        <w:left w:val="none" w:sz="0" w:space="0" w:color="auto"/>
        <w:bottom w:val="none" w:sz="0" w:space="0" w:color="auto"/>
        <w:right w:val="none" w:sz="0" w:space="0" w:color="auto"/>
      </w:divBdr>
    </w:div>
    <w:div w:id="1365326595">
      <w:bodyDiv w:val="1"/>
      <w:marLeft w:val="0"/>
      <w:marRight w:val="0"/>
      <w:marTop w:val="0"/>
      <w:marBottom w:val="0"/>
      <w:divBdr>
        <w:top w:val="none" w:sz="0" w:space="0" w:color="auto"/>
        <w:left w:val="none" w:sz="0" w:space="0" w:color="auto"/>
        <w:bottom w:val="none" w:sz="0" w:space="0" w:color="auto"/>
        <w:right w:val="none" w:sz="0" w:space="0" w:color="auto"/>
      </w:divBdr>
    </w:div>
    <w:div w:id="1369375367">
      <w:bodyDiv w:val="1"/>
      <w:marLeft w:val="0"/>
      <w:marRight w:val="0"/>
      <w:marTop w:val="0"/>
      <w:marBottom w:val="0"/>
      <w:divBdr>
        <w:top w:val="none" w:sz="0" w:space="0" w:color="auto"/>
        <w:left w:val="none" w:sz="0" w:space="0" w:color="auto"/>
        <w:bottom w:val="none" w:sz="0" w:space="0" w:color="auto"/>
        <w:right w:val="none" w:sz="0" w:space="0" w:color="auto"/>
      </w:divBdr>
    </w:div>
    <w:div w:id="1369986624">
      <w:bodyDiv w:val="1"/>
      <w:marLeft w:val="0"/>
      <w:marRight w:val="0"/>
      <w:marTop w:val="0"/>
      <w:marBottom w:val="0"/>
      <w:divBdr>
        <w:top w:val="none" w:sz="0" w:space="0" w:color="auto"/>
        <w:left w:val="none" w:sz="0" w:space="0" w:color="auto"/>
        <w:bottom w:val="none" w:sz="0" w:space="0" w:color="auto"/>
        <w:right w:val="none" w:sz="0" w:space="0" w:color="auto"/>
      </w:divBdr>
      <w:divsChild>
        <w:div w:id="1626887507">
          <w:marLeft w:val="0"/>
          <w:marRight w:val="0"/>
          <w:marTop w:val="0"/>
          <w:marBottom w:val="0"/>
          <w:divBdr>
            <w:top w:val="single" w:sz="6" w:space="0" w:color="5B616B"/>
            <w:left w:val="single" w:sz="6" w:space="0" w:color="5B616B"/>
            <w:bottom w:val="single" w:sz="6" w:space="0" w:color="5B616B"/>
            <w:right w:val="single" w:sz="6" w:space="0" w:color="5B616B"/>
          </w:divBdr>
        </w:div>
        <w:div w:id="1747461865">
          <w:marLeft w:val="0"/>
          <w:marRight w:val="0"/>
          <w:marTop w:val="0"/>
          <w:marBottom w:val="0"/>
          <w:divBdr>
            <w:top w:val="none" w:sz="0" w:space="0" w:color="auto"/>
            <w:left w:val="none" w:sz="0" w:space="0" w:color="auto"/>
            <w:bottom w:val="none" w:sz="0" w:space="0" w:color="auto"/>
            <w:right w:val="none" w:sz="0" w:space="0" w:color="auto"/>
          </w:divBdr>
          <w:divsChild>
            <w:div w:id="19052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939">
      <w:bodyDiv w:val="1"/>
      <w:marLeft w:val="0"/>
      <w:marRight w:val="0"/>
      <w:marTop w:val="0"/>
      <w:marBottom w:val="0"/>
      <w:divBdr>
        <w:top w:val="none" w:sz="0" w:space="0" w:color="auto"/>
        <w:left w:val="none" w:sz="0" w:space="0" w:color="auto"/>
        <w:bottom w:val="none" w:sz="0" w:space="0" w:color="auto"/>
        <w:right w:val="none" w:sz="0" w:space="0" w:color="auto"/>
      </w:divBdr>
    </w:div>
    <w:div w:id="1378973457">
      <w:bodyDiv w:val="1"/>
      <w:marLeft w:val="0"/>
      <w:marRight w:val="0"/>
      <w:marTop w:val="0"/>
      <w:marBottom w:val="0"/>
      <w:divBdr>
        <w:top w:val="none" w:sz="0" w:space="0" w:color="auto"/>
        <w:left w:val="none" w:sz="0" w:space="0" w:color="auto"/>
        <w:bottom w:val="none" w:sz="0" w:space="0" w:color="auto"/>
        <w:right w:val="none" w:sz="0" w:space="0" w:color="auto"/>
      </w:divBdr>
    </w:div>
    <w:div w:id="1380855340">
      <w:bodyDiv w:val="1"/>
      <w:marLeft w:val="0"/>
      <w:marRight w:val="0"/>
      <w:marTop w:val="0"/>
      <w:marBottom w:val="0"/>
      <w:divBdr>
        <w:top w:val="none" w:sz="0" w:space="0" w:color="auto"/>
        <w:left w:val="none" w:sz="0" w:space="0" w:color="auto"/>
        <w:bottom w:val="none" w:sz="0" w:space="0" w:color="auto"/>
        <w:right w:val="none" w:sz="0" w:space="0" w:color="auto"/>
      </w:divBdr>
    </w:div>
    <w:div w:id="1383284885">
      <w:bodyDiv w:val="1"/>
      <w:marLeft w:val="0"/>
      <w:marRight w:val="0"/>
      <w:marTop w:val="0"/>
      <w:marBottom w:val="0"/>
      <w:divBdr>
        <w:top w:val="none" w:sz="0" w:space="0" w:color="auto"/>
        <w:left w:val="none" w:sz="0" w:space="0" w:color="auto"/>
        <w:bottom w:val="none" w:sz="0" w:space="0" w:color="auto"/>
        <w:right w:val="none" w:sz="0" w:space="0" w:color="auto"/>
      </w:divBdr>
    </w:div>
    <w:div w:id="1385373738">
      <w:bodyDiv w:val="1"/>
      <w:marLeft w:val="0"/>
      <w:marRight w:val="0"/>
      <w:marTop w:val="0"/>
      <w:marBottom w:val="0"/>
      <w:divBdr>
        <w:top w:val="none" w:sz="0" w:space="0" w:color="auto"/>
        <w:left w:val="none" w:sz="0" w:space="0" w:color="auto"/>
        <w:bottom w:val="none" w:sz="0" w:space="0" w:color="auto"/>
        <w:right w:val="none" w:sz="0" w:space="0" w:color="auto"/>
      </w:divBdr>
    </w:div>
    <w:div w:id="1387602951">
      <w:bodyDiv w:val="1"/>
      <w:marLeft w:val="0"/>
      <w:marRight w:val="0"/>
      <w:marTop w:val="0"/>
      <w:marBottom w:val="0"/>
      <w:divBdr>
        <w:top w:val="none" w:sz="0" w:space="0" w:color="auto"/>
        <w:left w:val="none" w:sz="0" w:space="0" w:color="auto"/>
        <w:bottom w:val="none" w:sz="0" w:space="0" w:color="auto"/>
        <w:right w:val="none" w:sz="0" w:space="0" w:color="auto"/>
      </w:divBdr>
    </w:div>
    <w:div w:id="1390378313">
      <w:bodyDiv w:val="1"/>
      <w:marLeft w:val="0"/>
      <w:marRight w:val="0"/>
      <w:marTop w:val="0"/>
      <w:marBottom w:val="0"/>
      <w:divBdr>
        <w:top w:val="none" w:sz="0" w:space="0" w:color="auto"/>
        <w:left w:val="none" w:sz="0" w:space="0" w:color="auto"/>
        <w:bottom w:val="none" w:sz="0" w:space="0" w:color="auto"/>
        <w:right w:val="none" w:sz="0" w:space="0" w:color="auto"/>
      </w:divBdr>
    </w:div>
    <w:div w:id="1393043878">
      <w:bodyDiv w:val="1"/>
      <w:marLeft w:val="0"/>
      <w:marRight w:val="0"/>
      <w:marTop w:val="0"/>
      <w:marBottom w:val="0"/>
      <w:divBdr>
        <w:top w:val="none" w:sz="0" w:space="0" w:color="auto"/>
        <w:left w:val="none" w:sz="0" w:space="0" w:color="auto"/>
        <w:bottom w:val="none" w:sz="0" w:space="0" w:color="auto"/>
        <w:right w:val="none" w:sz="0" w:space="0" w:color="auto"/>
      </w:divBdr>
    </w:div>
    <w:div w:id="1393771554">
      <w:bodyDiv w:val="1"/>
      <w:marLeft w:val="0"/>
      <w:marRight w:val="0"/>
      <w:marTop w:val="0"/>
      <w:marBottom w:val="0"/>
      <w:divBdr>
        <w:top w:val="none" w:sz="0" w:space="0" w:color="auto"/>
        <w:left w:val="none" w:sz="0" w:space="0" w:color="auto"/>
        <w:bottom w:val="none" w:sz="0" w:space="0" w:color="auto"/>
        <w:right w:val="none" w:sz="0" w:space="0" w:color="auto"/>
      </w:divBdr>
    </w:div>
    <w:div w:id="1399279424">
      <w:bodyDiv w:val="1"/>
      <w:marLeft w:val="0"/>
      <w:marRight w:val="0"/>
      <w:marTop w:val="0"/>
      <w:marBottom w:val="0"/>
      <w:divBdr>
        <w:top w:val="none" w:sz="0" w:space="0" w:color="auto"/>
        <w:left w:val="none" w:sz="0" w:space="0" w:color="auto"/>
        <w:bottom w:val="none" w:sz="0" w:space="0" w:color="auto"/>
        <w:right w:val="none" w:sz="0" w:space="0" w:color="auto"/>
      </w:divBdr>
    </w:div>
    <w:div w:id="1399283049">
      <w:bodyDiv w:val="1"/>
      <w:marLeft w:val="0"/>
      <w:marRight w:val="0"/>
      <w:marTop w:val="0"/>
      <w:marBottom w:val="0"/>
      <w:divBdr>
        <w:top w:val="none" w:sz="0" w:space="0" w:color="auto"/>
        <w:left w:val="none" w:sz="0" w:space="0" w:color="auto"/>
        <w:bottom w:val="none" w:sz="0" w:space="0" w:color="auto"/>
        <w:right w:val="none" w:sz="0" w:space="0" w:color="auto"/>
      </w:divBdr>
    </w:div>
    <w:div w:id="1400441349">
      <w:bodyDiv w:val="1"/>
      <w:marLeft w:val="0"/>
      <w:marRight w:val="0"/>
      <w:marTop w:val="0"/>
      <w:marBottom w:val="0"/>
      <w:divBdr>
        <w:top w:val="none" w:sz="0" w:space="0" w:color="auto"/>
        <w:left w:val="none" w:sz="0" w:space="0" w:color="auto"/>
        <w:bottom w:val="none" w:sz="0" w:space="0" w:color="auto"/>
        <w:right w:val="none" w:sz="0" w:space="0" w:color="auto"/>
      </w:divBdr>
    </w:div>
    <w:div w:id="1404521611">
      <w:bodyDiv w:val="1"/>
      <w:marLeft w:val="0"/>
      <w:marRight w:val="0"/>
      <w:marTop w:val="0"/>
      <w:marBottom w:val="0"/>
      <w:divBdr>
        <w:top w:val="none" w:sz="0" w:space="0" w:color="auto"/>
        <w:left w:val="none" w:sz="0" w:space="0" w:color="auto"/>
        <w:bottom w:val="none" w:sz="0" w:space="0" w:color="auto"/>
        <w:right w:val="none" w:sz="0" w:space="0" w:color="auto"/>
      </w:divBdr>
    </w:div>
    <w:div w:id="1406029752">
      <w:bodyDiv w:val="1"/>
      <w:marLeft w:val="0"/>
      <w:marRight w:val="0"/>
      <w:marTop w:val="0"/>
      <w:marBottom w:val="0"/>
      <w:divBdr>
        <w:top w:val="none" w:sz="0" w:space="0" w:color="auto"/>
        <w:left w:val="none" w:sz="0" w:space="0" w:color="auto"/>
        <w:bottom w:val="none" w:sz="0" w:space="0" w:color="auto"/>
        <w:right w:val="none" w:sz="0" w:space="0" w:color="auto"/>
      </w:divBdr>
    </w:div>
    <w:div w:id="1410273320">
      <w:bodyDiv w:val="1"/>
      <w:marLeft w:val="0"/>
      <w:marRight w:val="0"/>
      <w:marTop w:val="0"/>
      <w:marBottom w:val="0"/>
      <w:divBdr>
        <w:top w:val="none" w:sz="0" w:space="0" w:color="auto"/>
        <w:left w:val="none" w:sz="0" w:space="0" w:color="auto"/>
        <w:bottom w:val="none" w:sz="0" w:space="0" w:color="auto"/>
        <w:right w:val="none" w:sz="0" w:space="0" w:color="auto"/>
      </w:divBdr>
    </w:div>
    <w:div w:id="1412118568">
      <w:bodyDiv w:val="1"/>
      <w:marLeft w:val="0"/>
      <w:marRight w:val="0"/>
      <w:marTop w:val="0"/>
      <w:marBottom w:val="0"/>
      <w:divBdr>
        <w:top w:val="none" w:sz="0" w:space="0" w:color="auto"/>
        <w:left w:val="none" w:sz="0" w:space="0" w:color="auto"/>
        <w:bottom w:val="none" w:sz="0" w:space="0" w:color="auto"/>
        <w:right w:val="none" w:sz="0" w:space="0" w:color="auto"/>
      </w:divBdr>
    </w:div>
    <w:div w:id="1412502969">
      <w:bodyDiv w:val="1"/>
      <w:marLeft w:val="0"/>
      <w:marRight w:val="0"/>
      <w:marTop w:val="0"/>
      <w:marBottom w:val="0"/>
      <w:divBdr>
        <w:top w:val="none" w:sz="0" w:space="0" w:color="auto"/>
        <w:left w:val="none" w:sz="0" w:space="0" w:color="auto"/>
        <w:bottom w:val="none" w:sz="0" w:space="0" w:color="auto"/>
        <w:right w:val="none" w:sz="0" w:space="0" w:color="auto"/>
      </w:divBdr>
    </w:div>
    <w:div w:id="1412660389">
      <w:bodyDiv w:val="1"/>
      <w:marLeft w:val="0"/>
      <w:marRight w:val="0"/>
      <w:marTop w:val="0"/>
      <w:marBottom w:val="0"/>
      <w:divBdr>
        <w:top w:val="none" w:sz="0" w:space="0" w:color="auto"/>
        <w:left w:val="none" w:sz="0" w:space="0" w:color="auto"/>
        <w:bottom w:val="none" w:sz="0" w:space="0" w:color="auto"/>
        <w:right w:val="none" w:sz="0" w:space="0" w:color="auto"/>
      </w:divBdr>
    </w:div>
    <w:div w:id="1422873055">
      <w:bodyDiv w:val="1"/>
      <w:marLeft w:val="0"/>
      <w:marRight w:val="0"/>
      <w:marTop w:val="0"/>
      <w:marBottom w:val="0"/>
      <w:divBdr>
        <w:top w:val="none" w:sz="0" w:space="0" w:color="auto"/>
        <w:left w:val="none" w:sz="0" w:space="0" w:color="auto"/>
        <w:bottom w:val="none" w:sz="0" w:space="0" w:color="auto"/>
        <w:right w:val="none" w:sz="0" w:space="0" w:color="auto"/>
      </w:divBdr>
    </w:div>
    <w:div w:id="1429231904">
      <w:bodyDiv w:val="1"/>
      <w:marLeft w:val="0"/>
      <w:marRight w:val="0"/>
      <w:marTop w:val="0"/>
      <w:marBottom w:val="0"/>
      <w:divBdr>
        <w:top w:val="none" w:sz="0" w:space="0" w:color="auto"/>
        <w:left w:val="none" w:sz="0" w:space="0" w:color="auto"/>
        <w:bottom w:val="none" w:sz="0" w:space="0" w:color="auto"/>
        <w:right w:val="none" w:sz="0" w:space="0" w:color="auto"/>
      </w:divBdr>
    </w:div>
    <w:div w:id="1432166853">
      <w:bodyDiv w:val="1"/>
      <w:marLeft w:val="0"/>
      <w:marRight w:val="0"/>
      <w:marTop w:val="0"/>
      <w:marBottom w:val="0"/>
      <w:divBdr>
        <w:top w:val="none" w:sz="0" w:space="0" w:color="auto"/>
        <w:left w:val="none" w:sz="0" w:space="0" w:color="auto"/>
        <w:bottom w:val="none" w:sz="0" w:space="0" w:color="auto"/>
        <w:right w:val="none" w:sz="0" w:space="0" w:color="auto"/>
      </w:divBdr>
    </w:div>
    <w:div w:id="1436176133">
      <w:bodyDiv w:val="1"/>
      <w:marLeft w:val="0"/>
      <w:marRight w:val="0"/>
      <w:marTop w:val="0"/>
      <w:marBottom w:val="0"/>
      <w:divBdr>
        <w:top w:val="none" w:sz="0" w:space="0" w:color="auto"/>
        <w:left w:val="none" w:sz="0" w:space="0" w:color="auto"/>
        <w:bottom w:val="none" w:sz="0" w:space="0" w:color="auto"/>
        <w:right w:val="none" w:sz="0" w:space="0" w:color="auto"/>
      </w:divBdr>
    </w:div>
    <w:div w:id="1436706405">
      <w:bodyDiv w:val="1"/>
      <w:marLeft w:val="0"/>
      <w:marRight w:val="0"/>
      <w:marTop w:val="0"/>
      <w:marBottom w:val="0"/>
      <w:divBdr>
        <w:top w:val="none" w:sz="0" w:space="0" w:color="auto"/>
        <w:left w:val="none" w:sz="0" w:space="0" w:color="auto"/>
        <w:bottom w:val="none" w:sz="0" w:space="0" w:color="auto"/>
        <w:right w:val="none" w:sz="0" w:space="0" w:color="auto"/>
      </w:divBdr>
    </w:div>
    <w:div w:id="1437477828">
      <w:bodyDiv w:val="1"/>
      <w:marLeft w:val="0"/>
      <w:marRight w:val="0"/>
      <w:marTop w:val="0"/>
      <w:marBottom w:val="0"/>
      <w:divBdr>
        <w:top w:val="none" w:sz="0" w:space="0" w:color="auto"/>
        <w:left w:val="none" w:sz="0" w:space="0" w:color="auto"/>
        <w:bottom w:val="none" w:sz="0" w:space="0" w:color="auto"/>
        <w:right w:val="none" w:sz="0" w:space="0" w:color="auto"/>
      </w:divBdr>
    </w:div>
    <w:div w:id="1438719795">
      <w:bodyDiv w:val="1"/>
      <w:marLeft w:val="0"/>
      <w:marRight w:val="0"/>
      <w:marTop w:val="0"/>
      <w:marBottom w:val="0"/>
      <w:divBdr>
        <w:top w:val="none" w:sz="0" w:space="0" w:color="auto"/>
        <w:left w:val="none" w:sz="0" w:space="0" w:color="auto"/>
        <w:bottom w:val="none" w:sz="0" w:space="0" w:color="auto"/>
        <w:right w:val="none" w:sz="0" w:space="0" w:color="auto"/>
      </w:divBdr>
    </w:div>
    <w:div w:id="1438789368">
      <w:bodyDiv w:val="1"/>
      <w:marLeft w:val="0"/>
      <w:marRight w:val="0"/>
      <w:marTop w:val="0"/>
      <w:marBottom w:val="0"/>
      <w:divBdr>
        <w:top w:val="none" w:sz="0" w:space="0" w:color="auto"/>
        <w:left w:val="none" w:sz="0" w:space="0" w:color="auto"/>
        <w:bottom w:val="none" w:sz="0" w:space="0" w:color="auto"/>
        <w:right w:val="none" w:sz="0" w:space="0" w:color="auto"/>
      </w:divBdr>
    </w:div>
    <w:div w:id="1440487253">
      <w:bodyDiv w:val="1"/>
      <w:marLeft w:val="0"/>
      <w:marRight w:val="0"/>
      <w:marTop w:val="0"/>
      <w:marBottom w:val="0"/>
      <w:divBdr>
        <w:top w:val="none" w:sz="0" w:space="0" w:color="auto"/>
        <w:left w:val="none" w:sz="0" w:space="0" w:color="auto"/>
        <w:bottom w:val="none" w:sz="0" w:space="0" w:color="auto"/>
        <w:right w:val="none" w:sz="0" w:space="0" w:color="auto"/>
      </w:divBdr>
    </w:div>
    <w:div w:id="1444301767">
      <w:bodyDiv w:val="1"/>
      <w:marLeft w:val="0"/>
      <w:marRight w:val="0"/>
      <w:marTop w:val="0"/>
      <w:marBottom w:val="0"/>
      <w:divBdr>
        <w:top w:val="none" w:sz="0" w:space="0" w:color="auto"/>
        <w:left w:val="none" w:sz="0" w:space="0" w:color="auto"/>
        <w:bottom w:val="none" w:sz="0" w:space="0" w:color="auto"/>
        <w:right w:val="none" w:sz="0" w:space="0" w:color="auto"/>
      </w:divBdr>
    </w:div>
    <w:div w:id="1445618337">
      <w:bodyDiv w:val="1"/>
      <w:marLeft w:val="0"/>
      <w:marRight w:val="0"/>
      <w:marTop w:val="0"/>
      <w:marBottom w:val="0"/>
      <w:divBdr>
        <w:top w:val="none" w:sz="0" w:space="0" w:color="auto"/>
        <w:left w:val="none" w:sz="0" w:space="0" w:color="auto"/>
        <w:bottom w:val="none" w:sz="0" w:space="0" w:color="auto"/>
        <w:right w:val="none" w:sz="0" w:space="0" w:color="auto"/>
      </w:divBdr>
    </w:div>
    <w:div w:id="1446460304">
      <w:bodyDiv w:val="1"/>
      <w:marLeft w:val="0"/>
      <w:marRight w:val="0"/>
      <w:marTop w:val="0"/>
      <w:marBottom w:val="0"/>
      <w:divBdr>
        <w:top w:val="none" w:sz="0" w:space="0" w:color="auto"/>
        <w:left w:val="none" w:sz="0" w:space="0" w:color="auto"/>
        <w:bottom w:val="none" w:sz="0" w:space="0" w:color="auto"/>
        <w:right w:val="none" w:sz="0" w:space="0" w:color="auto"/>
      </w:divBdr>
    </w:div>
    <w:div w:id="1447846040">
      <w:bodyDiv w:val="1"/>
      <w:marLeft w:val="0"/>
      <w:marRight w:val="0"/>
      <w:marTop w:val="0"/>
      <w:marBottom w:val="0"/>
      <w:divBdr>
        <w:top w:val="none" w:sz="0" w:space="0" w:color="auto"/>
        <w:left w:val="none" w:sz="0" w:space="0" w:color="auto"/>
        <w:bottom w:val="none" w:sz="0" w:space="0" w:color="auto"/>
        <w:right w:val="none" w:sz="0" w:space="0" w:color="auto"/>
      </w:divBdr>
    </w:div>
    <w:div w:id="1450199897">
      <w:bodyDiv w:val="1"/>
      <w:marLeft w:val="0"/>
      <w:marRight w:val="0"/>
      <w:marTop w:val="0"/>
      <w:marBottom w:val="0"/>
      <w:divBdr>
        <w:top w:val="none" w:sz="0" w:space="0" w:color="auto"/>
        <w:left w:val="none" w:sz="0" w:space="0" w:color="auto"/>
        <w:bottom w:val="none" w:sz="0" w:space="0" w:color="auto"/>
        <w:right w:val="none" w:sz="0" w:space="0" w:color="auto"/>
      </w:divBdr>
    </w:div>
    <w:div w:id="1451316809">
      <w:bodyDiv w:val="1"/>
      <w:marLeft w:val="0"/>
      <w:marRight w:val="0"/>
      <w:marTop w:val="0"/>
      <w:marBottom w:val="0"/>
      <w:divBdr>
        <w:top w:val="none" w:sz="0" w:space="0" w:color="auto"/>
        <w:left w:val="none" w:sz="0" w:space="0" w:color="auto"/>
        <w:bottom w:val="none" w:sz="0" w:space="0" w:color="auto"/>
        <w:right w:val="none" w:sz="0" w:space="0" w:color="auto"/>
      </w:divBdr>
    </w:div>
    <w:div w:id="1454058140">
      <w:bodyDiv w:val="1"/>
      <w:marLeft w:val="0"/>
      <w:marRight w:val="0"/>
      <w:marTop w:val="0"/>
      <w:marBottom w:val="0"/>
      <w:divBdr>
        <w:top w:val="none" w:sz="0" w:space="0" w:color="auto"/>
        <w:left w:val="none" w:sz="0" w:space="0" w:color="auto"/>
        <w:bottom w:val="none" w:sz="0" w:space="0" w:color="auto"/>
        <w:right w:val="none" w:sz="0" w:space="0" w:color="auto"/>
      </w:divBdr>
    </w:div>
    <w:div w:id="1455517933">
      <w:bodyDiv w:val="1"/>
      <w:marLeft w:val="0"/>
      <w:marRight w:val="0"/>
      <w:marTop w:val="0"/>
      <w:marBottom w:val="0"/>
      <w:divBdr>
        <w:top w:val="none" w:sz="0" w:space="0" w:color="auto"/>
        <w:left w:val="none" w:sz="0" w:space="0" w:color="auto"/>
        <w:bottom w:val="none" w:sz="0" w:space="0" w:color="auto"/>
        <w:right w:val="none" w:sz="0" w:space="0" w:color="auto"/>
      </w:divBdr>
    </w:div>
    <w:div w:id="1457067509">
      <w:bodyDiv w:val="1"/>
      <w:marLeft w:val="0"/>
      <w:marRight w:val="0"/>
      <w:marTop w:val="0"/>
      <w:marBottom w:val="0"/>
      <w:divBdr>
        <w:top w:val="none" w:sz="0" w:space="0" w:color="auto"/>
        <w:left w:val="none" w:sz="0" w:space="0" w:color="auto"/>
        <w:bottom w:val="none" w:sz="0" w:space="0" w:color="auto"/>
        <w:right w:val="none" w:sz="0" w:space="0" w:color="auto"/>
      </w:divBdr>
    </w:div>
    <w:div w:id="1458834269">
      <w:bodyDiv w:val="1"/>
      <w:marLeft w:val="0"/>
      <w:marRight w:val="0"/>
      <w:marTop w:val="0"/>
      <w:marBottom w:val="0"/>
      <w:divBdr>
        <w:top w:val="none" w:sz="0" w:space="0" w:color="auto"/>
        <w:left w:val="none" w:sz="0" w:space="0" w:color="auto"/>
        <w:bottom w:val="none" w:sz="0" w:space="0" w:color="auto"/>
        <w:right w:val="none" w:sz="0" w:space="0" w:color="auto"/>
      </w:divBdr>
    </w:div>
    <w:div w:id="1462722328">
      <w:bodyDiv w:val="1"/>
      <w:marLeft w:val="0"/>
      <w:marRight w:val="0"/>
      <w:marTop w:val="0"/>
      <w:marBottom w:val="0"/>
      <w:divBdr>
        <w:top w:val="none" w:sz="0" w:space="0" w:color="auto"/>
        <w:left w:val="none" w:sz="0" w:space="0" w:color="auto"/>
        <w:bottom w:val="none" w:sz="0" w:space="0" w:color="auto"/>
        <w:right w:val="none" w:sz="0" w:space="0" w:color="auto"/>
      </w:divBdr>
    </w:div>
    <w:div w:id="1464496861">
      <w:bodyDiv w:val="1"/>
      <w:marLeft w:val="0"/>
      <w:marRight w:val="0"/>
      <w:marTop w:val="0"/>
      <w:marBottom w:val="0"/>
      <w:divBdr>
        <w:top w:val="none" w:sz="0" w:space="0" w:color="auto"/>
        <w:left w:val="none" w:sz="0" w:space="0" w:color="auto"/>
        <w:bottom w:val="none" w:sz="0" w:space="0" w:color="auto"/>
        <w:right w:val="none" w:sz="0" w:space="0" w:color="auto"/>
      </w:divBdr>
    </w:div>
    <w:div w:id="1465931782">
      <w:bodyDiv w:val="1"/>
      <w:marLeft w:val="0"/>
      <w:marRight w:val="0"/>
      <w:marTop w:val="0"/>
      <w:marBottom w:val="0"/>
      <w:divBdr>
        <w:top w:val="none" w:sz="0" w:space="0" w:color="auto"/>
        <w:left w:val="none" w:sz="0" w:space="0" w:color="auto"/>
        <w:bottom w:val="none" w:sz="0" w:space="0" w:color="auto"/>
        <w:right w:val="none" w:sz="0" w:space="0" w:color="auto"/>
      </w:divBdr>
    </w:div>
    <w:div w:id="1469782154">
      <w:bodyDiv w:val="1"/>
      <w:marLeft w:val="0"/>
      <w:marRight w:val="0"/>
      <w:marTop w:val="0"/>
      <w:marBottom w:val="0"/>
      <w:divBdr>
        <w:top w:val="none" w:sz="0" w:space="0" w:color="auto"/>
        <w:left w:val="none" w:sz="0" w:space="0" w:color="auto"/>
        <w:bottom w:val="none" w:sz="0" w:space="0" w:color="auto"/>
        <w:right w:val="none" w:sz="0" w:space="0" w:color="auto"/>
      </w:divBdr>
    </w:div>
    <w:div w:id="1470512761">
      <w:bodyDiv w:val="1"/>
      <w:marLeft w:val="0"/>
      <w:marRight w:val="0"/>
      <w:marTop w:val="0"/>
      <w:marBottom w:val="0"/>
      <w:divBdr>
        <w:top w:val="none" w:sz="0" w:space="0" w:color="auto"/>
        <w:left w:val="none" w:sz="0" w:space="0" w:color="auto"/>
        <w:bottom w:val="none" w:sz="0" w:space="0" w:color="auto"/>
        <w:right w:val="none" w:sz="0" w:space="0" w:color="auto"/>
      </w:divBdr>
    </w:div>
    <w:div w:id="1474252248">
      <w:bodyDiv w:val="1"/>
      <w:marLeft w:val="0"/>
      <w:marRight w:val="0"/>
      <w:marTop w:val="0"/>
      <w:marBottom w:val="0"/>
      <w:divBdr>
        <w:top w:val="none" w:sz="0" w:space="0" w:color="auto"/>
        <w:left w:val="none" w:sz="0" w:space="0" w:color="auto"/>
        <w:bottom w:val="none" w:sz="0" w:space="0" w:color="auto"/>
        <w:right w:val="none" w:sz="0" w:space="0" w:color="auto"/>
      </w:divBdr>
    </w:div>
    <w:div w:id="1479222881">
      <w:bodyDiv w:val="1"/>
      <w:marLeft w:val="0"/>
      <w:marRight w:val="0"/>
      <w:marTop w:val="0"/>
      <w:marBottom w:val="0"/>
      <w:divBdr>
        <w:top w:val="none" w:sz="0" w:space="0" w:color="auto"/>
        <w:left w:val="none" w:sz="0" w:space="0" w:color="auto"/>
        <w:bottom w:val="none" w:sz="0" w:space="0" w:color="auto"/>
        <w:right w:val="none" w:sz="0" w:space="0" w:color="auto"/>
      </w:divBdr>
    </w:div>
    <w:div w:id="1479878241">
      <w:bodyDiv w:val="1"/>
      <w:marLeft w:val="0"/>
      <w:marRight w:val="0"/>
      <w:marTop w:val="0"/>
      <w:marBottom w:val="0"/>
      <w:divBdr>
        <w:top w:val="none" w:sz="0" w:space="0" w:color="auto"/>
        <w:left w:val="none" w:sz="0" w:space="0" w:color="auto"/>
        <w:bottom w:val="none" w:sz="0" w:space="0" w:color="auto"/>
        <w:right w:val="none" w:sz="0" w:space="0" w:color="auto"/>
      </w:divBdr>
    </w:div>
    <w:div w:id="1482771996">
      <w:bodyDiv w:val="1"/>
      <w:marLeft w:val="0"/>
      <w:marRight w:val="0"/>
      <w:marTop w:val="0"/>
      <w:marBottom w:val="0"/>
      <w:divBdr>
        <w:top w:val="none" w:sz="0" w:space="0" w:color="auto"/>
        <w:left w:val="none" w:sz="0" w:space="0" w:color="auto"/>
        <w:bottom w:val="none" w:sz="0" w:space="0" w:color="auto"/>
        <w:right w:val="none" w:sz="0" w:space="0" w:color="auto"/>
      </w:divBdr>
    </w:div>
    <w:div w:id="1488281825">
      <w:bodyDiv w:val="1"/>
      <w:marLeft w:val="0"/>
      <w:marRight w:val="0"/>
      <w:marTop w:val="0"/>
      <w:marBottom w:val="0"/>
      <w:divBdr>
        <w:top w:val="none" w:sz="0" w:space="0" w:color="auto"/>
        <w:left w:val="none" w:sz="0" w:space="0" w:color="auto"/>
        <w:bottom w:val="none" w:sz="0" w:space="0" w:color="auto"/>
        <w:right w:val="none" w:sz="0" w:space="0" w:color="auto"/>
      </w:divBdr>
    </w:div>
    <w:div w:id="1488863067">
      <w:bodyDiv w:val="1"/>
      <w:marLeft w:val="0"/>
      <w:marRight w:val="0"/>
      <w:marTop w:val="0"/>
      <w:marBottom w:val="0"/>
      <w:divBdr>
        <w:top w:val="none" w:sz="0" w:space="0" w:color="auto"/>
        <w:left w:val="none" w:sz="0" w:space="0" w:color="auto"/>
        <w:bottom w:val="none" w:sz="0" w:space="0" w:color="auto"/>
        <w:right w:val="none" w:sz="0" w:space="0" w:color="auto"/>
      </w:divBdr>
    </w:div>
    <w:div w:id="1490290645">
      <w:bodyDiv w:val="1"/>
      <w:marLeft w:val="0"/>
      <w:marRight w:val="0"/>
      <w:marTop w:val="0"/>
      <w:marBottom w:val="0"/>
      <w:divBdr>
        <w:top w:val="none" w:sz="0" w:space="0" w:color="auto"/>
        <w:left w:val="none" w:sz="0" w:space="0" w:color="auto"/>
        <w:bottom w:val="none" w:sz="0" w:space="0" w:color="auto"/>
        <w:right w:val="none" w:sz="0" w:space="0" w:color="auto"/>
      </w:divBdr>
    </w:div>
    <w:div w:id="1495494490">
      <w:bodyDiv w:val="1"/>
      <w:marLeft w:val="0"/>
      <w:marRight w:val="0"/>
      <w:marTop w:val="0"/>
      <w:marBottom w:val="0"/>
      <w:divBdr>
        <w:top w:val="none" w:sz="0" w:space="0" w:color="auto"/>
        <w:left w:val="none" w:sz="0" w:space="0" w:color="auto"/>
        <w:bottom w:val="none" w:sz="0" w:space="0" w:color="auto"/>
        <w:right w:val="none" w:sz="0" w:space="0" w:color="auto"/>
      </w:divBdr>
    </w:div>
    <w:div w:id="1499496043">
      <w:bodyDiv w:val="1"/>
      <w:marLeft w:val="0"/>
      <w:marRight w:val="0"/>
      <w:marTop w:val="0"/>
      <w:marBottom w:val="0"/>
      <w:divBdr>
        <w:top w:val="none" w:sz="0" w:space="0" w:color="auto"/>
        <w:left w:val="none" w:sz="0" w:space="0" w:color="auto"/>
        <w:bottom w:val="none" w:sz="0" w:space="0" w:color="auto"/>
        <w:right w:val="none" w:sz="0" w:space="0" w:color="auto"/>
      </w:divBdr>
    </w:div>
    <w:div w:id="1500191308">
      <w:bodyDiv w:val="1"/>
      <w:marLeft w:val="0"/>
      <w:marRight w:val="0"/>
      <w:marTop w:val="0"/>
      <w:marBottom w:val="0"/>
      <w:divBdr>
        <w:top w:val="none" w:sz="0" w:space="0" w:color="auto"/>
        <w:left w:val="none" w:sz="0" w:space="0" w:color="auto"/>
        <w:bottom w:val="none" w:sz="0" w:space="0" w:color="auto"/>
        <w:right w:val="none" w:sz="0" w:space="0" w:color="auto"/>
      </w:divBdr>
    </w:div>
    <w:div w:id="1501694964">
      <w:bodyDiv w:val="1"/>
      <w:marLeft w:val="0"/>
      <w:marRight w:val="0"/>
      <w:marTop w:val="0"/>
      <w:marBottom w:val="0"/>
      <w:divBdr>
        <w:top w:val="none" w:sz="0" w:space="0" w:color="auto"/>
        <w:left w:val="none" w:sz="0" w:space="0" w:color="auto"/>
        <w:bottom w:val="none" w:sz="0" w:space="0" w:color="auto"/>
        <w:right w:val="none" w:sz="0" w:space="0" w:color="auto"/>
      </w:divBdr>
    </w:div>
    <w:div w:id="1509753729">
      <w:bodyDiv w:val="1"/>
      <w:marLeft w:val="0"/>
      <w:marRight w:val="0"/>
      <w:marTop w:val="0"/>
      <w:marBottom w:val="0"/>
      <w:divBdr>
        <w:top w:val="none" w:sz="0" w:space="0" w:color="auto"/>
        <w:left w:val="none" w:sz="0" w:space="0" w:color="auto"/>
        <w:bottom w:val="none" w:sz="0" w:space="0" w:color="auto"/>
        <w:right w:val="none" w:sz="0" w:space="0" w:color="auto"/>
      </w:divBdr>
    </w:div>
    <w:div w:id="1510874023">
      <w:bodyDiv w:val="1"/>
      <w:marLeft w:val="0"/>
      <w:marRight w:val="0"/>
      <w:marTop w:val="0"/>
      <w:marBottom w:val="0"/>
      <w:divBdr>
        <w:top w:val="none" w:sz="0" w:space="0" w:color="auto"/>
        <w:left w:val="none" w:sz="0" w:space="0" w:color="auto"/>
        <w:bottom w:val="none" w:sz="0" w:space="0" w:color="auto"/>
        <w:right w:val="none" w:sz="0" w:space="0" w:color="auto"/>
      </w:divBdr>
    </w:div>
    <w:div w:id="1512836555">
      <w:bodyDiv w:val="1"/>
      <w:marLeft w:val="0"/>
      <w:marRight w:val="0"/>
      <w:marTop w:val="0"/>
      <w:marBottom w:val="0"/>
      <w:divBdr>
        <w:top w:val="none" w:sz="0" w:space="0" w:color="auto"/>
        <w:left w:val="none" w:sz="0" w:space="0" w:color="auto"/>
        <w:bottom w:val="none" w:sz="0" w:space="0" w:color="auto"/>
        <w:right w:val="none" w:sz="0" w:space="0" w:color="auto"/>
      </w:divBdr>
    </w:div>
    <w:div w:id="1513958185">
      <w:bodyDiv w:val="1"/>
      <w:marLeft w:val="0"/>
      <w:marRight w:val="0"/>
      <w:marTop w:val="0"/>
      <w:marBottom w:val="0"/>
      <w:divBdr>
        <w:top w:val="none" w:sz="0" w:space="0" w:color="auto"/>
        <w:left w:val="none" w:sz="0" w:space="0" w:color="auto"/>
        <w:bottom w:val="none" w:sz="0" w:space="0" w:color="auto"/>
        <w:right w:val="none" w:sz="0" w:space="0" w:color="auto"/>
      </w:divBdr>
    </w:div>
    <w:div w:id="1516574671">
      <w:bodyDiv w:val="1"/>
      <w:marLeft w:val="0"/>
      <w:marRight w:val="0"/>
      <w:marTop w:val="0"/>
      <w:marBottom w:val="0"/>
      <w:divBdr>
        <w:top w:val="none" w:sz="0" w:space="0" w:color="auto"/>
        <w:left w:val="none" w:sz="0" w:space="0" w:color="auto"/>
        <w:bottom w:val="none" w:sz="0" w:space="0" w:color="auto"/>
        <w:right w:val="none" w:sz="0" w:space="0" w:color="auto"/>
      </w:divBdr>
    </w:div>
    <w:div w:id="1517648289">
      <w:bodyDiv w:val="1"/>
      <w:marLeft w:val="0"/>
      <w:marRight w:val="0"/>
      <w:marTop w:val="0"/>
      <w:marBottom w:val="0"/>
      <w:divBdr>
        <w:top w:val="none" w:sz="0" w:space="0" w:color="auto"/>
        <w:left w:val="none" w:sz="0" w:space="0" w:color="auto"/>
        <w:bottom w:val="none" w:sz="0" w:space="0" w:color="auto"/>
        <w:right w:val="none" w:sz="0" w:space="0" w:color="auto"/>
      </w:divBdr>
    </w:div>
    <w:div w:id="1520503473">
      <w:bodyDiv w:val="1"/>
      <w:marLeft w:val="0"/>
      <w:marRight w:val="0"/>
      <w:marTop w:val="0"/>
      <w:marBottom w:val="0"/>
      <w:divBdr>
        <w:top w:val="none" w:sz="0" w:space="0" w:color="auto"/>
        <w:left w:val="none" w:sz="0" w:space="0" w:color="auto"/>
        <w:bottom w:val="none" w:sz="0" w:space="0" w:color="auto"/>
        <w:right w:val="none" w:sz="0" w:space="0" w:color="auto"/>
      </w:divBdr>
    </w:div>
    <w:div w:id="1522627886">
      <w:bodyDiv w:val="1"/>
      <w:marLeft w:val="0"/>
      <w:marRight w:val="0"/>
      <w:marTop w:val="0"/>
      <w:marBottom w:val="0"/>
      <w:divBdr>
        <w:top w:val="none" w:sz="0" w:space="0" w:color="auto"/>
        <w:left w:val="none" w:sz="0" w:space="0" w:color="auto"/>
        <w:bottom w:val="none" w:sz="0" w:space="0" w:color="auto"/>
        <w:right w:val="none" w:sz="0" w:space="0" w:color="auto"/>
      </w:divBdr>
    </w:div>
    <w:div w:id="1523278663">
      <w:bodyDiv w:val="1"/>
      <w:marLeft w:val="0"/>
      <w:marRight w:val="0"/>
      <w:marTop w:val="0"/>
      <w:marBottom w:val="0"/>
      <w:divBdr>
        <w:top w:val="none" w:sz="0" w:space="0" w:color="auto"/>
        <w:left w:val="none" w:sz="0" w:space="0" w:color="auto"/>
        <w:bottom w:val="none" w:sz="0" w:space="0" w:color="auto"/>
        <w:right w:val="none" w:sz="0" w:space="0" w:color="auto"/>
      </w:divBdr>
    </w:div>
    <w:div w:id="1523279814">
      <w:bodyDiv w:val="1"/>
      <w:marLeft w:val="0"/>
      <w:marRight w:val="0"/>
      <w:marTop w:val="0"/>
      <w:marBottom w:val="0"/>
      <w:divBdr>
        <w:top w:val="none" w:sz="0" w:space="0" w:color="auto"/>
        <w:left w:val="none" w:sz="0" w:space="0" w:color="auto"/>
        <w:bottom w:val="none" w:sz="0" w:space="0" w:color="auto"/>
        <w:right w:val="none" w:sz="0" w:space="0" w:color="auto"/>
      </w:divBdr>
    </w:div>
    <w:div w:id="1523664122">
      <w:bodyDiv w:val="1"/>
      <w:marLeft w:val="0"/>
      <w:marRight w:val="0"/>
      <w:marTop w:val="0"/>
      <w:marBottom w:val="0"/>
      <w:divBdr>
        <w:top w:val="none" w:sz="0" w:space="0" w:color="auto"/>
        <w:left w:val="none" w:sz="0" w:space="0" w:color="auto"/>
        <w:bottom w:val="none" w:sz="0" w:space="0" w:color="auto"/>
        <w:right w:val="none" w:sz="0" w:space="0" w:color="auto"/>
      </w:divBdr>
    </w:div>
    <w:div w:id="1528329112">
      <w:bodyDiv w:val="1"/>
      <w:marLeft w:val="0"/>
      <w:marRight w:val="0"/>
      <w:marTop w:val="0"/>
      <w:marBottom w:val="0"/>
      <w:divBdr>
        <w:top w:val="none" w:sz="0" w:space="0" w:color="auto"/>
        <w:left w:val="none" w:sz="0" w:space="0" w:color="auto"/>
        <w:bottom w:val="none" w:sz="0" w:space="0" w:color="auto"/>
        <w:right w:val="none" w:sz="0" w:space="0" w:color="auto"/>
      </w:divBdr>
    </w:div>
    <w:div w:id="1531338379">
      <w:bodyDiv w:val="1"/>
      <w:marLeft w:val="0"/>
      <w:marRight w:val="0"/>
      <w:marTop w:val="0"/>
      <w:marBottom w:val="0"/>
      <w:divBdr>
        <w:top w:val="none" w:sz="0" w:space="0" w:color="auto"/>
        <w:left w:val="none" w:sz="0" w:space="0" w:color="auto"/>
        <w:bottom w:val="none" w:sz="0" w:space="0" w:color="auto"/>
        <w:right w:val="none" w:sz="0" w:space="0" w:color="auto"/>
      </w:divBdr>
    </w:div>
    <w:div w:id="1534802442">
      <w:bodyDiv w:val="1"/>
      <w:marLeft w:val="0"/>
      <w:marRight w:val="0"/>
      <w:marTop w:val="0"/>
      <w:marBottom w:val="0"/>
      <w:divBdr>
        <w:top w:val="none" w:sz="0" w:space="0" w:color="auto"/>
        <w:left w:val="none" w:sz="0" w:space="0" w:color="auto"/>
        <w:bottom w:val="none" w:sz="0" w:space="0" w:color="auto"/>
        <w:right w:val="none" w:sz="0" w:space="0" w:color="auto"/>
      </w:divBdr>
    </w:div>
    <w:div w:id="1537690916">
      <w:bodyDiv w:val="1"/>
      <w:marLeft w:val="0"/>
      <w:marRight w:val="0"/>
      <w:marTop w:val="0"/>
      <w:marBottom w:val="0"/>
      <w:divBdr>
        <w:top w:val="none" w:sz="0" w:space="0" w:color="auto"/>
        <w:left w:val="none" w:sz="0" w:space="0" w:color="auto"/>
        <w:bottom w:val="none" w:sz="0" w:space="0" w:color="auto"/>
        <w:right w:val="none" w:sz="0" w:space="0" w:color="auto"/>
      </w:divBdr>
    </w:div>
    <w:div w:id="1538275909">
      <w:bodyDiv w:val="1"/>
      <w:marLeft w:val="0"/>
      <w:marRight w:val="0"/>
      <w:marTop w:val="0"/>
      <w:marBottom w:val="0"/>
      <w:divBdr>
        <w:top w:val="none" w:sz="0" w:space="0" w:color="auto"/>
        <w:left w:val="none" w:sz="0" w:space="0" w:color="auto"/>
        <w:bottom w:val="none" w:sz="0" w:space="0" w:color="auto"/>
        <w:right w:val="none" w:sz="0" w:space="0" w:color="auto"/>
      </w:divBdr>
    </w:div>
    <w:div w:id="1547645617">
      <w:bodyDiv w:val="1"/>
      <w:marLeft w:val="0"/>
      <w:marRight w:val="0"/>
      <w:marTop w:val="0"/>
      <w:marBottom w:val="0"/>
      <w:divBdr>
        <w:top w:val="none" w:sz="0" w:space="0" w:color="auto"/>
        <w:left w:val="none" w:sz="0" w:space="0" w:color="auto"/>
        <w:bottom w:val="none" w:sz="0" w:space="0" w:color="auto"/>
        <w:right w:val="none" w:sz="0" w:space="0" w:color="auto"/>
      </w:divBdr>
    </w:div>
    <w:div w:id="1547719534">
      <w:bodyDiv w:val="1"/>
      <w:marLeft w:val="0"/>
      <w:marRight w:val="0"/>
      <w:marTop w:val="0"/>
      <w:marBottom w:val="0"/>
      <w:divBdr>
        <w:top w:val="none" w:sz="0" w:space="0" w:color="auto"/>
        <w:left w:val="none" w:sz="0" w:space="0" w:color="auto"/>
        <w:bottom w:val="none" w:sz="0" w:space="0" w:color="auto"/>
        <w:right w:val="none" w:sz="0" w:space="0" w:color="auto"/>
      </w:divBdr>
    </w:div>
    <w:div w:id="1549950270">
      <w:bodyDiv w:val="1"/>
      <w:marLeft w:val="0"/>
      <w:marRight w:val="0"/>
      <w:marTop w:val="0"/>
      <w:marBottom w:val="0"/>
      <w:divBdr>
        <w:top w:val="none" w:sz="0" w:space="0" w:color="auto"/>
        <w:left w:val="none" w:sz="0" w:space="0" w:color="auto"/>
        <w:bottom w:val="none" w:sz="0" w:space="0" w:color="auto"/>
        <w:right w:val="none" w:sz="0" w:space="0" w:color="auto"/>
      </w:divBdr>
    </w:div>
    <w:div w:id="1555580004">
      <w:bodyDiv w:val="1"/>
      <w:marLeft w:val="0"/>
      <w:marRight w:val="0"/>
      <w:marTop w:val="0"/>
      <w:marBottom w:val="0"/>
      <w:divBdr>
        <w:top w:val="none" w:sz="0" w:space="0" w:color="auto"/>
        <w:left w:val="none" w:sz="0" w:space="0" w:color="auto"/>
        <w:bottom w:val="none" w:sz="0" w:space="0" w:color="auto"/>
        <w:right w:val="none" w:sz="0" w:space="0" w:color="auto"/>
      </w:divBdr>
    </w:div>
    <w:div w:id="1559626810">
      <w:bodyDiv w:val="1"/>
      <w:marLeft w:val="0"/>
      <w:marRight w:val="0"/>
      <w:marTop w:val="0"/>
      <w:marBottom w:val="0"/>
      <w:divBdr>
        <w:top w:val="none" w:sz="0" w:space="0" w:color="auto"/>
        <w:left w:val="none" w:sz="0" w:space="0" w:color="auto"/>
        <w:bottom w:val="none" w:sz="0" w:space="0" w:color="auto"/>
        <w:right w:val="none" w:sz="0" w:space="0" w:color="auto"/>
      </w:divBdr>
    </w:div>
    <w:div w:id="1565218362">
      <w:bodyDiv w:val="1"/>
      <w:marLeft w:val="0"/>
      <w:marRight w:val="0"/>
      <w:marTop w:val="0"/>
      <w:marBottom w:val="0"/>
      <w:divBdr>
        <w:top w:val="none" w:sz="0" w:space="0" w:color="auto"/>
        <w:left w:val="none" w:sz="0" w:space="0" w:color="auto"/>
        <w:bottom w:val="none" w:sz="0" w:space="0" w:color="auto"/>
        <w:right w:val="none" w:sz="0" w:space="0" w:color="auto"/>
      </w:divBdr>
    </w:div>
    <w:div w:id="1566642503">
      <w:bodyDiv w:val="1"/>
      <w:marLeft w:val="0"/>
      <w:marRight w:val="0"/>
      <w:marTop w:val="0"/>
      <w:marBottom w:val="0"/>
      <w:divBdr>
        <w:top w:val="none" w:sz="0" w:space="0" w:color="auto"/>
        <w:left w:val="none" w:sz="0" w:space="0" w:color="auto"/>
        <w:bottom w:val="none" w:sz="0" w:space="0" w:color="auto"/>
        <w:right w:val="none" w:sz="0" w:space="0" w:color="auto"/>
      </w:divBdr>
    </w:div>
    <w:div w:id="1567641526">
      <w:bodyDiv w:val="1"/>
      <w:marLeft w:val="0"/>
      <w:marRight w:val="0"/>
      <w:marTop w:val="0"/>
      <w:marBottom w:val="0"/>
      <w:divBdr>
        <w:top w:val="none" w:sz="0" w:space="0" w:color="auto"/>
        <w:left w:val="none" w:sz="0" w:space="0" w:color="auto"/>
        <w:bottom w:val="none" w:sz="0" w:space="0" w:color="auto"/>
        <w:right w:val="none" w:sz="0" w:space="0" w:color="auto"/>
      </w:divBdr>
    </w:div>
    <w:div w:id="1569270875">
      <w:bodyDiv w:val="1"/>
      <w:marLeft w:val="0"/>
      <w:marRight w:val="0"/>
      <w:marTop w:val="0"/>
      <w:marBottom w:val="0"/>
      <w:divBdr>
        <w:top w:val="none" w:sz="0" w:space="0" w:color="auto"/>
        <w:left w:val="none" w:sz="0" w:space="0" w:color="auto"/>
        <w:bottom w:val="none" w:sz="0" w:space="0" w:color="auto"/>
        <w:right w:val="none" w:sz="0" w:space="0" w:color="auto"/>
      </w:divBdr>
    </w:div>
    <w:div w:id="1570534449">
      <w:bodyDiv w:val="1"/>
      <w:marLeft w:val="0"/>
      <w:marRight w:val="0"/>
      <w:marTop w:val="0"/>
      <w:marBottom w:val="0"/>
      <w:divBdr>
        <w:top w:val="none" w:sz="0" w:space="0" w:color="auto"/>
        <w:left w:val="none" w:sz="0" w:space="0" w:color="auto"/>
        <w:bottom w:val="none" w:sz="0" w:space="0" w:color="auto"/>
        <w:right w:val="none" w:sz="0" w:space="0" w:color="auto"/>
      </w:divBdr>
    </w:div>
    <w:div w:id="1572083084">
      <w:bodyDiv w:val="1"/>
      <w:marLeft w:val="0"/>
      <w:marRight w:val="0"/>
      <w:marTop w:val="0"/>
      <w:marBottom w:val="0"/>
      <w:divBdr>
        <w:top w:val="none" w:sz="0" w:space="0" w:color="auto"/>
        <w:left w:val="none" w:sz="0" w:space="0" w:color="auto"/>
        <w:bottom w:val="none" w:sz="0" w:space="0" w:color="auto"/>
        <w:right w:val="none" w:sz="0" w:space="0" w:color="auto"/>
      </w:divBdr>
    </w:div>
    <w:div w:id="1573393327">
      <w:bodyDiv w:val="1"/>
      <w:marLeft w:val="0"/>
      <w:marRight w:val="0"/>
      <w:marTop w:val="0"/>
      <w:marBottom w:val="0"/>
      <w:divBdr>
        <w:top w:val="none" w:sz="0" w:space="0" w:color="auto"/>
        <w:left w:val="none" w:sz="0" w:space="0" w:color="auto"/>
        <w:bottom w:val="none" w:sz="0" w:space="0" w:color="auto"/>
        <w:right w:val="none" w:sz="0" w:space="0" w:color="auto"/>
      </w:divBdr>
    </w:div>
    <w:div w:id="1575630467">
      <w:bodyDiv w:val="1"/>
      <w:marLeft w:val="0"/>
      <w:marRight w:val="0"/>
      <w:marTop w:val="0"/>
      <w:marBottom w:val="0"/>
      <w:divBdr>
        <w:top w:val="none" w:sz="0" w:space="0" w:color="auto"/>
        <w:left w:val="none" w:sz="0" w:space="0" w:color="auto"/>
        <w:bottom w:val="none" w:sz="0" w:space="0" w:color="auto"/>
        <w:right w:val="none" w:sz="0" w:space="0" w:color="auto"/>
      </w:divBdr>
    </w:div>
    <w:div w:id="1579561305">
      <w:bodyDiv w:val="1"/>
      <w:marLeft w:val="0"/>
      <w:marRight w:val="0"/>
      <w:marTop w:val="0"/>
      <w:marBottom w:val="0"/>
      <w:divBdr>
        <w:top w:val="none" w:sz="0" w:space="0" w:color="auto"/>
        <w:left w:val="none" w:sz="0" w:space="0" w:color="auto"/>
        <w:bottom w:val="none" w:sz="0" w:space="0" w:color="auto"/>
        <w:right w:val="none" w:sz="0" w:space="0" w:color="auto"/>
      </w:divBdr>
    </w:div>
    <w:div w:id="1585070434">
      <w:bodyDiv w:val="1"/>
      <w:marLeft w:val="0"/>
      <w:marRight w:val="0"/>
      <w:marTop w:val="0"/>
      <w:marBottom w:val="0"/>
      <w:divBdr>
        <w:top w:val="none" w:sz="0" w:space="0" w:color="auto"/>
        <w:left w:val="none" w:sz="0" w:space="0" w:color="auto"/>
        <w:bottom w:val="none" w:sz="0" w:space="0" w:color="auto"/>
        <w:right w:val="none" w:sz="0" w:space="0" w:color="auto"/>
      </w:divBdr>
    </w:div>
    <w:div w:id="1589731664">
      <w:bodyDiv w:val="1"/>
      <w:marLeft w:val="0"/>
      <w:marRight w:val="0"/>
      <w:marTop w:val="0"/>
      <w:marBottom w:val="0"/>
      <w:divBdr>
        <w:top w:val="none" w:sz="0" w:space="0" w:color="auto"/>
        <w:left w:val="none" w:sz="0" w:space="0" w:color="auto"/>
        <w:bottom w:val="none" w:sz="0" w:space="0" w:color="auto"/>
        <w:right w:val="none" w:sz="0" w:space="0" w:color="auto"/>
      </w:divBdr>
    </w:div>
    <w:div w:id="1598639147">
      <w:bodyDiv w:val="1"/>
      <w:marLeft w:val="0"/>
      <w:marRight w:val="0"/>
      <w:marTop w:val="0"/>
      <w:marBottom w:val="0"/>
      <w:divBdr>
        <w:top w:val="none" w:sz="0" w:space="0" w:color="auto"/>
        <w:left w:val="none" w:sz="0" w:space="0" w:color="auto"/>
        <w:bottom w:val="none" w:sz="0" w:space="0" w:color="auto"/>
        <w:right w:val="none" w:sz="0" w:space="0" w:color="auto"/>
      </w:divBdr>
    </w:div>
    <w:div w:id="1600603820">
      <w:bodyDiv w:val="1"/>
      <w:marLeft w:val="0"/>
      <w:marRight w:val="0"/>
      <w:marTop w:val="0"/>
      <w:marBottom w:val="0"/>
      <w:divBdr>
        <w:top w:val="none" w:sz="0" w:space="0" w:color="auto"/>
        <w:left w:val="none" w:sz="0" w:space="0" w:color="auto"/>
        <w:bottom w:val="none" w:sz="0" w:space="0" w:color="auto"/>
        <w:right w:val="none" w:sz="0" w:space="0" w:color="auto"/>
      </w:divBdr>
    </w:div>
    <w:div w:id="1602687598">
      <w:bodyDiv w:val="1"/>
      <w:marLeft w:val="0"/>
      <w:marRight w:val="0"/>
      <w:marTop w:val="0"/>
      <w:marBottom w:val="0"/>
      <w:divBdr>
        <w:top w:val="none" w:sz="0" w:space="0" w:color="auto"/>
        <w:left w:val="none" w:sz="0" w:space="0" w:color="auto"/>
        <w:bottom w:val="none" w:sz="0" w:space="0" w:color="auto"/>
        <w:right w:val="none" w:sz="0" w:space="0" w:color="auto"/>
      </w:divBdr>
    </w:div>
    <w:div w:id="1606959711">
      <w:bodyDiv w:val="1"/>
      <w:marLeft w:val="0"/>
      <w:marRight w:val="0"/>
      <w:marTop w:val="0"/>
      <w:marBottom w:val="0"/>
      <w:divBdr>
        <w:top w:val="none" w:sz="0" w:space="0" w:color="auto"/>
        <w:left w:val="none" w:sz="0" w:space="0" w:color="auto"/>
        <w:bottom w:val="none" w:sz="0" w:space="0" w:color="auto"/>
        <w:right w:val="none" w:sz="0" w:space="0" w:color="auto"/>
      </w:divBdr>
    </w:div>
    <w:div w:id="1607495939">
      <w:bodyDiv w:val="1"/>
      <w:marLeft w:val="0"/>
      <w:marRight w:val="0"/>
      <w:marTop w:val="0"/>
      <w:marBottom w:val="0"/>
      <w:divBdr>
        <w:top w:val="none" w:sz="0" w:space="0" w:color="auto"/>
        <w:left w:val="none" w:sz="0" w:space="0" w:color="auto"/>
        <w:bottom w:val="none" w:sz="0" w:space="0" w:color="auto"/>
        <w:right w:val="none" w:sz="0" w:space="0" w:color="auto"/>
      </w:divBdr>
    </w:div>
    <w:div w:id="1607498592">
      <w:bodyDiv w:val="1"/>
      <w:marLeft w:val="0"/>
      <w:marRight w:val="0"/>
      <w:marTop w:val="0"/>
      <w:marBottom w:val="0"/>
      <w:divBdr>
        <w:top w:val="none" w:sz="0" w:space="0" w:color="auto"/>
        <w:left w:val="none" w:sz="0" w:space="0" w:color="auto"/>
        <w:bottom w:val="none" w:sz="0" w:space="0" w:color="auto"/>
        <w:right w:val="none" w:sz="0" w:space="0" w:color="auto"/>
      </w:divBdr>
    </w:div>
    <w:div w:id="1608541996">
      <w:bodyDiv w:val="1"/>
      <w:marLeft w:val="0"/>
      <w:marRight w:val="0"/>
      <w:marTop w:val="0"/>
      <w:marBottom w:val="0"/>
      <w:divBdr>
        <w:top w:val="none" w:sz="0" w:space="0" w:color="auto"/>
        <w:left w:val="none" w:sz="0" w:space="0" w:color="auto"/>
        <w:bottom w:val="none" w:sz="0" w:space="0" w:color="auto"/>
        <w:right w:val="none" w:sz="0" w:space="0" w:color="auto"/>
      </w:divBdr>
    </w:div>
    <w:div w:id="1612667208">
      <w:bodyDiv w:val="1"/>
      <w:marLeft w:val="0"/>
      <w:marRight w:val="0"/>
      <w:marTop w:val="0"/>
      <w:marBottom w:val="0"/>
      <w:divBdr>
        <w:top w:val="none" w:sz="0" w:space="0" w:color="auto"/>
        <w:left w:val="none" w:sz="0" w:space="0" w:color="auto"/>
        <w:bottom w:val="none" w:sz="0" w:space="0" w:color="auto"/>
        <w:right w:val="none" w:sz="0" w:space="0" w:color="auto"/>
      </w:divBdr>
    </w:div>
    <w:div w:id="1613898401">
      <w:bodyDiv w:val="1"/>
      <w:marLeft w:val="0"/>
      <w:marRight w:val="0"/>
      <w:marTop w:val="0"/>
      <w:marBottom w:val="0"/>
      <w:divBdr>
        <w:top w:val="none" w:sz="0" w:space="0" w:color="auto"/>
        <w:left w:val="none" w:sz="0" w:space="0" w:color="auto"/>
        <w:bottom w:val="none" w:sz="0" w:space="0" w:color="auto"/>
        <w:right w:val="none" w:sz="0" w:space="0" w:color="auto"/>
      </w:divBdr>
    </w:div>
    <w:div w:id="1617326935">
      <w:bodyDiv w:val="1"/>
      <w:marLeft w:val="0"/>
      <w:marRight w:val="0"/>
      <w:marTop w:val="0"/>
      <w:marBottom w:val="0"/>
      <w:divBdr>
        <w:top w:val="none" w:sz="0" w:space="0" w:color="auto"/>
        <w:left w:val="none" w:sz="0" w:space="0" w:color="auto"/>
        <w:bottom w:val="none" w:sz="0" w:space="0" w:color="auto"/>
        <w:right w:val="none" w:sz="0" w:space="0" w:color="auto"/>
      </w:divBdr>
    </w:div>
    <w:div w:id="1623730774">
      <w:bodyDiv w:val="1"/>
      <w:marLeft w:val="0"/>
      <w:marRight w:val="0"/>
      <w:marTop w:val="0"/>
      <w:marBottom w:val="0"/>
      <w:divBdr>
        <w:top w:val="none" w:sz="0" w:space="0" w:color="auto"/>
        <w:left w:val="none" w:sz="0" w:space="0" w:color="auto"/>
        <w:bottom w:val="none" w:sz="0" w:space="0" w:color="auto"/>
        <w:right w:val="none" w:sz="0" w:space="0" w:color="auto"/>
      </w:divBdr>
    </w:div>
    <w:div w:id="1632832389">
      <w:bodyDiv w:val="1"/>
      <w:marLeft w:val="0"/>
      <w:marRight w:val="0"/>
      <w:marTop w:val="0"/>
      <w:marBottom w:val="0"/>
      <w:divBdr>
        <w:top w:val="none" w:sz="0" w:space="0" w:color="auto"/>
        <w:left w:val="none" w:sz="0" w:space="0" w:color="auto"/>
        <w:bottom w:val="none" w:sz="0" w:space="0" w:color="auto"/>
        <w:right w:val="none" w:sz="0" w:space="0" w:color="auto"/>
      </w:divBdr>
    </w:div>
    <w:div w:id="1635283490">
      <w:bodyDiv w:val="1"/>
      <w:marLeft w:val="0"/>
      <w:marRight w:val="0"/>
      <w:marTop w:val="0"/>
      <w:marBottom w:val="0"/>
      <w:divBdr>
        <w:top w:val="none" w:sz="0" w:space="0" w:color="auto"/>
        <w:left w:val="none" w:sz="0" w:space="0" w:color="auto"/>
        <w:bottom w:val="none" w:sz="0" w:space="0" w:color="auto"/>
        <w:right w:val="none" w:sz="0" w:space="0" w:color="auto"/>
      </w:divBdr>
    </w:div>
    <w:div w:id="1642660678">
      <w:bodyDiv w:val="1"/>
      <w:marLeft w:val="0"/>
      <w:marRight w:val="0"/>
      <w:marTop w:val="0"/>
      <w:marBottom w:val="0"/>
      <w:divBdr>
        <w:top w:val="none" w:sz="0" w:space="0" w:color="auto"/>
        <w:left w:val="none" w:sz="0" w:space="0" w:color="auto"/>
        <w:bottom w:val="none" w:sz="0" w:space="0" w:color="auto"/>
        <w:right w:val="none" w:sz="0" w:space="0" w:color="auto"/>
      </w:divBdr>
    </w:div>
    <w:div w:id="1646280536">
      <w:bodyDiv w:val="1"/>
      <w:marLeft w:val="0"/>
      <w:marRight w:val="0"/>
      <w:marTop w:val="0"/>
      <w:marBottom w:val="0"/>
      <w:divBdr>
        <w:top w:val="none" w:sz="0" w:space="0" w:color="auto"/>
        <w:left w:val="none" w:sz="0" w:space="0" w:color="auto"/>
        <w:bottom w:val="none" w:sz="0" w:space="0" w:color="auto"/>
        <w:right w:val="none" w:sz="0" w:space="0" w:color="auto"/>
      </w:divBdr>
    </w:div>
    <w:div w:id="1647126458">
      <w:bodyDiv w:val="1"/>
      <w:marLeft w:val="0"/>
      <w:marRight w:val="0"/>
      <w:marTop w:val="0"/>
      <w:marBottom w:val="0"/>
      <w:divBdr>
        <w:top w:val="none" w:sz="0" w:space="0" w:color="auto"/>
        <w:left w:val="none" w:sz="0" w:space="0" w:color="auto"/>
        <w:bottom w:val="none" w:sz="0" w:space="0" w:color="auto"/>
        <w:right w:val="none" w:sz="0" w:space="0" w:color="auto"/>
      </w:divBdr>
    </w:div>
    <w:div w:id="1647204931">
      <w:bodyDiv w:val="1"/>
      <w:marLeft w:val="0"/>
      <w:marRight w:val="0"/>
      <w:marTop w:val="0"/>
      <w:marBottom w:val="0"/>
      <w:divBdr>
        <w:top w:val="none" w:sz="0" w:space="0" w:color="auto"/>
        <w:left w:val="none" w:sz="0" w:space="0" w:color="auto"/>
        <w:bottom w:val="none" w:sz="0" w:space="0" w:color="auto"/>
        <w:right w:val="none" w:sz="0" w:space="0" w:color="auto"/>
      </w:divBdr>
    </w:div>
    <w:div w:id="1648852915">
      <w:bodyDiv w:val="1"/>
      <w:marLeft w:val="0"/>
      <w:marRight w:val="0"/>
      <w:marTop w:val="0"/>
      <w:marBottom w:val="0"/>
      <w:divBdr>
        <w:top w:val="none" w:sz="0" w:space="0" w:color="auto"/>
        <w:left w:val="none" w:sz="0" w:space="0" w:color="auto"/>
        <w:bottom w:val="none" w:sz="0" w:space="0" w:color="auto"/>
        <w:right w:val="none" w:sz="0" w:space="0" w:color="auto"/>
      </w:divBdr>
    </w:div>
    <w:div w:id="1663192511">
      <w:bodyDiv w:val="1"/>
      <w:marLeft w:val="0"/>
      <w:marRight w:val="0"/>
      <w:marTop w:val="0"/>
      <w:marBottom w:val="0"/>
      <w:divBdr>
        <w:top w:val="none" w:sz="0" w:space="0" w:color="auto"/>
        <w:left w:val="none" w:sz="0" w:space="0" w:color="auto"/>
        <w:bottom w:val="none" w:sz="0" w:space="0" w:color="auto"/>
        <w:right w:val="none" w:sz="0" w:space="0" w:color="auto"/>
      </w:divBdr>
    </w:div>
    <w:div w:id="1676570573">
      <w:bodyDiv w:val="1"/>
      <w:marLeft w:val="0"/>
      <w:marRight w:val="0"/>
      <w:marTop w:val="0"/>
      <w:marBottom w:val="0"/>
      <w:divBdr>
        <w:top w:val="none" w:sz="0" w:space="0" w:color="auto"/>
        <w:left w:val="none" w:sz="0" w:space="0" w:color="auto"/>
        <w:bottom w:val="none" w:sz="0" w:space="0" w:color="auto"/>
        <w:right w:val="none" w:sz="0" w:space="0" w:color="auto"/>
      </w:divBdr>
    </w:div>
    <w:div w:id="1677338903">
      <w:bodyDiv w:val="1"/>
      <w:marLeft w:val="0"/>
      <w:marRight w:val="0"/>
      <w:marTop w:val="0"/>
      <w:marBottom w:val="0"/>
      <w:divBdr>
        <w:top w:val="none" w:sz="0" w:space="0" w:color="auto"/>
        <w:left w:val="none" w:sz="0" w:space="0" w:color="auto"/>
        <w:bottom w:val="none" w:sz="0" w:space="0" w:color="auto"/>
        <w:right w:val="none" w:sz="0" w:space="0" w:color="auto"/>
      </w:divBdr>
    </w:div>
    <w:div w:id="1679379852">
      <w:bodyDiv w:val="1"/>
      <w:marLeft w:val="0"/>
      <w:marRight w:val="0"/>
      <w:marTop w:val="0"/>
      <w:marBottom w:val="0"/>
      <w:divBdr>
        <w:top w:val="none" w:sz="0" w:space="0" w:color="auto"/>
        <w:left w:val="none" w:sz="0" w:space="0" w:color="auto"/>
        <w:bottom w:val="none" w:sz="0" w:space="0" w:color="auto"/>
        <w:right w:val="none" w:sz="0" w:space="0" w:color="auto"/>
      </w:divBdr>
    </w:div>
    <w:div w:id="1700429602">
      <w:bodyDiv w:val="1"/>
      <w:marLeft w:val="0"/>
      <w:marRight w:val="0"/>
      <w:marTop w:val="0"/>
      <w:marBottom w:val="0"/>
      <w:divBdr>
        <w:top w:val="none" w:sz="0" w:space="0" w:color="auto"/>
        <w:left w:val="none" w:sz="0" w:space="0" w:color="auto"/>
        <w:bottom w:val="none" w:sz="0" w:space="0" w:color="auto"/>
        <w:right w:val="none" w:sz="0" w:space="0" w:color="auto"/>
      </w:divBdr>
    </w:div>
    <w:div w:id="1702626220">
      <w:bodyDiv w:val="1"/>
      <w:marLeft w:val="0"/>
      <w:marRight w:val="0"/>
      <w:marTop w:val="0"/>
      <w:marBottom w:val="0"/>
      <w:divBdr>
        <w:top w:val="none" w:sz="0" w:space="0" w:color="auto"/>
        <w:left w:val="none" w:sz="0" w:space="0" w:color="auto"/>
        <w:bottom w:val="none" w:sz="0" w:space="0" w:color="auto"/>
        <w:right w:val="none" w:sz="0" w:space="0" w:color="auto"/>
      </w:divBdr>
    </w:div>
    <w:div w:id="1708338808">
      <w:bodyDiv w:val="1"/>
      <w:marLeft w:val="0"/>
      <w:marRight w:val="0"/>
      <w:marTop w:val="0"/>
      <w:marBottom w:val="0"/>
      <w:divBdr>
        <w:top w:val="none" w:sz="0" w:space="0" w:color="auto"/>
        <w:left w:val="none" w:sz="0" w:space="0" w:color="auto"/>
        <w:bottom w:val="none" w:sz="0" w:space="0" w:color="auto"/>
        <w:right w:val="none" w:sz="0" w:space="0" w:color="auto"/>
      </w:divBdr>
    </w:div>
    <w:div w:id="1708798299">
      <w:bodyDiv w:val="1"/>
      <w:marLeft w:val="0"/>
      <w:marRight w:val="0"/>
      <w:marTop w:val="0"/>
      <w:marBottom w:val="0"/>
      <w:divBdr>
        <w:top w:val="none" w:sz="0" w:space="0" w:color="auto"/>
        <w:left w:val="none" w:sz="0" w:space="0" w:color="auto"/>
        <w:bottom w:val="none" w:sz="0" w:space="0" w:color="auto"/>
        <w:right w:val="none" w:sz="0" w:space="0" w:color="auto"/>
      </w:divBdr>
    </w:div>
    <w:div w:id="1720200441">
      <w:bodyDiv w:val="1"/>
      <w:marLeft w:val="0"/>
      <w:marRight w:val="0"/>
      <w:marTop w:val="0"/>
      <w:marBottom w:val="0"/>
      <w:divBdr>
        <w:top w:val="none" w:sz="0" w:space="0" w:color="auto"/>
        <w:left w:val="none" w:sz="0" w:space="0" w:color="auto"/>
        <w:bottom w:val="none" w:sz="0" w:space="0" w:color="auto"/>
        <w:right w:val="none" w:sz="0" w:space="0" w:color="auto"/>
      </w:divBdr>
    </w:div>
    <w:div w:id="1722822512">
      <w:bodyDiv w:val="1"/>
      <w:marLeft w:val="0"/>
      <w:marRight w:val="0"/>
      <w:marTop w:val="0"/>
      <w:marBottom w:val="0"/>
      <w:divBdr>
        <w:top w:val="none" w:sz="0" w:space="0" w:color="auto"/>
        <w:left w:val="none" w:sz="0" w:space="0" w:color="auto"/>
        <w:bottom w:val="none" w:sz="0" w:space="0" w:color="auto"/>
        <w:right w:val="none" w:sz="0" w:space="0" w:color="auto"/>
      </w:divBdr>
    </w:div>
    <w:div w:id="1730761293">
      <w:bodyDiv w:val="1"/>
      <w:marLeft w:val="0"/>
      <w:marRight w:val="0"/>
      <w:marTop w:val="0"/>
      <w:marBottom w:val="0"/>
      <w:divBdr>
        <w:top w:val="none" w:sz="0" w:space="0" w:color="auto"/>
        <w:left w:val="none" w:sz="0" w:space="0" w:color="auto"/>
        <w:bottom w:val="none" w:sz="0" w:space="0" w:color="auto"/>
        <w:right w:val="none" w:sz="0" w:space="0" w:color="auto"/>
      </w:divBdr>
    </w:div>
    <w:div w:id="1735742430">
      <w:bodyDiv w:val="1"/>
      <w:marLeft w:val="0"/>
      <w:marRight w:val="0"/>
      <w:marTop w:val="0"/>
      <w:marBottom w:val="0"/>
      <w:divBdr>
        <w:top w:val="none" w:sz="0" w:space="0" w:color="auto"/>
        <w:left w:val="none" w:sz="0" w:space="0" w:color="auto"/>
        <w:bottom w:val="none" w:sz="0" w:space="0" w:color="auto"/>
        <w:right w:val="none" w:sz="0" w:space="0" w:color="auto"/>
      </w:divBdr>
    </w:div>
    <w:div w:id="1738622375">
      <w:bodyDiv w:val="1"/>
      <w:marLeft w:val="0"/>
      <w:marRight w:val="0"/>
      <w:marTop w:val="0"/>
      <w:marBottom w:val="0"/>
      <w:divBdr>
        <w:top w:val="none" w:sz="0" w:space="0" w:color="auto"/>
        <w:left w:val="none" w:sz="0" w:space="0" w:color="auto"/>
        <w:bottom w:val="none" w:sz="0" w:space="0" w:color="auto"/>
        <w:right w:val="none" w:sz="0" w:space="0" w:color="auto"/>
      </w:divBdr>
    </w:div>
    <w:div w:id="1744721714">
      <w:bodyDiv w:val="1"/>
      <w:marLeft w:val="0"/>
      <w:marRight w:val="0"/>
      <w:marTop w:val="0"/>
      <w:marBottom w:val="0"/>
      <w:divBdr>
        <w:top w:val="none" w:sz="0" w:space="0" w:color="auto"/>
        <w:left w:val="none" w:sz="0" w:space="0" w:color="auto"/>
        <w:bottom w:val="none" w:sz="0" w:space="0" w:color="auto"/>
        <w:right w:val="none" w:sz="0" w:space="0" w:color="auto"/>
      </w:divBdr>
    </w:div>
    <w:div w:id="1753351385">
      <w:bodyDiv w:val="1"/>
      <w:marLeft w:val="0"/>
      <w:marRight w:val="0"/>
      <w:marTop w:val="0"/>
      <w:marBottom w:val="0"/>
      <w:divBdr>
        <w:top w:val="none" w:sz="0" w:space="0" w:color="auto"/>
        <w:left w:val="none" w:sz="0" w:space="0" w:color="auto"/>
        <w:bottom w:val="none" w:sz="0" w:space="0" w:color="auto"/>
        <w:right w:val="none" w:sz="0" w:space="0" w:color="auto"/>
      </w:divBdr>
    </w:div>
    <w:div w:id="1754666005">
      <w:bodyDiv w:val="1"/>
      <w:marLeft w:val="0"/>
      <w:marRight w:val="0"/>
      <w:marTop w:val="0"/>
      <w:marBottom w:val="0"/>
      <w:divBdr>
        <w:top w:val="none" w:sz="0" w:space="0" w:color="auto"/>
        <w:left w:val="none" w:sz="0" w:space="0" w:color="auto"/>
        <w:bottom w:val="none" w:sz="0" w:space="0" w:color="auto"/>
        <w:right w:val="none" w:sz="0" w:space="0" w:color="auto"/>
      </w:divBdr>
    </w:div>
    <w:div w:id="1755667628">
      <w:bodyDiv w:val="1"/>
      <w:marLeft w:val="0"/>
      <w:marRight w:val="0"/>
      <w:marTop w:val="0"/>
      <w:marBottom w:val="0"/>
      <w:divBdr>
        <w:top w:val="none" w:sz="0" w:space="0" w:color="auto"/>
        <w:left w:val="none" w:sz="0" w:space="0" w:color="auto"/>
        <w:bottom w:val="none" w:sz="0" w:space="0" w:color="auto"/>
        <w:right w:val="none" w:sz="0" w:space="0" w:color="auto"/>
      </w:divBdr>
    </w:div>
    <w:div w:id="1760635879">
      <w:bodyDiv w:val="1"/>
      <w:marLeft w:val="0"/>
      <w:marRight w:val="0"/>
      <w:marTop w:val="0"/>
      <w:marBottom w:val="0"/>
      <w:divBdr>
        <w:top w:val="none" w:sz="0" w:space="0" w:color="auto"/>
        <w:left w:val="none" w:sz="0" w:space="0" w:color="auto"/>
        <w:bottom w:val="none" w:sz="0" w:space="0" w:color="auto"/>
        <w:right w:val="none" w:sz="0" w:space="0" w:color="auto"/>
      </w:divBdr>
    </w:div>
    <w:div w:id="1761028191">
      <w:bodyDiv w:val="1"/>
      <w:marLeft w:val="0"/>
      <w:marRight w:val="0"/>
      <w:marTop w:val="0"/>
      <w:marBottom w:val="0"/>
      <w:divBdr>
        <w:top w:val="none" w:sz="0" w:space="0" w:color="auto"/>
        <w:left w:val="none" w:sz="0" w:space="0" w:color="auto"/>
        <w:bottom w:val="none" w:sz="0" w:space="0" w:color="auto"/>
        <w:right w:val="none" w:sz="0" w:space="0" w:color="auto"/>
      </w:divBdr>
    </w:div>
    <w:div w:id="1761099297">
      <w:bodyDiv w:val="1"/>
      <w:marLeft w:val="0"/>
      <w:marRight w:val="0"/>
      <w:marTop w:val="0"/>
      <w:marBottom w:val="0"/>
      <w:divBdr>
        <w:top w:val="none" w:sz="0" w:space="0" w:color="auto"/>
        <w:left w:val="none" w:sz="0" w:space="0" w:color="auto"/>
        <w:bottom w:val="none" w:sz="0" w:space="0" w:color="auto"/>
        <w:right w:val="none" w:sz="0" w:space="0" w:color="auto"/>
      </w:divBdr>
    </w:div>
    <w:div w:id="1761636900">
      <w:bodyDiv w:val="1"/>
      <w:marLeft w:val="0"/>
      <w:marRight w:val="0"/>
      <w:marTop w:val="0"/>
      <w:marBottom w:val="0"/>
      <w:divBdr>
        <w:top w:val="none" w:sz="0" w:space="0" w:color="auto"/>
        <w:left w:val="none" w:sz="0" w:space="0" w:color="auto"/>
        <w:bottom w:val="none" w:sz="0" w:space="0" w:color="auto"/>
        <w:right w:val="none" w:sz="0" w:space="0" w:color="auto"/>
      </w:divBdr>
    </w:div>
    <w:div w:id="1761758750">
      <w:bodyDiv w:val="1"/>
      <w:marLeft w:val="0"/>
      <w:marRight w:val="0"/>
      <w:marTop w:val="0"/>
      <w:marBottom w:val="0"/>
      <w:divBdr>
        <w:top w:val="none" w:sz="0" w:space="0" w:color="auto"/>
        <w:left w:val="none" w:sz="0" w:space="0" w:color="auto"/>
        <w:bottom w:val="none" w:sz="0" w:space="0" w:color="auto"/>
        <w:right w:val="none" w:sz="0" w:space="0" w:color="auto"/>
      </w:divBdr>
    </w:div>
    <w:div w:id="1765497015">
      <w:bodyDiv w:val="1"/>
      <w:marLeft w:val="0"/>
      <w:marRight w:val="0"/>
      <w:marTop w:val="0"/>
      <w:marBottom w:val="0"/>
      <w:divBdr>
        <w:top w:val="none" w:sz="0" w:space="0" w:color="auto"/>
        <w:left w:val="none" w:sz="0" w:space="0" w:color="auto"/>
        <w:bottom w:val="none" w:sz="0" w:space="0" w:color="auto"/>
        <w:right w:val="none" w:sz="0" w:space="0" w:color="auto"/>
      </w:divBdr>
    </w:div>
    <w:div w:id="1766655986">
      <w:bodyDiv w:val="1"/>
      <w:marLeft w:val="0"/>
      <w:marRight w:val="0"/>
      <w:marTop w:val="0"/>
      <w:marBottom w:val="0"/>
      <w:divBdr>
        <w:top w:val="none" w:sz="0" w:space="0" w:color="auto"/>
        <w:left w:val="none" w:sz="0" w:space="0" w:color="auto"/>
        <w:bottom w:val="none" w:sz="0" w:space="0" w:color="auto"/>
        <w:right w:val="none" w:sz="0" w:space="0" w:color="auto"/>
      </w:divBdr>
    </w:div>
    <w:div w:id="1771117799">
      <w:bodyDiv w:val="1"/>
      <w:marLeft w:val="0"/>
      <w:marRight w:val="0"/>
      <w:marTop w:val="0"/>
      <w:marBottom w:val="0"/>
      <w:divBdr>
        <w:top w:val="none" w:sz="0" w:space="0" w:color="auto"/>
        <w:left w:val="none" w:sz="0" w:space="0" w:color="auto"/>
        <w:bottom w:val="none" w:sz="0" w:space="0" w:color="auto"/>
        <w:right w:val="none" w:sz="0" w:space="0" w:color="auto"/>
      </w:divBdr>
    </w:div>
    <w:div w:id="1777676356">
      <w:bodyDiv w:val="1"/>
      <w:marLeft w:val="0"/>
      <w:marRight w:val="0"/>
      <w:marTop w:val="0"/>
      <w:marBottom w:val="0"/>
      <w:divBdr>
        <w:top w:val="none" w:sz="0" w:space="0" w:color="auto"/>
        <w:left w:val="none" w:sz="0" w:space="0" w:color="auto"/>
        <w:bottom w:val="none" w:sz="0" w:space="0" w:color="auto"/>
        <w:right w:val="none" w:sz="0" w:space="0" w:color="auto"/>
      </w:divBdr>
    </w:div>
    <w:div w:id="1777753059">
      <w:bodyDiv w:val="1"/>
      <w:marLeft w:val="0"/>
      <w:marRight w:val="0"/>
      <w:marTop w:val="0"/>
      <w:marBottom w:val="0"/>
      <w:divBdr>
        <w:top w:val="none" w:sz="0" w:space="0" w:color="auto"/>
        <w:left w:val="none" w:sz="0" w:space="0" w:color="auto"/>
        <w:bottom w:val="none" w:sz="0" w:space="0" w:color="auto"/>
        <w:right w:val="none" w:sz="0" w:space="0" w:color="auto"/>
      </w:divBdr>
    </w:div>
    <w:div w:id="1783501062">
      <w:bodyDiv w:val="1"/>
      <w:marLeft w:val="0"/>
      <w:marRight w:val="0"/>
      <w:marTop w:val="0"/>
      <w:marBottom w:val="0"/>
      <w:divBdr>
        <w:top w:val="none" w:sz="0" w:space="0" w:color="auto"/>
        <w:left w:val="none" w:sz="0" w:space="0" w:color="auto"/>
        <w:bottom w:val="none" w:sz="0" w:space="0" w:color="auto"/>
        <w:right w:val="none" w:sz="0" w:space="0" w:color="auto"/>
      </w:divBdr>
    </w:div>
    <w:div w:id="1788891101">
      <w:bodyDiv w:val="1"/>
      <w:marLeft w:val="0"/>
      <w:marRight w:val="0"/>
      <w:marTop w:val="0"/>
      <w:marBottom w:val="0"/>
      <w:divBdr>
        <w:top w:val="none" w:sz="0" w:space="0" w:color="auto"/>
        <w:left w:val="none" w:sz="0" w:space="0" w:color="auto"/>
        <w:bottom w:val="none" w:sz="0" w:space="0" w:color="auto"/>
        <w:right w:val="none" w:sz="0" w:space="0" w:color="auto"/>
      </w:divBdr>
    </w:div>
    <w:div w:id="1791894579">
      <w:bodyDiv w:val="1"/>
      <w:marLeft w:val="0"/>
      <w:marRight w:val="0"/>
      <w:marTop w:val="0"/>
      <w:marBottom w:val="0"/>
      <w:divBdr>
        <w:top w:val="none" w:sz="0" w:space="0" w:color="auto"/>
        <w:left w:val="none" w:sz="0" w:space="0" w:color="auto"/>
        <w:bottom w:val="none" w:sz="0" w:space="0" w:color="auto"/>
        <w:right w:val="none" w:sz="0" w:space="0" w:color="auto"/>
      </w:divBdr>
    </w:div>
    <w:div w:id="1798836653">
      <w:bodyDiv w:val="1"/>
      <w:marLeft w:val="0"/>
      <w:marRight w:val="0"/>
      <w:marTop w:val="0"/>
      <w:marBottom w:val="0"/>
      <w:divBdr>
        <w:top w:val="none" w:sz="0" w:space="0" w:color="auto"/>
        <w:left w:val="none" w:sz="0" w:space="0" w:color="auto"/>
        <w:bottom w:val="none" w:sz="0" w:space="0" w:color="auto"/>
        <w:right w:val="none" w:sz="0" w:space="0" w:color="auto"/>
      </w:divBdr>
    </w:div>
    <w:div w:id="1802453219">
      <w:bodyDiv w:val="1"/>
      <w:marLeft w:val="0"/>
      <w:marRight w:val="0"/>
      <w:marTop w:val="0"/>
      <w:marBottom w:val="0"/>
      <w:divBdr>
        <w:top w:val="none" w:sz="0" w:space="0" w:color="auto"/>
        <w:left w:val="none" w:sz="0" w:space="0" w:color="auto"/>
        <w:bottom w:val="none" w:sz="0" w:space="0" w:color="auto"/>
        <w:right w:val="none" w:sz="0" w:space="0" w:color="auto"/>
      </w:divBdr>
    </w:div>
    <w:div w:id="1803184471">
      <w:bodyDiv w:val="1"/>
      <w:marLeft w:val="0"/>
      <w:marRight w:val="0"/>
      <w:marTop w:val="0"/>
      <w:marBottom w:val="0"/>
      <w:divBdr>
        <w:top w:val="none" w:sz="0" w:space="0" w:color="auto"/>
        <w:left w:val="none" w:sz="0" w:space="0" w:color="auto"/>
        <w:bottom w:val="none" w:sz="0" w:space="0" w:color="auto"/>
        <w:right w:val="none" w:sz="0" w:space="0" w:color="auto"/>
      </w:divBdr>
    </w:div>
    <w:div w:id="1804883935">
      <w:bodyDiv w:val="1"/>
      <w:marLeft w:val="0"/>
      <w:marRight w:val="0"/>
      <w:marTop w:val="0"/>
      <w:marBottom w:val="0"/>
      <w:divBdr>
        <w:top w:val="none" w:sz="0" w:space="0" w:color="auto"/>
        <w:left w:val="none" w:sz="0" w:space="0" w:color="auto"/>
        <w:bottom w:val="none" w:sz="0" w:space="0" w:color="auto"/>
        <w:right w:val="none" w:sz="0" w:space="0" w:color="auto"/>
      </w:divBdr>
    </w:div>
    <w:div w:id="1814181279">
      <w:bodyDiv w:val="1"/>
      <w:marLeft w:val="0"/>
      <w:marRight w:val="0"/>
      <w:marTop w:val="0"/>
      <w:marBottom w:val="0"/>
      <w:divBdr>
        <w:top w:val="none" w:sz="0" w:space="0" w:color="auto"/>
        <w:left w:val="none" w:sz="0" w:space="0" w:color="auto"/>
        <w:bottom w:val="none" w:sz="0" w:space="0" w:color="auto"/>
        <w:right w:val="none" w:sz="0" w:space="0" w:color="auto"/>
      </w:divBdr>
    </w:div>
    <w:div w:id="1814828979">
      <w:bodyDiv w:val="1"/>
      <w:marLeft w:val="0"/>
      <w:marRight w:val="0"/>
      <w:marTop w:val="0"/>
      <w:marBottom w:val="0"/>
      <w:divBdr>
        <w:top w:val="none" w:sz="0" w:space="0" w:color="auto"/>
        <w:left w:val="none" w:sz="0" w:space="0" w:color="auto"/>
        <w:bottom w:val="none" w:sz="0" w:space="0" w:color="auto"/>
        <w:right w:val="none" w:sz="0" w:space="0" w:color="auto"/>
      </w:divBdr>
    </w:div>
    <w:div w:id="1820071245">
      <w:bodyDiv w:val="1"/>
      <w:marLeft w:val="0"/>
      <w:marRight w:val="0"/>
      <w:marTop w:val="0"/>
      <w:marBottom w:val="0"/>
      <w:divBdr>
        <w:top w:val="none" w:sz="0" w:space="0" w:color="auto"/>
        <w:left w:val="none" w:sz="0" w:space="0" w:color="auto"/>
        <w:bottom w:val="none" w:sz="0" w:space="0" w:color="auto"/>
        <w:right w:val="none" w:sz="0" w:space="0" w:color="auto"/>
      </w:divBdr>
    </w:div>
    <w:div w:id="1821846946">
      <w:bodyDiv w:val="1"/>
      <w:marLeft w:val="0"/>
      <w:marRight w:val="0"/>
      <w:marTop w:val="0"/>
      <w:marBottom w:val="0"/>
      <w:divBdr>
        <w:top w:val="none" w:sz="0" w:space="0" w:color="auto"/>
        <w:left w:val="none" w:sz="0" w:space="0" w:color="auto"/>
        <w:bottom w:val="none" w:sz="0" w:space="0" w:color="auto"/>
        <w:right w:val="none" w:sz="0" w:space="0" w:color="auto"/>
      </w:divBdr>
    </w:div>
    <w:div w:id="1822312089">
      <w:bodyDiv w:val="1"/>
      <w:marLeft w:val="0"/>
      <w:marRight w:val="0"/>
      <w:marTop w:val="0"/>
      <w:marBottom w:val="0"/>
      <w:divBdr>
        <w:top w:val="none" w:sz="0" w:space="0" w:color="auto"/>
        <w:left w:val="none" w:sz="0" w:space="0" w:color="auto"/>
        <w:bottom w:val="none" w:sz="0" w:space="0" w:color="auto"/>
        <w:right w:val="none" w:sz="0" w:space="0" w:color="auto"/>
      </w:divBdr>
    </w:div>
    <w:div w:id="1829898177">
      <w:bodyDiv w:val="1"/>
      <w:marLeft w:val="0"/>
      <w:marRight w:val="0"/>
      <w:marTop w:val="0"/>
      <w:marBottom w:val="0"/>
      <w:divBdr>
        <w:top w:val="none" w:sz="0" w:space="0" w:color="auto"/>
        <w:left w:val="none" w:sz="0" w:space="0" w:color="auto"/>
        <w:bottom w:val="none" w:sz="0" w:space="0" w:color="auto"/>
        <w:right w:val="none" w:sz="0" w:space="0" w:color="auto"/>
      </w:divBdr>
    </w:div>
    <w:div w:id="1830704635">
      <w:bodyDiv w:val="1"/>
      <w:marLeft w:val="0"/>
      <w:marRight w:val="0"/>
      <w:marTop w:val="0"/>
      <w:marBottom w:val="0"/>
      <w:divBdr>
        <w:top w:val="none" w:sz="0" w:space="0" w:color="auto"/>
        <w:left w:val="none" w:sz="0" w:space="0" w:color="auto"/>
        <w:bottom w:val="none" w:sz="0" w:space="0" w:color="auto"/>
        <w:right w:val="none" w:sz="0" w:space="0" w:color="auto"/>
      </w:divBdr>
    </w:div>
    <w:div w:id="1834028765">
      <w:bodyDiv w:val="1"/>
      <w:marLeft w:val="0"/>
      <w:marRight w:val="0"/>
      <w:marTop w:val="0"/>
      <w:marBottom w:val="0"/>
      <w:divBdr>
        <w:top w:val="none" w:sz="0" w:space="0" w:color="auto"/>
        <w:left w:val="none" w:sz="0" w:space="0" w:color="auto"/>
        <w:bottom w:val="none" w:sz="0" w:space="0" w:color="auto"/>
        <w:right w:val="none" w:sz="0" w:space="0" w:color="auto"/>
      </w:divBdr>
    </w:div>
    <w:div w:id="1837840071">
      <w:bodyDiv w:val="1"/>
      <w:marLeft w:val="0"/>
      <w:marRight w:val="0"/>
      <w:marTop w:val="0"/>
      <w:marBottom w:val="0"/>
      <w:divBdr>
        <w:top w:val="none" w:sz="0" w:space="0" w:color="auto"/>
        <w:left w:val="none" w:sz="0" w:space="0" w:color="auto"/>
        <w:bottom w:val="none" w:sz="0" w:space="0" w:color="auto"/>
        <w:right w:val="none" w:sz="0" w:space="0" w:color="auto"/>
      </w:divBdr>
    </w:div>
    <w:div w:id="1845433238">
      <w:bodyDiv w:val="1"/>
      <w:marLeft w:val="0"/>
      <w:marRight w:val="0"/>
      <w:marTop w:val="0"/>
      <w:marBottom w:val="0"/>
      <w:divBdr>
        <w:top w:val="none" w:sz="0" w:space="0" w:color="auto"/>
        <w:left w:val="none" w:sz="0" w:space="0" w:color="auto"/>
        <w:bottom w:val="none" w:sz="0" w:space="0" w:color="auto"/>
        <w:right w:val="none" w:sz="0" w:space="0" w:color="auto"/>
      </w:divBdr>
    </w:div>
    <w:div w:id="1845971175">
      <w:bodyDiv w:val="1"/>
      <w:marLeft w:val="0"/>
      <w:marRight w:val="0"/>
      <w:marTop w:val="0"/>
      <w:marBottom w:val="0"/>
      <w:divBdr>
        <w:top w:val="none" w:sz="0" w:space="0" w:color="auto"/>
        <w:left w:val="none" w:sz="0" w:space="0" w:color="auto"/>
        <w:bottom w:val="none" w:sz="0" w:space="0" w:color="auto"/>
        <w:right w:val="none" w:sz="0" w:space="0" w:color="auto"/>
      </w:divBdr>
    </w:div>
    <w:div w:id="1848788576">
      <w:bodyDiv w:val="1"/>
      <w:marLeft w:val="0"/>
      <w:marRight w:val="0"/>
      <w:marTop w:val="0"/>
      <w:marBottom w:val="0"/>
      <w:divBdr>
        <w:top w:val="none" w:sz="0" w:space="0" w:color="auto"/>
        <w:left w:val="none" w:sz="0" w:space="0" w:color="auto"/>
        <w:bottom w:val="none" w:sz="0" w:space="0" w:color="auto"/>
        <w:right w:val="none" w:sz="0" w:space="0" w:color="auto"/>
      </w:divBdr>
    </w:div>
    <w:div w:id="1852526909">
      <w:bodyDiv w:val="1"/>
      <w:marLeft w:val="0"/>
      <w:marRight w:val="0"/>
      <w:marTop w:val="0"/>
      <w:marBottom w:val="0"/>
      <w:divBdr>
        <w:top w:val="none" w:sz="0" w:space="0" w:color="auto"/>
        <w:left w:val="none" w:sz="0" w:space="0" w:color="auto"/>
        <w:bottom w:val="none" w:sz="0" w:space="0" w:color="auto"/>
        <w:right w:val="none" w:sz="0" w:space="0" w:color="auto"/>
      </w:divBdr>
    </w:div>
    <w:div w:id="1856798321">
      <w:bodyDiv w:val="1"/>
      <w:marLeft w:val="0"/>
      <w:marRight w:val="0"/>
      <w:marTop w:val="0"/>
      <w:marBottom w:val="0"/>
      <w:divBdr>
        <w:top w:val="none" w:sz="0" w:space="0" w:color="auto"/>
        <w:left w:val="none" w:sz="0" w:space="0" w:color="auto"/>
        <w:bottom w:val="none" w:sz="0" w:space="0" w:color="auto"/>
        <w:right w:val="none" w:sz="0" w:space="0" w:color="auto"/>
      </w:divBdr>
    </w:div>
    <w:div w:id="1859615977">
      <w:bodyDiv w:val="1"/>
      <w:marLeft w:val="0"/>
      <w:marRight w:val="0"/>
      <w:marTop w:val="0"/>
      <w:marBottom w:val="0"/>
      <w:divBdr>
        <w:top w:val="none" w:sz="0" w:space="0" w:color="auto"/>
        <w:left w:val="none" w:sz="0" w:space="0" w:color="auto"/>
        <w:bottom w:val="none" w:sz="0" w:space="0" w:color="auto"/>
        <w:right w:val="none" w:sz="0" w:space="0" w:color="auto"/>
      </w:divBdr>
    </w:div>
    <w:div w:id="1862818462">
      <w:bodyDiv w:val="1"/>
      <w:marLeft w:val="0"/>
      <w:marRight w:val="0"/>
      <w:marTop w:val="0"/>
      <w:marBottom w:val="0"/>
      <w:divBdr>
        <w:top w:val="none" w:sz="0" w:space="0" w:color="auto"/>
        <w:left w:val="none" w:sz="0" w:space="0" w:color="auto"/>
        <w:bottom w:val="none" w:sz="0" w:space="0" w:color="auto"/>
        <w:right w:val="none" w:sz="0" w:space="0" w:color="auto"/>
      </w:divBdr>
    </w:div>
    <w:div w:id="1869220290">
      <w:bodyDiv w:val="1"/>
      <w:marLeft w:val="0"/>
      <w:marRight w:val="0"/>
      <w:marTop w:val="0"/>
      <w:marBottom w:val="0"/>
      <w:divBdr>
        <w:top w:val="none" w:sz="0" w:space="0" w:color="auto"/>
        <w:left w:val="none" w:sz="0" w:space="0" w:color="auto"/>
        <w:bottom w:val="none" w:sz="0" w:space="0" w:color="auto"/>
        <w:right w:val="none" w:sz="0" w:space="0" w:color="auto"/>
      </w:divBdr>
    </w:div>
    <w:div w:id="1869946717">
      <w:bodyDiv w:val="1"/>
      <w:marLeft w:val="0"/>
      <w:marRight w:val="0"/>
      <w:marTop w:val="0"/>
      <w:marBottom w:val="0"/>
      <w:divBdr>
        <w:top w:val="none" w:sz="0" w:space="0" w:color="auto"/>
        <w:left w:val="none" w:sz="0" w:space="0" w:color="auto"/>
        <w:bottom w:val="none" w:sz="0" w:space="0" w:color="auto"/>
        <w:right w:val="none" w:sz="0" w:space="0" w:color="auto"/>
      </w:divBdr>
    </w:div>
    <w:div w:id="1870336719">
      <w:bodyDiv w:val="1"/>
      <w:marLeft w:val="0"/>
      <w:marRight w:val="0"/>
      <w:marTop w:val="0"/>
      <w:marBottom w:val="0"/>
      <w:divBdr>
        <w:top w:val="none" w:sz="0" w:space="0" w:color="auto"/>
        <w:left w:val="none" w:sz="0" w:space="0" w:color="auto"/>
        <w:bottom w:val="none" w:sz="0" w:space="0" w:color="auto"/>
        <w:right w:val="none" w:sz="0" w:space="0" w:color="auto"/>
      </w:divBdr>
      <w:divsChild>
        <w:div w:id="279531178">
          <w:marLeft w:val="0"/>
          <w:marRight w:val="0"/>
          <w:marTop w:val="0"/>
          <w:marBottom w:val="0"/>
          <w:divBdr>
            <w:top w:val="none" w:sz="0" w:space="0" w:color="auto"/>
            <w:left w:val="none" w:sz="0" w:space="0" w:color="auto"/>
            <w:bottom w:val="none" w:sz="0" w:space="0" w:color="auto"/>
            <w:right w:val="none" w:sz="0" w:space="0" w:color="auto"/>
          </w:divBdr>
        </w:div>
        <w:div w:id="1302886625">
          <w:marLeft w:val="0"/>
          <w:marRight w:val="0"/>
          <w:marTop w:val="0"/>
          <w:marBottom w:val="0"/>
          <w:divBdr>
            <w:top w:val="none" w:sz="0" w:space="0" w:color="auto"/>
            <w:left w:val="none" w:sz="0" w:space="0" w:color="auto"/>
            <w:bottom w:val="none" w:sz="0" w:space="0" w:color="auto"/>
            <w:right w:val="none" w:sz="0" w:space="0" w:color="auto"/>
          </w:divBdr>
        </w:div>
        <w:div w:id="1316254382">
          <w:marLeft w:val="0"/>
          <w:marRight w:val="0"/>
          <w:marTop w:val="0"/>
          <w:marBottom w:val="0"/>
          <w:divBdr>
            <w:top w:val="none" w:sz="0" w:space="0" w:color="auto"/>
            <w:left w:val="none" w:sz="0" w:space="0" w:color="auto"/>
            <w:bottom w:val="none" w:sz="0" w:space="0" w:color="auto"/>
            <w:right w:val="none" w:sz="0" w:space="0" w:color="auto"/>
          </w:divBdr>
        </w:div>
      </w:divsChild>
    </w:div>
    <w:div w:id="1873881276">
      <w:bodyDiv w:val="1"/>
      <w:marLeft w:val="0"/>
      <w:marRight w:val="0"/>
      <w:marTop w:val="0"/>
      <w:marBottom w:val="0"/>
      <w:divBdr>
        <w:top w:val="none" w:sz="0" w:space="0" w:color="auto"/>
        <w:left w:val="none" w:sz="0" w:space="0" w:color="auto"/>
        <w:bottom w:val="none" w:sz="0" w:space="0" w:color="auto"/>
        <w:right w:val="none" w:sz="0" w:space="0" w:color="auto"/>
      </w:divBdr>
    </w:div>
    <w:div w:id="1873884219">
      <w:bodyDiv w:val="1"/>
      <w:marLeft w:val="0"/>
      <w:marRight w:val="0"/>
      <w:marTop w:val="0"/>
      <w:marBottom w:val="0"/>
      <w:divBdr>
        <w:top w:val="none" w:sz="0" w:space="0" w:color="auto"/>
        <w:left w:val="none" w:sz="0" w:space="0" w:color="auto"/>
        <w:bottom w:val="none" w:sz="0" w:space="0" w:color="auto"/>
        <w:right w:val="none" w:sz="0" w:space="0" w:color="auto"/>
      </w:divBdr>
    </w:div>
    <w:div w:id="1883710386">
      <w:bodyDiv w:val="1"/>
      <w:marLeft w:val="0"/>
      <w:marRight w:val="0"/>
      <w:marTop w:val="0"/>
      <w:marBottom w:val="0"/>
      <w:divBdr>
        <w:top w:val="none" w:sz="0" w:space="0" w:color="auto"/>
        <w:left w:val="none" w:sz="0" w:space="0" w:color="auto"/>
        <w:bottom w:val="none" w:sz="0" w:space="0" w:color="auto"/>
        <w:right w:val="none" w:sz="0" w:space="0" w:color="auto"/>
      </w:divBdr>
    </w:div>
    <w:div w:id="1890989974">
      <w:bodyDiv w:val="1"/>
      <w:marLeft w:val="0"/>
      <w:marRight w:val="0"/>
      <w:marTop w:val="0"/>
      <w:marBottom w:val="0"/>
      <w:divBdr>
        <w:top w:val="none" w:sz="0" w:space="0" w:color="auto"/>
        <w:left w:val="none" w:sz="0" w:space="0" w:color="auto"/>
        <w:bottom w:val="none" w:sz="0" w:space="0" w:color="auto"/>
        <w:right w:val="none" w:sz="0" w:space="0" w:color="auto"/>
      </w:divBdr>
    </w:div>
    <w:div w:id="1897859393">
      <w:bodyDiv w:val="1"/>
      <w:marLeft w:val="0"/>
      <w:marRight w:val="0"/>
      <w:marTop w:val="0"/>
      <w:marBottom w:val="0"/>
      <w:divBdr>
        <w:top w:val="none" w:sz="0" w:space="0" w:color="auto"/>
        <w:left w:val="none" w:sz="0" w:space="0" w:color="auto"/>
        <w:bottom w:val="none" w:sz="0" w:space="0" w:color="auto"/>
        <w:right w:val="none" w:sz="0" w:space="0" w:color="auto"/>
      </w:divBdr>
    </w:div>
    <w:div w:id="1899045890">
      <w:bodyDiv w:val="1"/>
      <w:marLeft w:val="0"/>
      <w:marRight w:val="0"/>
      <w:marTop w:val="0"/>
      <w:marBottom w:val="0"/>
      <w:divBdr>
        <w:top w:val="none" w:sz="0" w:space="0" w:color="auto"/>
        <w:left w:val="none" w:sz="0" w:space="0" w:color="auto"/>
        <w:bottom w:val="none" w:sz="0" w:space="0" w:color="auto"/>
        <w:right w:val="none" w:sz="0" w:space="0" w:color="auto"/>
      </w:divBdr>
    </w:div>
    <w:div w:id="1902669843">
      <w:bodyDiv w:val="1"/>
      <w:marLeft w:val="0"/>
      <w:marRight w:val="0"/>
      <w:marTop w:val="0"/>
      <w:marBottom w:val="0"/>
      <w:divBdr>
        <w:top w:val="none" w:sz="0" w:space="0" w:color="auto"/>
        <w:left w:val="none" w:sz="0" w:space="0" w:color="auto"/>
        <w:bottom w:val="none" w:sz="0" w:space="0" w:color="auto"/>
        <w:right w:val="none" w:sz="0" w:space="0" w:color="auto"/>
      </w:divBdr>
    </w:div>
    <w:div w:id="1902708696">
      <w:bodyDiv w:val="1"/>
      <w:marLeft w:val="0"/>
      <w:marRight w:val="0"/>
      <w:marTop w:val="0"/>
      <w:marBottom w:val="0"/>
      <w:divBdr>
        <w:top w:val="none" w:sz="0" w:space="0" w:color="auto"/>
        <w:left w:val="none" w:sz="0" w:space="0" w:color="auto"/>
        <w:bottom w:val="none" w:sz="0" w:space="0" w:color="auto"/>
        <w:right w:val="none" w:sz="0" w:space="0" w:color="auto"/>
      </w:divBdr>
    </w:div>
    <w:div w:id="1910069648">
      <w:bodyDiv w:val="1"/>
      <w:marLeft w:val="0"/>
      <w:marRight w:val="0"/>
      <w:marTop w:val="0"/>
      <w:marBottom w:val="0"/>
      <w:divBdr>
        <w:top w:val="none" w:sz="0" w:space="0" w:color="auto"/>
        <w:left w:val="none" w:sz="0" w:space="0" w:color="auto"/>
        <w:bottom w:val="none" w:sz="0" w:space="0" w:color="auto"/>
        <w:right w:val="none" w:sz="0" w:space="0" w:color="auto"/>
      </w:divBdr>
    </w:div>
    <w:div w:id="1917200152">
      <w:bodyDiv w:val="1"/>
      <w:marLeft w:val="0"/>
      <w:marRight w:val="0"/>
      <w:marTop w:val="0"/>
      <w:marBottom w:val="0"/>
      <w:divBdr>
        <w:top w:val="none" w:sz="0" w:space="0" w:color="auto"/>
        <w:left w:val="none" w:sz="0" w:space="0" w:color="auto"/>
        <w:bottom w:val="none" w:sz="0" w:space="0" w:color="auto"/>
        <w:right w:val="none" w:sz="0" w:space="0" w:color="auto"/>
      </w:divBdr>
    </w:div>
    <w:div w:id="1929388393">
      <w:bodyDiv w:val="1"/>
      <w:marLeft w:val="0"/>
      <w:marRight w:val="0"/>
      <w:marTop w:val="0"/>
      <w:marBottom w:val="0"/>
      <w:divBdr>
        <w:top w:val="none" w:sz="0" w:space="0" w:color="auto"/>
        <w:left w:val="none" w:sz="0" w:space="0" w:color="auto"/>
        <w:bottom w:val="none" w:sz="0" w:space="0" w:color="auto"/>
        <w:right w:val="none" w:sz="0" w:space="0" w:color="auto"/>
      </w:divBdr>
    </w:div>
    <w:div w:id="1930576303">
      <w:bodyDiv w:val="1"/>
      <w:marLeft w:val="0"/>
      <w:marRight w:val="0"/>
      <w:marTop w:val="0"/>
      <w:marBottom w:val="0"/>
      <w:divBdr>
        <w:top w:val="none" w:sz="0" w:space="0" w:color="auto"/>
        <w:left w:val="none" w:sz="0" w:space="0" w:color="auto"/>
        <w:bottom w:val="none" w:sz="0" w:space="0" w:color="auto"/>
        <w:right w:val="none" w:sz="0" w:space="0" w:color="auto"/>
      </w:divBdr>
    </w:div>
    <w:div w:id="1930967844">
      <w:bodyDiv w:val="1"/>
      <w:marLeft w:val="0"/>
      <w:marRight w:val="0"/>
      <w:marTop w:val="0"/>
      <w:marBottom w:val="0"/>
      <w:divBdr>
        <w:top w:val="none" w:sz="0" w:space="0" w:color="auto"/>
        <w:left w:val="none" w:sz="0" w:space="0" w:color="auto"/>
        <w:bottom w:val="none" w:sz="0" w:space="0" w:color="auto"/>
        <w:right w:val="none" w:sz="0" w:space="0" w:color="auto"/>
      </w:divBdr>
    </w:div>
    <w:div w:id="1934361511">
      <w:bodyDiv w:val="1"/>
      <w:marLeft w:val="0"/>
      <w:marRight w:val="0"/>
      <w:marTop w:val="0"/>
      <w:marBottom w:val="0"/>
      <w:divBdr>
        <w:top w:val="none" w:sz="0" w:space="0" w:color="auto"/>
        <w:left w:val="none" w:sz="0" w:space="0" w:color="auto"/>
        <w:bottom w:val="none" w:sz="0" w:space="0" w:color="auto"/>
        <w:right w:val="none" w:sz="0" w:space="0" w:color="auto"/>
      </w:divBdr>
    </w:div>
    <w:div w:id="1934631039">
      <w:bodyDiv w:val="1"/>
      <w:marLeft w:val="0"/>
      <w:marRight w:val="0"/>
      <w:marTop w:val="0"/>
      <w:marBottom w:val="0"/>
      <w:divBdr>
        <w:top w:val="none" w:sz="0" w:space="0" w:color="auto"/>
        <w:left w:val="none" w:sz="0" w:space="0" w:color="auto"/>
        <w:bottom w:val="none" w:sz="0" w:space="0" w:color="auto"/>
        <w:right w:val="none" w:sz="0" w:space="0" w:color="auto"/>
      </w:divBdr>
    </w:div>
    <w:div w:id="1935285191">
      <w:bodyDiv w:val="1"/>
      <w:marLeft w:val="0"/>
      <w:marRight w:val="0"/>
      <w:marTop w:val="0"/>
      <w:marBottom w:val="0"/>
      <w:divBdr>
        <w:top w:val="none" w:sz="0" w:space="0" w:color="auto"/>
        <w:left w:val="none" w:sz="0" w:space="0" w:color="auto"/>
        <w:bottom w:val="none" w:sz="0" w:space="0" w:color="auto"/>
        <w:right w:val="none" w:sz="0" w:space="0" w:color="auto"/>
      </w:divBdr>
    </w:div>
    <w:div w:id="1935936696">
      <w:bodyDiv w:val="1"/>
      <w:marLeft w:val="0"/>
      <w:marRight w:val="0"/>
      <w:marTop w:val="0"/>
      <w:marBottom w:val="0"/>
      <w:divBdr>
        <w:top w:val="none" w:sz="0" w:space="0" w:color="auto"/>
        <w:left w:val="none" w:sz="0" w:space="0" w:color="auto"/>
        <w:bottom w:val="none" w:sz="0" w:space="0" w:color="auto"/>
        <w:right w:val="none" w:sz="0" w:space="0" w:color="auto"/>
      </w:divBdr>
    </w:div>
    <w:div w:id="1944071043">
      <w:bodyDiv w:val="1"/>
      <w:marLeft w:val="0"/>
      <w:marRight w:val="0"/>
      <w:marTop w:val="0"/>
      <w:marBottom w:val="0"/>
      <w:divBdr>
        <w:top w:val="none" w:sz="0" w:space="0" w:color="auto"/>
        <w:left w:val="none" w:sz="0" w:space="0" w:color="auto"/>
        <w:bottom w:val="none" w:sz="0" w:space="0" w:color="auto"/>
        <w:right w:val="none" w:sz="0" w:space="0" w:color="auto"/>
      </w:divBdr>
    </w:div>
    <w:div w:id="1948585795">
      <w:bodyDiv w:val="1"/>
      <w:marLeft w:val="0"/>
      <w:marRight w:val="0"/>
      <w:marTop w:val="0"/>
      <w:marBottom w:val="0"/>
      <w:divBdr>
        <w:top w:val="none" w:sz="0" w:space="0" w:color="auto"/>
        <w:left w:val="none" w:sz="0" w:space="0" w:color="auto"/>
        <w:bottom w:val="none" w:sz="0" w:space="0" w:color="auto"/>
        <w:right w:val="none" w:sz="0" w:space="0" w:color="auto"/>
      </w:divBdr>
    </w:div>
    <w:div w:id="1959600613">
      <w:bodyDiv w:val="1"/>
      <w:marLeft w:val="0"/>
      <w:marRight w:val="0"/>
      <w:marTop w:val="0"/>
      <w:marBottom w:val="0"/>
      <w:divBdr>
        <w:top w:val="none" w:sz="0" w:space="0" w:color="auto"/>
        <w:left w:val="none" w:sz="0" w:space="0" w:color="auto"/>
        <w:bottom w:val="none" w:sz="0" w:space="0" w:color="auto"/>
        <w:right w:val="none" w:sz="0" w:space="0" w:color="auto"/>
      </w:divBdr>
    </w:div>
    <w:div w:id="1972394704">
      <w:bodyDiv w:val="1"/>
      <w:marLeft w:val="0"/>
      <w:marRight w:val="0"/>
      <w:marTop w:val="0"/>
      <w:marBottom w:val="0"/>
      <w:divBdr>
        <w:top w:val="none" w:sz="0" w:space="0" w:color="auto"/>
        <w:left w:val="none" w:sz="0" w:space="0" w:color="auto"/>
        <w:bottom w:val="none" w:sz="0" w:space="0" w:color="auto"/>
        <w:right w:val="none" w:sz="0" w:space="0" w:color="auto"/>
      </w:divBdr>
    </w:div>
    <w:div w:id="1976833436">
      <w:bodyDiv w:val="1"/>
      <w:marLeft w:val="0"/>
      <w:marRight w:val="0"/>
      <w:marTop w:val="0"/>
      <w:marBottom w:val="0"/>
      <w:divBdr>
        <w:top w:val="none" w:sz="0" w:space="0" w:color="auto"/>
        <w:left w:val="none" w:sz="0" w:space="0" w:color="auto"/>
        <w:bottom w:val="none" w:sz="0" w:space="0" w:color="auto"/>
        <w:right w:val="none" w:sz="0" w:space="0" w:color="auto"/>
      </w:divBdr>
    </w:div>
    <w:div w:id="1981958025">
      <w:bodyDiv w:val="1"/>
      <w:marLeft w:val="0"/>
      <w:marRight w:val="0"/>
      <w:marTop w:val="0"/>
      <w:marBottom w:val="0"/>
      <w:divBdr>
        <w:top w:val="none" w:sz="0" w:space="0" w:color="auto"/>
        <w:left w:val="none" w:sz="0" w:space="0" w:color="auto"/>
        <w:bottom w:val="none" w:sz="0" w:space="0" w:color="auto"/>
        <w:right w:val="none" w:sz="0" w:space="0" w:color="auto"/>
      </w:divBdr>
    </w:div>
    <w:div w:id="1982270041">
      <w:bodyDiv w:val="1"/>
      <w:marLeft w:val="0"/>
      <w:marRight w:val="0"/>
      <w:marTop w:val="0"/>
      <w:marBottom w:val="0"/>
      <w:divBdr>
        <w:top w:val="none" w:sz="0" w:space="0" w:color="auto"/>
        <w:left w:val="none" w:sz="0" w:space="0" w:color="auto"/>
        <w:bottom w:val="none" w:sz="0" w:space="0" w:color="auto"/>
        <w:right w:val="none" w:sz="0" w:space="0" w:color="auto"/>
      </w:divBdr>
    </w:div>
    <w:div w:id="1983120312">
      <w:bodyDiv w:val="1"/>
      <w:marLeft w:val="0"/>
      <w:marRight w:val="0"/>
      <w:marTop w:val="0"/>
      <w:marBottom w:val="0"/>
      <w:divBdr>
        <w:top w:val="none" w:sz="0" w:space="0" w:color="auto"/>
        <w:left w:val="none" w:sz="0" w:space="0" w:color="auto"/>
        <w:bottom w:val="none" w:sz="0" w:space="0" w:color="auto"/>
        <w:right w:val="none" w:sz="0" w:space="0" w:color="auto"/>
      </w:divBdr>
    </w:div>
    <w:div w:id="1983998043">
      <w:bodyDiv w:val="1"/>
      <w:marLeft w:val="0"/>
      <w:marRight w:val="0"/>
      <w:marTop w:val="0"/>
      <w:marBottom w:val="0"/>
      <w:divBdr>
        <w:top w:val="none" w:sz="0" w:space="0" w:color="auto"/>
        <w:left w:val="none" w:sz="0" w:space="0" w:color="auto"/>
        <w:bottom w:val="none" w:sz="0" w:space="0" w:color="auto"/>
        <w:right w:val="none" w:sz="0" w:space="0" w:color="auto"/>
      </w:divBdr>
    </w:div>
    <w:div w:id="1985966060">
      <w:bodyDiv w:val="1"/>
      <w:marLeft w:val="0"/>
      <w:marRight w:val="0"/>
      <w:marTop w:val="0"/>
      <w:marBottom w:val="0"/>
      <w:divBdr>
        <w:top w:val="none" w:sz="0" w:space="0" w:color="auto"/>
        <w:left w:val="none" w:sz="0" w:space="0" w:color="auto"/>
        <w:bottom w:val="none" w:sz="0" w:space="0" w:color="auto"/>
        <w:right w:val="none" w:sz="0" w:space="0" w:color="auto"/>
      </w:divBdr>
    </w:div>
    <w:div w:id="1987002345">
      <w:bodyDiv w:val="1"/>
      <w:marLeft w:val="0"/>
      <w:marRight w:val="0"/>
      <w:marTop w:val="0"/>
      <w:marBottom w:val="0"/>
      <w:divBdr>
        <w:top w:val="none" w:sz="0" w:space="0" w:color="auto"/>
        <w:left w:val="none" w:sz="0" w:space="0" w:color="auto"/>
        <w:bottom w:val="none" w:sz="0" w:space="0" w:color="auto"/>
        <w:right w:val="none" w:sz="0" w:space="0" w:color="auto"/>
      </w:divBdr>
    </w:div>
    <w:div w:id="1992059889">
      <w:bodyDiv w:val="1"/>
      <w:marLeft w:val="0"/>
      <w:marRight w:val="0"/>
      <w:marTop w:val="0"/>
      <w:marBottom w:val="0"/>
      <w:divBdr>
        <w:top w:val="none" w:sz="0" w:space="0" w:color="auto"/>
        <w:left w:val="none" w:sz="0" w:space="0" w:color="auto"/>
        <w:bottom w:val="none" w:sz="0" w:space="0" w:color="auto"/>
        <w:right w:val="none" w:sz="0" w:space="0" w:color="auto"/>
      </w:divBdr>
    </w:div>
    <w:div w:id="1994523035">
      <w:bodyDiv w:val="1"/>
      <w:marLeft w:val="0"/>
      <w:marRight w:val="0"/>
      <w:marTop w:val="0"/>
      <w:marBottom w:val="0"/>
      <w:divBdr>
        <w:top w:val="none" w:sz="0" w:space="0" w:color="auto"/>
        <w:left w:val="none" w:sz="0" w:space="0" w:color="auto"/>
        <w:bottom w:val="none" w:sz="0" w:space="0" w:color="auto"/>
        <w:right w:val="none" w:sz="0" w:space="0" w:color="auto"/>
      </w:divBdr>
    </w:div>
    <w:div w:id="1994946153">
      <w:bodyDiv w:val="1"/>
      <w:marLeft w:val="0"/>
      <w:marRight w:val="0"/>
      <w:marTop w:val="0"/>
      <w:marBottom w:val="0"/>
      <w:divBdr>
        <w:top w:val="none" w:sz="0" w:space="0" w:color="auto"/>
        <w:left w:val="none" w:sz="0" w:space="0" w:color="auto"/>
        <w:bottom w:val="none" w:sz="0" w:space="0" w:color="auto"/>
        <w:right w:val="none" w:sz="0" w:space="0" w:color="auto"/>
      </w:divBdr>
    </w:div>
    <w:div w:id="1998990637">
      <w:bodyDiv w:val="1"/>
      <w:marLeft w:val="0"/>
      <w:marRight w:val="0"/>
      <w:marTop w:val="0"/>
      <w:marBottom w:val="0"/>
      <w:divBdr>
        <w:top w:val="none" w:sz="0" w:space="0" w:color="auto"/>
        <w:left w:val="none" w:sz="0" w:space="0" w:color="auto"/>
        <w:bottom w:val="none" w:sz="0" w:space="0" w:color="auto"/>
        <w:right w:val="none" w:sz="0" w:space="0" w:color="auto"/>
      </w:divBdr>
    </w:div>
    <w:div w:id="2002468328">
      <w:bodyDiv w:val="1"/>
      <w:marLeft w:val="0"/>
      <w:marRight w:val="0"/>
      <w:marTop w:val="0"/>
      <w:marBottom w:val="0"/>
      <w:divBdr>
        <w:top w:val="none" w:sz="0" w:space="0" w:color="auto"/>
        <w:left w:val="none" w:sz="0" w:space="0" w:color="auto"/>
        <w:bottom w:val="none" w:sz="0" w:space="0" w:color="auto"/>
        <w:right w:val="none" w:sz="0" w:space="0" w:color="auto"/>
      </w:divBdr>
    </w:div>
    <w:div w:id="2002616049">
      <w:bodyDiv w:val="1"/>
      <w:marLeft w:val="0"/>
      <w:marRight w:val="0"/>
      <w:marTop w:val="0"/>
      <w:marBottom w:val="0"/>
      <w:divBdr>
        <w:top w:val="none" w:sz="0" w:space="0" w:color="auto"/>
        <w:left w:val="none" w:sz="0" w:space="0" w:color="auto"/>
        <w:bottom w:val="none" w:sz="0" w:space="0" w:color="auto"/>
        <w:right w:val="none" w:sz="0" w:space="0" w:color="auto"/>
      </w:divBdr>
    </w:div>
    <w:div w:id="2003002429">
      <w:bodyDiv w:val="1"/>
      <w:marLeft w:val="0"/>
      <w:marRight w:val="0"/>
      <w:marTop w:val="0"/>
      <w:marBottom w:val="0"/>
      <w:divBdr>
        <w:top w:val="none" w:sz="0" w:space="0" w:color="auto"/>
        <w:left w:val="none" w:sz="0" w:space="0" w:color="auto"/>
        <w:bottom w:val="none" w:sz="0" w:space="0" w:color="auto"/>
        <w:right w:val="none" w:sz="0" w:space="0" w:color="auto"/>
      </w:divBdr>
    </w:div>
    <w:div w:id="2007051342">
      <w:bodyDiv w:val="1"/>
      <w:marLeft w:val="0"/>
      <w:marRight w:val="0"/>
      <w:marTop w:val="0"/>
      <w:marBottom w:val="0"/>
      <w:divBdr>
        <w:top w:val="none" w:sz="0" w:space="0" w:color="auto"/>
        <w:left w:val="none" w:sz="0" w:space="0" w:color="auto"/>
        <w:bottom w:val="none" w:sz="0" w:space="0" w:color="auto"/>
        <w:right w:val="none" w:sz="0" w:space="0" w:color="auto"/>
      </w:divBdr>
    </w:div>
    <w:div w:id="2007315592">
      <w:bodyDiv w:val="1"/>
      <w:marLeft w:val="0"/>
      <w:marRight w:val="0"/>
      <w:marTop w:val="0"/>
      <w:marBottom w:val="0"/>
      <w:divBdr>
        <w:top w:val="none" w:sz="0" w:space="0" w:color="auto"/>
        <w:left w:val="none" w:sz="0" w:space="0" w:color="auto"/>
        <w:bottom w:val="none" w:sz="0" w:space="0" w:color="auto"/>
        <w:right w:val="none" w:sz="0" w:space="0" w:color="auto"/>
      </w:divBdr>
    </w:div>
    <w:div w:id="2008440815">
      <w:bodyDiv w:val="1"/>
      <w:marLeft w:val="0"/>
      <w:marRight w:val="0"/>
      <w:marTop w:val="0"/>
      <w:marBottom w:val="0"/>
      <w:divBdr>
        <w:top w:val="none" w:sz="0" w:space="0" w:color="auto"/>
        <w:left w:val="none" w:sz="0" w:space="0" w:color="auto"/>
        <w:bottom w:val="none" w:sz="0" w:space="0" w:color="auto"/>
        <w:right w:val="none" w:sz="0" w:space="0" w:color="auto"/>
      </w:divBdr>
    </w:div>
    <w:div w:id="2008746066">
      <w:bodyDiv w:val="1"/>
      <w:marLeft w:val="0"/>
      <w:marRight w:val="0"/>
      <w:marTop w:val="0"/>
      <w:marBottom w:val="0"/>
      <w:divBdr>
        <w:top w:val="none" w:sz="0" w:space="0" w:color="auto"/>
        <w:left w:val="none" w:sz="0" w:space="0" w:color="auto"/>
        <w:bottom w:val="none" w:sz="0" w:space="0" w:color="auto"/>
        <w:right w:val="none" w:sz="0" w:space="0" w:color="auto"/>
      </w:divBdr>
    </w:div>
    <w:div w:id="2009862097">
      <w:bodyDiv w:val="1"/>
      <w:marLeft w:val="0"/>
      <w:marRight w:val="0"/>
      <w:marTop w:val="0"/>
      <w:marBottom w:val="0"/>
      <w:divBdr>
        <w:top w:val="none" w:sz="0" w:space="0" w:color="auto"/>
        <w:left w:val="none" w:sz="0" w:space="0" w:color="auto"/>
        <w:bottom w:val="none" w:sz="0" w:space="0" w:color="auto"/>
        <w:right w:val="none" w:sz="0" w:space="0" w:color="auto"/>
      </w:divBdr>
    </w:div>
    <w:div w:id="2011515905">
      <w:bodyDiv w:val="1"/>
      <w:marLeft w:val="0"/>
      <w:marRight w:val="0"/>
      <w:marTop w:val="0"/>
      <w:marBottom w:val="0"/>
      <w:divBdr>
        <w:top w:val="none" w:sz="0" w:space="0" w:color="auto"/>
        <w:left w:val="none" w:sz="0" w:space="0" w:color="auto"/>
        <w:bottom w:val="none" w:sz="0" w:space="0" w:color="auto"/>
        <w:right w:val="none" w:sz="0" w:space="0" w:color="auto"/>
      </w:divBdr>
    </w:div>
    <w:div w:id="2020347276">
      <w:bodyDiv w:val="1"/>
      <w:marLeft w:val="0"/>
      <w:marRight w:val="0"/>
      <w:marTop w:val="0"/>
      <w:marBottom w:val="0"/>
      <w:divBdr>
        <w:top w:val="none" w:sz="0" w:space="0" w:color="auto"/>
        <w:left w:val="none" w:sz="0" w:space="0" w:color="auto"/>
        <w:bottom w:val="none" w:sz="0" w:space="0" w:color="auto"/>
        <w:right w:val="none" w:sz="0" w:space="0" w:color="auto"/>
      </w:divBdr>
    </w:div>
    <w:div w:id="2030134828">
      <w:bodyDiv w:val="1"/>
      <w:marLeft w:val="0"/>
      <w:marRight w:val="0"/>
      <w:marTop w:val="0"/>
      <w:marBottom w:val="0"/>
      <w:divBdr>
        <w:top w:val="none" w:sz="0" w:space="0" w:color="auto"/>
        <w:left w:val="none" w:sz="0" w:space="0" w:color="auto"/>
        <w:bottom w:val="none" w:sz="0" w:space="0" w:color="auto"/>
        <w:right w:val="none" w:sz="0" w:space="0" w:color="auto"/>
      </w:divBdr>
    </w:div>
    <w:div w:id="2033795224">
      <w:bodyDiv w:val="1"/>
      <w:marLeft w:val="0"/>
      <w:marRight w:val="0"/>
      <w:marTop w:val="0"/>
      <w:marBottom w:val="0"/>
      <w:divBdr>
        <w:top w:val="none" w:sz="0" w:space="0" w:color="auto"/>
        <w:left w:val="none" w:sz="0" w:space="0" w:color="auto"/>
        <w:bottom w:val="none" w:sz="0" w:space="0" w:color="auto"/>
        <w:right w:val="none" w:sz="0" w:space="0" w:color="auto"/>
      </w:divBdr>
    </w:div>
    <w:div w:id="2044596959">
      <w:bodyDiv w:val="1"/>
      <w:marLeft w:val="0"/>
      <w:marRight w:val="0"/>
      <w:marTop w:val="0"/>
      <w:marBottom w:val="0"/>
      <w:divBdr>
        <w:top w:val="none" w:sz="0" w:space="0" w:color="auto"/>
        <w:left w:val="none" w:sz="0" w:space="0" w:color="auto"/>
        <w:bottom w:val="none" w:sz="0" w:space="0" w:color="auto"/>
        <w:right w:val="none" w:sz="0" w:space="0" w:color="auto"/>
      </w:divBdr>
    </w:div>
    <w:div w:id="2050107313">
      <w:bodyDiv w:val="1"/>
      <w:marLeft w:val="0"/>
      <w:marRight w:val="0"/>
      <w:marTop w:val="0"/>
      <w:marBottom w:val="0"/>
      <w:divBdr>
        <w:top w:val="none" w:sz="0" w:space="0" w:color="auto"/>
        <w:left w:val="none" w:sz="0" w:space="0" w:color="auto"/>
        <w:bottom w:val="none" w:sz="0" w:space="0" w:color="auto"/>
        <w:right w:val="none" w:sz="0" w:space="0" w:color="auto"/>
      </w:divBdr>
    </w:div>
    <w:div w:id="2052805180">
      <w:bodyDiv w:val="1"/>
      <w:marLeft w:val="0"/>
      <w:marRight w:val="0"/>
      <w:marTop w:val="0"/>
      <w:marBottom w:val="0"/>
      <w:divBdr>
        <w:top w:val="none" w:sz="0" w:space="0" w:color="auto"/>
        <w:left w:val="none" w:sz="0" w:space="0" w:color="auto"/>
        <w:bottom w:val="none" w:sz="0" w:space="0" w:color="auto"/>
        <w:right w:val="none" w:sz="0" w:space="0" w:color="auto"/>
      </w:divBdr>
    </w:div>
    <w:div w:id="2053070431">
      <w:bodyDiv w:val="1"/>
      <w:marLeft w:val="0"/>
      <w:marRight w:val="0"/>
      <w:marTop w:val="0"/>
      <w:marBottom w:val="0"/>
      <w:divBdr>
        <w:top w:val="none" w:sz="0" w:space="0" w:color="auto"/>
        <w:left w:val="none" w:sz="0" w:space="0" w:color="auto"/>
        <w:bottom w:val="none" w:sz="0" w:space="0" w:color="auto"/>
        <w:right w:val="none" w:sz="0" w:space="0" w:color="auto"/>
      </w:divBdr>
    </w:div>
    <w:div w:id="2053267060">
      <w:bodyDiv w:val="1"/>
      <w:marLeft w:val="0"/>
      <w:marRight w:val="0"/>
      <w:marTop w:val="0"/>
      <w:marBottom w:val="0"/>
      <w:divBdr>
        <w:top w:val="none" w:sz="0" w:space="0" w:color="auto"/>
        <w:left w:val="none" w:sz="0" w:space="0" w:color="auto"/>
        <w:bottom w:val="none" w:sz="0" w:space="0" w:color="auto"/>
        <w:right w:val="none" w:sz="0" w:space="0" w:color="auto"/>
      </w:divBdr>
    </w:div>
    <w:div w:id="2053385681">
      <w:bodyDiv w:val="1"/>
      <w:marLeft w:val="0"/>
      <w:marRight w:val="0"/>
      <w:marTop w:val="0"/>
      <w:marBottom w:val="0"/>
      <w:divBdr>
        <w:top w:val="none" w:sz="0" w:space="0" w:color="auto"/>
        <w:left w:val="none" w:sz="0" w:space="0" w:color="auto"/>
        <w:bottom w:val="none" w:sz="0" w:space="0" w:color="auto"/>
        <w:right w:val="none" w:sz="0" w:space="0" w:color="auto"/>
      </w:divBdr>
    </w:div>
    <w:div w:id="2053453101">
      <w:bodyDiv w:val="1"/>
      <w:marLeft w:val="0"/>
      <w:marRight w:val="0"/>
      <w:marTop w:val="0"/>
      <w:marBottom w:val="0"/>
      <w:divBdr>
        <w:top w:val="none" w:sz="0" w:space="0" w:color="auto"/>
        <w:left w:val="none" w:sz="0" w:space="0" w:color="auto"/>
        <w:bottom w:val="none" w:sz="0" w:space="0" w:color="auto"/>
        <w:right w:val="none" w:sz="0" w:space="0" w:color="auto"/>
      </w:divBdr>
    </w:div>
    <w:div w:id="2059012253">
      <w:bodyDiv w:val="1"/>
      <w:marLeft w:val="0"/>
      <w:marRight w:val="0"/>
      <w:marTop w:val="0"/>
      <w:marBottom w:val="0"/>
      <w:divBdr>
        <w:top w:val="none" w:sz="0" w:space="0" w:color="auto"/>
        <w:left w:val="none" w:sz="0" w:space="0" w:color="auto"/>
        <w:bottom w:val="none" w:sz="0" w:space="0" w:color="auto"/>
        <w:right w:val="none" w:sz="0" w:space="0" w:color="auto"/>
      </w:divBdr>
    </w:div>
    <w:div w:id="2061710053">
      <w:bodyDiv w:val="1"/>
      <w:marLeft w:val="0"/>
      <w:marRight w:val="0"/>
      <w:marTop w:val="0"/>
      <w:marBottom w:val="0"/>
      <w:divBdr>
        <w:top w:val="none" w:sz="0" w:space="0" w:color="auto"/>
        <w:left w:val="none" w:sz="0" w:space="0" w:color="auto"/>
        <w:bottom w:val="none" w:sz="0" w:space="0" w:color="auto"/>
        <w:right w:val="none" w:sz="0" w:space="0" w:color="auto"/>
      </w:divBdr>
    </w:div>
    <w:div w:id="2066946795">
      <w:bodyDiv w:val="1"/>
      <w:marLeft w:val="0"/>
      <w:marRight w:val="0"/>
      <w:marTop w:val="0"/>
      <w:marBottom w:val="0"/>
      <w:divBdr>
        <w:top w:val="none" w:sz="0" w:space="0" w:color="auto"/>
        <w:left w:val="none" w:sz="0" w:space="0" w:color="auto"/>
        <w:bottom w:val="none" w:sz="0" w:space="0" w:color="auto"/>
        <w:right w:val="none" w:sz="0" w:space="0" w:color="auto"/>
      </w:divBdr>
    </w:div>
    <w:div w:id="2069761165">
      <w:bodyDiv w:val="1"/>
      <w:marLeft w:val="0"/>
      <w:marRight w:val="0"/>
      <w:marTop w:val="0"/>
      <w:marBottom w:val="0"/>
      <w:divBdr>
        <w:top w:val="none" w:sz="0" w:space="0" w:color="auto"/>
        <w:left w:val="none" w:sz="0" w:space="0" w:color="auto"/>
        <w:bottom w:val="none" w:sz="0" w:space="0" w:color="auto"/>
        <w:right w:val="none" w:sz="0" w:space="0" w:color="auto"/>
      </w:divBdr>
    </w:div>
    <w:div w:id="2072728924">
      <w:bodyDiv w:val="1"/>
      <w:marLeft w:val="0"/>
      <w:marRight w:val="0"/>
      <w:marTop w:val="0"/>
      <w:marBottom w:val="0"/>
      <w:divBdr>
        <w:top w:val="none" w:sz="0" w:space="0" w:color="auto"/>
        <w:left w:val="none" w:sz="0" w:space="0" w:color="auto"/>
        <w:bottom w:val="none" w:sz="0" w:space="0" w:color="auto"/>
        <w:right w:val="none" w:sz="0" w:space="0" w:color="auto"/>
      </w:divBdr>
    </w:div>
    <w:div w:id="2076195413">
      <w:bodyDiv w:val="1"/>
      <w:marLeft w:val="0"/>
      <w:marRight w:val="0"/>
      <w:marTop w:val="0"/>
      <w:marBottom w:val="0"/>
      <w:divBdr>
        <w:top w:val="none" w:sz="0" w:space="0" w:color="auto"/>
        <w:left w:val="none" w:sz="0" w:space="0" w:color="auto"/>
        <w:bottom w:val="none" w:sz="0" w:space="0" w:color="auto"/>
        <w:right w:val="none" w:sz="0" w:space="0" w:color="auto"/>
      </w:divBdr>
    </w:div>
    <w:div w:id="2076855842">
      <w:bodyDiv w:val="1"/>
      <w:marLeft w:val="0"/>
      <w:marRight w:val="0"/>
      <w:marTop w:val="0"/>
      <w:marBottom w:val="0"/>
      <w:divBdr>
        <w:top w:val="none" w:sz="0" w:space="0" w:color="auto"/>
        <w:left w:val="none" w:sz="0" w:space="0" w:color="auto"/>
        <w:bottom w:val="none" w:sz="0" w:space="0" w:color="auto"/>
        <w:right w:val="none" w:sz="0" w:space="0" w:color="auto"/>
      </w:divBdr>
    </w:div>
    <w:div w:id="2080785001">
      <w:bodyDiv w:val="1"/>
      <w:marLeft w:val="0"/>
      <w:marRight w:val="0"/>
      <w:marTop w:val="0"/>
      <w:marBottom w:val="0"/>
      <w:divBdr>
        <w:top w:val="none" w:sz="0" w:space="0" w:color="auto"/>
        <w:left w:val="none" w:sz="0" w:space="0" w:color="auto"/>
        <w:bottom w:val="none" w:sz="0" w:space="0" w:color="auto"/>
        <w:right w:val="none" w:sz="0" w:space="0" w:color="auto"/>
      </w:divBdr>
    </w:div>
    <w:div w:id="2081902626">
      <w:bodyDiv w:val="1"/>
      <w:marLeft w:val="0"/>
      <w:marRight w:val="0"/>
      <w:marTop w:val="0"/>
      <w:marBottom w:val="0"/>
      <w:divBdr>
        <w:top w:val="none" w:sz="0" w:space="0" w:color="auto"/>
        <w:left w:val="none" w:sz="0" w:space="0" w:color="auto"/>
        <w:bottom w:val="none" w:sz="0" w:space="0" w:color="auto"/>
        <w:right w:val="none" w:sz="0" w:space="0" w:color="auto"/>
      </w:divBdr>
    </w:div>
    <w:div w:id="2086754077">
      <w:bodyDiv w:val="1"/>
      <w:marLeft w:val="0"/>
      <w:marRight w:val="0"/>
      <w:marTop w:val="0"/>
      <w:marBottom w:val="0"/>
      <w:divBdr>
        <w:top w:val="none" w:sz="0" w:space="0" w:color="auto"/>
        <w:left w:val="none" w:sz="0" w:space="0" w:color="auto"/>
        <w:bottom w:val="none" w:sz="0" w:space="0" w:color="auto"/>
        <w:right w:val="none" w:sz="0" w:space="0" w:color="auto"/>
      </w:divBdr>
    </w:div>
    <w:div w:id="2086995009">
      <w:bodyDiv w:val="1"/>
      <w:marLeft w:val="0"/>
      <w:marRight w:val="0"/>
      <w:marTop w:val="0"/>
      <w:marBottom w:val="0"/>
      <w:divBdr>
        <w:top w:val="none" w:sz="0" w:space="0" w:color="auto"/>
        <w:left w:val="none" w:sz="0" w:space="0" w:color="auto"/>
        <w:bottom w:val="none" w:sz="0" w:space="0" w:color="auto"/>
        <w:right w:val="none" w:sz="0" w:space="0" w:color="auto"/>
      </w:divBdr>
    </w:div>
    <w:div w:id="2093966898">
      <w:bodyDiv w:val="1"/>
      <w:marLeft w:val="0"/>
      <w:marRight w:val="0"/>
      <w:marTop w:val="0"/>
      <w:marBottom w:val="0"/>
      <w:divBdr>
        <w:top w:val="none" w:sz="0" w:space="0" w:color="auto"/>
        <w:left w:val="none" w:sz="0" w:space="0" w:color="auto"/>
        <w:bottom w:val="none" w:sz="0" w:space="0" w:color="auto"/>
        <w:right w:val="none" w:sz="0" w:space="0" w:color="auto"/>
      </w:divBdr>
    </w:div>
    <w:div w:id="2094279827">
      <w:bodyDiv w:val="1"/>
      <w:marLeft w:val="0"/>
      <w:marRight w:val="0"/>
      <w:marTop w:val="0"/>
      <w:marBottom w:val="0"/>
      <w:divBdr>
        <w:top w:val="none" w:sz="0" w:space="0" w:color="auto"/>
        <w:left w:val="none" w:sz="0" w:space="0" w:color="auto"/>
        <w:bottom w:val="none" w:sz="0" w:space="0" w:color="auto"/>
        <w:right w:val="none" w:sz="0" w:space="0" w:color="auto"/>
      </w:divBdr>
    </w:div>
    <w:div w:id="2104109913">
      <w:bodyDiv w:val="1"/>
      <w:marLeft w:val="0"/>
      <w:marRight w:val="0"/>
      <w:marTop w:val="0"/>
      <w:marBottom w:val="0"/>
      <w:divBdr>
        <w:top w:val="none" w:sz="0" w:space="0" w:color="auto"/>
        <w:left w:val="none" w:sz="0" w:space="0" w:color="auto"/>
        <w:bottom w:val="none" w:sz="0" w:space="0" w:color="auto"/>
        <w:right w:val="none" w:sz="0" w:space="0" w:color="auto"/>
      </w:divBdr>
    </w:div>
    <w:div w:id="2105950278">
      <w:bodyDiv w:val="1"/>
      <w:marLeft w:val="0"/>
      <w:marRight w:val="0"/>
      <w:marTop w:val="0"/>
      <w:marBottom w:val="0"/>
      <w:divBdr>
        <w:top w:val="none" w:sz="0" w:space="0" w:color="auto"/>
        <w:left w:val="none" w:sz="0" w:space="0" w:color="auto"/>
        <w:bottom w:val="none" w:sz="0" w:space="0" w:color="auto"/>
        <w:right w:val="none" w:sz="0" w:space="0" w:color="auto"/>
      </w:divBdr>
    </w:div>
    <w:div w:id="2107192346">
      <w:bodyDiv w:val="1"/>
      <w:marLeft w:val="0"/>
      <w:marRight w:val="0"/>
      <w:marTop w:val="0"/>
      <w:marBottom w:val="0"/>
      <w:divBdr>
        <w:top w:val="none" w:sz="0" w:space="0" w:color="auto"/>
        <w:left w:val="none" w:sz="0" w:space="0" w:color="auto"/>
        <w:bottom w:val="none" w:sz="0" w:space="0" w:color="auto"/>
        <w:right w:val="none" w:sz="0" w:space="0" w:color="auto"/>
      </w:divBdr>
    </w:div>
    <w:div w:id="2107460796">
      <w:bodyDiv w:val="1"/>
      <w:marLeft w:val="0"/>
      <w:marRight w:val="0"/>
      <w:marTop w:val="0"/>
      <w:marBottom w:val="0"/>
      <w:divBdr>
        <w:top w:val="none" w:sz="0" w:space="0" w:color="auto"/>
        <w:left w:val="none" w:sz="0" w:space="0" w:color="auto"/>
        <w:bottom w:val="none" w:sz="0" w:space="0" w:color="auto"/>
        <w:right w:val="none" w:sz="0" w:space="0" w:color="auto"/>
      </w:divBdr>
    </w:div>
    <w:div w:id="2112043654">
      <w:bodyDiv w:val="1"/>
      <w:marLeft w:val="0"/>
      <w:marRight w:val="0"/>
      <w:marTop w:val="0"/>
      <w:marBottom w:val="0"/>
      <w:divBdr>
        <w:top w:val="none" w:sz="0" w:space="0" w:color="auto"/>
        <w:left w:val="none" w:sz="0" w:space="0" w:color="auto"/>
        <w:bottom w:val="none" w:sz="0" w:space="0" w:color="auto"/>
        <w:right w:val="none" w:sz="0" w:space="0" w:color="auto"/>
      </w:divBdr>
    </w:div>
    <w:div w:id="2112433562">
      <w:bodyDiv w:val="1"/>
      <w:marLeft w:val="0"/>
      <w:marRight w:val="0"/>
      <w:marTop w:val="0"/>
      <w:marBottom w:val="0"/>
      <w:divBdr>
        <w:top w:val="none" w:sz="0" w:space="0" w:color="auto"/>
        <w:left w:val="none" w:sz="0" w:space="0" w:color="auto"/>
        <w:bottom w:val="none" w:sz="0" w:space="0" w:color="auto"/>
        <w:right w:val="none" w:sz="0" w:space="0" w:color="auto"/>
      </w:divBdr>
    </w:div>
    <w:div w:id="2113549208">
      <w:bodyDiv w:val="1"/>
      <w:marLeft w:val="0"/>
      <w:marRight w:val="0"/>
      <w:marTop w:val="0"/>
      <w:marBottom w:val="0"/>
      <w:divBdr>
        <w:top w:val="none" w:sz="0" w:space="0" w:color="auto"/>
        <w:left w:val="none" w:sz="0" w:space="0" w:color="auto"/>
        <w:bottom w:val="none" w:sz="0" w:space="0" w:color="auto"/>
        <w:right w:val="none" w:sz="0" w:space="0" w:color="auto"/>
      </w:divBdr>
    </w:div>
    <w:div w:id="2114401256">
      <w:bodyDiv w:val="1"/>
      <w:marLeft w:val="0"/>
      <w:marRight w:val="0"/>
      <w:marTop w:val="0"/>
      <w:marBottom w:val="0"/>
      <w:divBdr>
        <w:top w:val="none" w:sz="0" w:space="0" w:color="auto"/>
        <w:left w:val="none" w:sz="0" w:space="0" w:color="auto"/>
        <w:bottom w:val="none" w:sz="0" w:space="0" w:color="auto"/>
        <w:right w:val="none" w:sz="0" w:space="0" w:color="auto"/>
      </w:divBdr>
    </w:div>
    <w:div w:id="2117947142">
      <w:bodyDiv w:val="1"/>
      <w:marLeft w:val="0"/>
      <w:marRight w:val="0"/>
      <w:marTop w:val="0"/>
      <w:marBottom w:val="0"/>
      <w:divBdr>
        <w:top w:val="none" w:sz="0" w:space="0" w:color="auto"/>
        <w:left w:val="none" w:sz="0" w:space="0" w:color="auto"/>
        <w:bottom w:val="none" w:sz="0" w:space="0" w:color="auto"/>
        <w:right w:val="none" w:sz="0" w:space="0" w:color="auto"/>
      </w:divBdr>
    </w:div>
    <w:div w:id="2125269603">
      <w:bodyDiv w:val="1"/>
      <w:marLeft w:val="0"/>
      <w:marRight w:val="0"/>
      <w:marTop w:val="0"/>
      <w:marBottom w:val="0"/>
      <w:divBdr>
        <w:top w:val="none" w:sz="0" w:space="0" w:color="auto"/>
        <w:left w:val="none" w:sz="0" w:space="0" w:color="auto"/>
        <w:bottom w:val="none" w:sz="0" w:space="0" w:color="auto"/>
        <w:right w:val="none" w:sz="0" w:space="0" w:color="auto"/>
      </w:divBdr>
    </w:div>
    <w:div w:id="2128547178">
      <w:bodyDiv w:val="1"/>
      <w:marLeft w:val="0"/>
      <w:marRight w:val="0"/>
      <w:marTop w:val="0"/>
      <w:marBottom w:val="0"/>
      <w:divBdr>
        <w:top w:val="none" w:sz="0" w:space="0" w:color="auto"/>
        <w:left w:val="none" w:sz="0" w:space="0" w:color="auto"/>
        <w:bottom w:val="none" w:sz="0" w:space="0" w:color="auto"/>
        <w:right w:val="none" w:sz="0" w:space="0" w:color="auto"/>
      </w:divBdr>
    </w:div>
    <w:div w:id="2131123339">
      <w:bodyDiv w:val="1"/>
      <w:marLeft w:val="0"/>
      <w:marRight w:val="0"/>
      <w:marTop w:val="0"/>
      <w:marBottom w:val="0"/>
      <w:divBdr>
        <w:top w:val="none" w:sz="0" w:space="0" w:color="auto"/>
        <w:left w:val="none" w:sz="0" w:space="0" w:color="auto"/>
        <w:bottom w:val="none" w:sz="0" w:space="0" w:color="auto"/>
        <w:right w:val="none" w:sz="0" w:space="0" w:color="auto"/>
      </w:divBdr>
    </w:div>
    <w:div w:id="2135325981">
      <w:bodyDiv w:val="1"/>
      <w:marLeft w:val="0"/>
      <w:marRight w:val="0"/>
      <w:marTop w:val="0"/>
      <w:marBottom w:val="0"/>
      <w:divBdr>
        <w:top w:val="none" w:sz="0" w:space="0" w:color="auto"/>
        <w:left w:val="none" w:sz="0" w:space="0" w:color="auto"/>
        <w:bottom w:val="none" w:sz="0" w:space="0" w:color="auto"/>
        <w:right w:val="none" w:sz="0" w:space="0" w:color="auto"/>
      </w:divBdr>
    </w:div>
    <w:div w:id="2136555653">
      <w:bodyDiv w:val="1"/>
      <w:marLeft w:val="0"/>
      <w:marRight w:val="0"/>
      <w:marTop w:val="0"/>
      <w:marBottom w:val="0"/>
      <w:divBdr>
        <w:top w:val="none" w:sz="0" w:space="0" w:color="auto"/>
        <w:left w:val="none" w:sz="0" w:space="0" w:color="auto"/>
        <w:bottom w:val="none" w:sz="0" w:space="0" w:color="auto"/>
        <w:right w:val="none" w:sz="0" w:space="0" w:color="auto"/>
      </w:divBdr>
    </w:div>
    <w:div w:id="2137866381">
      <w:bodyDiv w:val="1"/>
      <w:marLeft w:val="0"/>
      <w:marRight w:val="0"/>
      <w:marTop w:val="0"/>
      <w:marBottom w:val="0"/>
      <w:divBdr>
        <w:top w:val="none" w:sz="0" w:space="0" w:color="auto"/>
        <w:left w:val="none" w:sz="0" w:space="0" w:color="auto"/>
        <w:bottom w:val="none" w:sz="0" w:space="0" w:color="auto"/>
        <w:right w:val="none" w:sz="0" w:space="0" w:color="auto"/>
      </w:divBdr>
    </w:div>
    <w:div w:id="2146199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eader" Target="header7.xm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a.hosts.application.enet/business-support/Communication/Documents/www.swa.gov.a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glossaryDocument" Target="glossary/document.xml"/><Relationship Id="rId45"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image" Target="media/image7.pn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8.xm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safeworkaustralia.gov.au/doc/decision-regulation-impact-statement-managing-risks-respirable-crystalline-silica-work" TargetMode="External"/><Relationship Id="rId25" Type="http://schemas.openxmlformats.org/officeDocument/2006/relationships/header" Target="header6.xml"/><Relationship Id="rId33" Type="http://schemas.openxmlformats.org/officeDocument/2006/relationships/footer" Target="footer6.xml"/><Relationship Id="rId38" Type="http://schemas.openxmlformats.org/officeDocument/2006/relationships/footer" Target="footer8.xml"/><Relationship Id="rId20" Type="http://schemas.openxmlformats.org/officeDocument/2006/relationships/chart" Target="charts/chart3.xml"/><Relationship Id="rId4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PRODAPP.application.enet\STATS_DATA\Data%20and%20Analysis\Data%20Analysis\Silicosis\Megan%20Downie%20request%20July%202023\Chart%20-%20silicosis%20time%20seri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Chart!$C$2</c:f>
              <c:strCache>
                <c:ptCount val="1"/>
                <c:pt idx="0">
                  <c:v>NSW</c:v>
                </c:pt>
              </c:strCache>
            </c:strRef>
          </c:tx>
          <c:spPr>
            <a:solidFill>
              <a:schemeClr val="accent3"/>
            </a:solidFill>
            <a:ln>
              <a:noFill/>
            </a:ln>
            <a:effectLst/>
          </c:spPr>
          <c:invertIfNegative val="0"/>
          <c:cat>
            <c:strRef>
              <c:f>Chart!$B$3:$B$13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Chart!$C$3:$C$13</c:f>
              <c:numCache>
                <c:formatCode>General</c:formatCode>
                <c:ptCount val="11"/>
                <c:pt idx="0">
                  <c:v>10</c:v>
                </c:pt>
                <c:pt idx="1">
                  <c:v>18</c:v>
                </c:pt>
                <c:pt idx="2">
                  <c:v>13</c:v>
                </c:pt>
                <c:pt idx="3">
                  <c:v>16</c:v>
                </c:pt>
                <c:pt idx="4">
                  <c:v>13</c:v>
                </c:pt>
                <c:pt idx="5">
                  <c:v>13</c:v>
                </c:pt>
                <c:pt idx="6">
                  <c:v>7</c:v>
                </c:pt>
                <c:pt idx="7">
                  <c:v>9</c:v>
                </c:pt>
                <c:pt idx="8">
                  <c:v>38</c:v>
                </c:pt>
                <c:pt idx="9">
                  <c:v>87</c:v>
                </c:pt>
                <c:pt idx="10">
                  <c:v>35</c:v>
                </c:pt>
              </c:numCache>
            </c:numRef>
          </c:val>
          <c:extLst>
            <c:ext xmlns:c16="http://schemas.microsoft.com/office/drawing/2014/chart" uri="{C3380CC4-5D6E-409C-BE32-E72D297353CC}">
              <c16:uniqueId val="{00000000-BA8B-4416-AFB1-E2E575376AAA}"/>
            </c:ext>
          </c:extLst>
        </c:ser>
        <c:ser>
          <c:idx val="1"/>
          <c:order val="1"/>
          <c:tx>
            <c:strRef>
              <c:f>Chart!$D$2</c:f>
              <c:strCache>
                <c:ptCount val="1"/>
                <c:pt idx="0">
                  <c:v>QLD</c:v>
                </c:pt>
              </c:strCache>
            </c:strRef>
          </c:tx>
          <c:spPr>
            <a:solidFill>
              <a:schemeClr val="accent4"/>
            </a:solidFill>
            <a:ln>
              <a:noFill/>
            </a:ln>
            <a:effectLst/>
          </c:spPr>
          <c:invertIfNegative val="0"/>
          <c:cat>
            <c:strRef>
              <c:f>Chart!$B$3:$B$13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Chart!$D$3:$D$13</c:f>
              <c:numCache>
                <c:formatCode>General</c:formatCode>
                <c:ptCount val="11"/>
                <c:pt idx="1">
                  <c:v>1</c:v>
                </c:pt>
                <c:pt idx="4">
                  <c:v>1</c:v>
                </c:pt>
                <c:pt idx="5">
                  <c:v>3</c:v>
                </c:pt>
                <c:pt idx="6">
                  <c:v>2</c:v>
                </c:pt>
                <c:pt idx="7">
                  <c:v>7</c:v>
                </c:pt>
                <c:pt idx="8">
                  <c:v>131</c:v>
                </c:pt>
                <c:pt idx="9">
                  <c:v>38</c:v>
                </c:pt>
                <c:pt idx="10">
                  <c:v>18</c:v>
                </c:pt>
              </c:numCache>
            </c:numRef>
          </c:val>
          <c:extLst>
            <c:ext xmlns:c16="http://schemas.microsoft.com/office/drawing/2014/chart" uri="{C3380CC4-5D6E-409C-BE32-E72D297353CC}">
              <c16:uniqueId val="{00000001-BA8B-4416-AFB1-E2E575376AAA}"/>
            </c:ext>
          </c:extLst>
        </c:ser>
        <c:ser>
          <c:idx val="2"/>
          <c:order val="2"/>
          <c:tx>
            <c:strRef>
              <c:f>Chart!$E$2</c:f>
              <c:strCache>
                <c:ptCount val="1"/>
                <c:pt idx="0">
                  <c:v>SA</c:v>
                </c:pt>
              </c:strCache>
            </c:strRef>
          </c:tx>
          <c:spPr>
            <a:solidFill>
              <a:schemeClr val="accent5"/>
            </a:solidFill>
            <a:ln>
              <a:noFill/>
            </a:ln>
            <a:effectLst/>
          </c:spPr>
          <c:invertIfNegative val="0"/>
          <c:cat>
            <c:strRef>
              <c:f>Chart!$B$3:$B$13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Chart!$E$3:$E$13</c:f>
              <c:numCache>
                <c:formatCode>General</c:formatCode>
                <c:ptCount val="11"/>
                <c:pt idx="7">
                  <c:v>1</c:v>
                </c:pt>
                <c:pt idx="8">
                  <c:v>4</c:v>
                </c:pt>
                <c:pt idx="10">
                  <c:v>3</c:v>
                </c:pt>
              </c:numCache>
            </c:numRef>
          </c:val>
          <c:extLst>
            <c:ext xmlns:c16="http://schemas.microsoft.com/office/drawing/2014/chart" uri="{C3380CC4-5D6E-409C-BE32-E72D297353CC}">
              <c16:uniqueId val="{00000002-BA8B-4416-AFB1-E2E575376AAA}"/>
            </c:ext>
          </c:extLst>
        </c:ser>
        <c:ser>
          <c:idx val="3"/>
          <c:order val="3"/>
          <c:tx>
            <c:strRef>
              <c:f>Chart!$F$2</c:f>
              <c:strCache>
                <c:ptCount val="1"/>
                <c:pt idx="0">
                  <c:v>WA</c:v>
                </c:pt>
              </c:strCache>
            </c:strRef>
          </c:tx>
          <c:spPr>
            <a:solidFill>
              <a:schemeClr val="accent6"/>
            </a:solidFill>
            <a:ln>
              <a:noFill/>
            </a:ln>
            <a:effectLst/>
          </c:spPr>
          <c:invertIfNegative val="0"/>
          <c:cat>
            <c:strRef>
              <c:f>Chart!$B$3:$B$13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Chart!$F$3:$F$13</c:f>
              <c:numCache>
                <c:formatCode>General</c:formatCode>
                <c:ptCount val="11"/>
                <c:pt idx="4">
                  <c:v>1</c:v>
                </c:pt>
                <c:pt idx="8">
                  <c:v>3</c:v>
                </c:pt>
                <c:pt idx="9">
                  <c:v>1</c:v>
                </c:pt>
                <c:pt idx="10">
                  <c:v>5</c:v>
                </c:pt>
              </c:numCache>
            </c:numRef>
          </c:val>
          <c:extLst>
            <c:ext xmlns:c16="http://schemas.microsoft.com/office/drawing/2014/chart" uri="{C3380CC4-5D6E-409C-BE32-E72D297353CC}">
              <c16:uniqueId val="{00000003-BA8B-4416-AFB1-E2E575376AAA}"/>
            </c:ext>
          </c:extLst>
        </c:ser>
        <c:ser>
          <c:idx val="4"/>
          <c:order val="4"/>
          <c:tx>
            <c:strRef>
              <c:f>Chart!$G$2</c:f>
              <c:strCache>
                <c:ptCount val="1"/>
                <c:pt idx="0">
                  <c:v>TAS</c:v>
                </c:pt>
              </c:strCache>
            </c:strRef>
          </c:tx>
          <c:spPr>
            <a:solidFill>
              <a:schemeClr val="accent1"/>
            </a:solidFill>
            <a:ln>
              <a:noFill/>
            </a:ln>
            <a:effectLst/>
          </c:spPr>
          <c:invertIfNegative val="0"/>
          <c:cat>
            <c:strRef>
              <c:f>Chart!$B$3:$B$13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Chart!$G$3:$G$13</c:f>
              <c:numCache>
                <c:formatCode>General</c:formatCode>
                <c:ptCount val="11"/>
                <c:pt idx="8">
                  <c:v>4</c:v>
                </c:pt>
                <c:pt idx="9">
                  <c:v>2</c:v>
                </c:pt>
                <c:pt idx="10">
                  <c:v>1</c:v>
                </c:pt>
              </c:numCache>
            </c:numRef>
          </c:val>
          <c:extLst>
            <c:ext xmlns:c16="http://schemas.microsoft.com/office/drawing/2014/chart" uri="{C3380CC4-5D6E-409C-BE32-E72D297353CC}">
              <c16:uniqueId val="{00000004-BA8B-4416-AFB1-E2E575376AAA}"/>
            </c:ext>
          </c:extLst>
        </c:ser>
        <c:ser>
          <c:idx val="5"/>
          <c:order val="5"/>
          <c:tx>
            <c:strRef>
              <c:f>Chart!$H$2</c:f>
              <c:strCache>
                <c:ptCount val="1"/>
                <c:pt idx="0">
                  <c:v>ACT Private</c:v>
                </c:pt>
              </c:strCache>
            </c:strRef>
          </c:tx>
          <c:spPr>
            <a:solidFill>
              <a:schemeClr val="bg2"/>
            </a:solidFill>
            <a:ln>
              <a:noFill/>
            </a:ln>
            <a:effectLst/>
          </c:spPr>
          <c:invertIfNegative val="0"/>
          <c:cat>
            <c:strRef>
              <c:f>Chart!$B$3:$B$13</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Chart!$H$3:$H$13</c:f>
              <c:numCache>
                <c:formatCode>General</c:formatCode>
                <c:ptCount val="11"/>
                <c:pt idx="0">
                  <c:v>1</c:v>
                </c:pt>
                <c:pt idx="9">
                  <c:v>1</c:v>
                </c:pt>
                <c:pt idx="10">
                  <c:v>1</c:v>
                </c:pt>
              </c:numCache>
            </c:numRef>
          </c:val>
          <c:extLst>
            <c:ext xmlns:c16="http://schemas.microsoft.com/office/drawing/2014/chart" uri="{C3380CC4-5D6E-409C-BE32-E72D297353CC}">
              <c16:uniqueId val="{00000005-BA8B-4416-AFB1-E2E575376AAA}"/>
            </c:ext>
          </c:extLst>
        </c:ser>
        <c:dLbls>
          <c:showLegendKey val="0"/>
          <c:showVal val="0"/>
          <c:showCatName val="0"/>
          <c:showSerName val="0"/>
          <c:showPercent val="0"/>
          <c:showBubbleSize val="0"/>
        </c:dLbls>
        <c:gapWidth val="150"/>
        <c:overlap val="100"/>
        <c:axId val="193943424"/>
        <c:axId val="193947744"/>
      </c:barChart>
      <c:catAx>
        <c:axId val="19394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3947744"/>
        <c:crosses val="autoZero"/>
        <c:auto val="1"/>
        <c:lblAlgn val="ctr"/>
        <c:lblOffset val="100"/>
        <c:noMultiLvlLbl val="0"/>
      </c:catAx>
      <c:valAx>
        <c:axId val="193947744"/>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claims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43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'Figure 2'!$C$5</c:f>
              <c:strCache>
                <c:ptCount val="1"/>
                <c:pt idx="0">
                  <c:v>2011-12 to 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2'!$D$1:$N$1</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'Figure 2'!$D$5:$N$5</c:f>
              <c:numCache>
                <c:formatCode>General</c:formatCode>
                <c:ptCount val="11"/>
                <c:pt idx="0">
                  <c:v>1</c:v>
                </c:pt>
                <c:pt idx="1">
                  <c:v>2</c:v>
                </c:pt>
                <c:pt idx="2">
                  <c:v>2</c:v>
                </c:pt>
                <c:pt idx="3">
                  <c:v>1</c:v>
                </c:pt>
                <c:pt idx="4">
                  <c:v>8</c:v>
                </c:pt>
                <c:pt idx="5">
                  <c:v>5</c:v>
                </c:pt>
                <c:pt idx="6">
                  <c:v>5</c:v>
                </c:pt>
                <c:pt idx="7">
                  <c:v>5</c:v>
                </c:pt>
                <c:pt idx="8">
                  <c:v>2</c:v>
                </c:pt>
                <c:pt idx="9">
                  <c:v>5</c:v>
                </c:pt>
                <c:pt idx="10">
                  <c:v>5</c:v>
                </c:pt>
              </c:numCache>
            </c:numRef>
          </c:val>
          <c:extLst>
            <c:ext xmlns:c16="http://schemas.microsoft.com/office/drawing/2014/chart" uri="{C3380CC4-5D6E-409C-BE32-E72D297353CC}">
              <c16:uniqueId val="{00000000-9799-4313-BEC9-9B84FC1AF0DF}"/>
            </c:ext>
          </c:extLst>
        </c:ser>
        <c:ser>
          <c:idx val="0"/>
          <c:order val="1"/>
          <c:tx>
            <c:strRef>
              <c:f>'Figure 2'!$C$4</c:f>
              <c:strCache>
                <c:ptCount val="1"/>
                <c:pt idx="0">
                  <c:v>2018-19 to 2020-21p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2'!$D$1:$N$1</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'Figure 2'!$D$4:$N$4</c:f>
              <c:numCache>
                <c:formatCode>General</c:formatCode>
                <c:ptCount val="11"/>
                <c:pt idx="0">
                  <c:v>0</c:v>
                </c:pt>
                <c:pt idx="1">
                  <c:v>14</c:v>
                </c:pt>
                <c:pt idx="2">
                  <c:v>39</c:v>
                </c:pt>
                <c:pt idx="3">
                  <c:v>45</c:v>
                </c:pt>
                <c:pt idx="4">
                  <c:v>37</c:v>
                </c:pt>
                <c:pt idx="5">
                  <c:v>24</c:v>
                </c:pt>
                <c:pt idx="6">
                  <c:v>18</c:v>
                </c:pt>
                <c:pt idx="7">
                  <c:v>12</c:v>
                </c:pt>
                <c:pt idx="8">
                  <c:v>13</c:v>
                </c:pt>
                <c:pt idx="9">
                  <c:v>5</c:v>
                </c:pt>
                <c:pt idx="10">
                  <c:v>6</c:v>
                </c:pt>
              </c:numCache>
            </c:numRef>
          </c:val>
          <c:extLst>
            <c:ext xmlns:c16="http://schemas.microsoft.com/office/drawing/2014/chart" uri="{C3380CC4-5D6E-409C-BE32-E72D297353CC}">
              <c16:uniqueId val="{00000001-9799-4313-BEC9-9B84FC1AF0DF}"/>
            </c:ext>
          </c:extLst>
        </c:ser>
        <c:dLbls>
          <c:dLblPos val="outEnd"/>
          <c:showLegendKey val="0"/>
          <c:showVal val="1"/>
          <c:showCatName val="0"/>
          <c:showSerName val="0"/>
          <c:showPercent val="0"/>
          <c:showBubbleSize val="0"/>
        </c:dLbls>
        <c:gapWidth val="219"/>
        <c:overlap val="-27"/>
        <c:axId val="1123739103"/>
        <c:axId val="1123731903"/>
      </c:barChart>
      <c:catAx>
        <c:axId val="112373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23731903"/>
        <c:crosses val="autoZero"/>
        <c:auto val="1"/>
        <c:lblAlgn val="ctr"/>
        <c:lblOffset val="100"/>
        <c:noMultiLvlLbl val="0"/>
      </c:catAx>
      <c:valAx>
        <c:axId val="1123731903"/>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sz="1000">
                    <a:solidFill>
                      <a:schemeClr val="tx1"/>
                    </a:solidFill>
                    <a:effectLst/>
                  </a:rPr>
                  <a:t>Count of claims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23739103"/>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'Figure 4'!$C$5</c:f>
              <c:strCache>
                <c:ptCount val="1"/>
                <c:pt idx="0">
                  <c:v>2011-12 to 2017-18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4'!$D$1:$G$1</c:f>
              <c:strCache>
                <c:ptCount val="4"/>
                <c:pt idx="0">
                  <c:v>Construction</c:v>
                </c:pt>
                <c:pt idx="1">
                  <c:v>Manufacturing</c:v>
                </c:pt>
                <c:pt idx="2">
                  <c:v>Mining</c:v>
                </c:pt>
                <c:pt idx="3">
                  <c:v>All other Industries</c:v>
                </c:pt>
              </c:strCache>
            </c:strRef>
          </c:cat>
          <c:val>
            <c:numRef>
              <c:f>'Figure 4'!$D$5:$G$5</c:f>
              <c:numCache>
                <c:formatCode>General</c:formatCode>
                <c:ptCount val="4"/>
                <c:pt idx="0">
                  <c:v>8</c:v>
                </c:pt>
                <c:pt idx="1">
                  <c:v>13</c:v>
                </c:pt>
                <c:pt idx="2">
                  <c:v>12</c:v>
                </c:pt>
                <c:pt idx="3">
                  <c:v>7</c:v>
                </c:pt>
              </c:numCache>
            </c:numRef>
          </c:val>
          <c:extLst>
            <c:ext xmlns:c16="http://schemas.microsoft.com/office/drawing/2014/chart" uri="{C3380CC4-5D6E-409C-BE32-E72D297353CC}">
              <c16:uniqueId val="{00000000-5BA7-4987-8EBE-5BDED8D48238}"/>
            </c:ext>
          </c:extLst>
        </c:ser>
        <c:ser>
          <c:idx val="0"/>
          <c:order val="1"/>
          <c:tx>
            <c:strRef>
              <c:f>'Figure 4'!$C$4</c:f>
              <c:strCache>
                <c:ptCount val="1"/>
                <c:pt idx="0">
                  <c:v>2018-19 to 2020-21p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4'!$D$1:$G$1</c:f>
              <c:strCache>
                <c:ptCount val="4"/>
                <c:pt idx="0">
                  <c:v>Construction</c:v>
                </c:pt>
                <c:pt idx="1">
                  <c:v>Manufacturing</c:v>
                </c:pt>
                <c:pt idx="2">
                  <c:v>Mining</c:v>
                </c:pt>
                <c:pt idx="3">
                  <c:v>All other Industries</c:v>
                </c:pt>
              </c:strCache>
            </c:strRef>
          </c:cat>
          <c:val>
            <c:numRef>
              <c:f>'Figure 4'!$D$4:$G$4</c:f>
              <c:numCache>
                <c:formatCode>General</c:formatCode>
                <c:ptCount val="4"/>
                <c:pt idx="0">
                  <c:v>10</c:v>
                </c:pt>
                <c:pt idx="1">
                  <c:v>167</c:v>
                </c:pt>
                <c:pt idx="2">
                  <c:v>18</c:v>
                </c:pt>
                <c:pt idx="3">
                  <c:v>16</c:v>
                </c:pt>
              </c:numCache>
            </c:numRef>
          </c:val>
          <c:extLst>
            <c:ext xmlns:c16="http://schemas.microsoft.com/office/drawing/2014/chart" uri="{C3380CC4-5D6E-409C-BE32-E72D297353CC}">
              <c16:uniqueId val="{00000001-5BA7-4987-8EBE-5BDED8D48238}"/>
            </c:ext>
          </c:extLst>
        </c:ser>
        <c:dLbls>
          <c:dLblPos val="outEnd"/>
          <c:showLegendKey val="0"/>
          <c:showVal val="1"/>
          <c:showCatName val="0"/>
          <c:showSerName val="0"/>
          <c:showPercent val="0"/>
          <c:showBubbleSize val="0"/>
        </c:dLbls>
        <c:gapWidth val="219"/>
        <c:overlap val="-27"/>
        <c:axId val="365394607"/>
        <c:axId val="365396527"/>
      </c:barChart>
      <c:catAx>
        <c:axId val="36539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5396527"/>
        <c:crosses val="autoZero"/>
        <c:auto val="1"/>
        <c:lblAlgn val="ctr"/>
        <c:lblOffset val="100"/>
        <c:noMultiLvlLbl val="0"/>
      </c:catAx>
      <c:valAx>
        <c:axId val="365396527"/>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chemeClr val="tx1"/>
                    </a:solidFill>
                    <a:effectLst/>
                  </a:rPr>
                  <a:t>Count of claims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5394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9620ADD92642389C5D4B3C4F0DC506"/>
        <w:category>
          <w:name w:val="General"/>
          <w:gallery w:val="placeholder"/>
        </w:category>
        <w:types>
          <w:type w:val="bbPlcHdr"/>
        </w:types>
        <w:behaviors>
          <w:behavior w:val="content"/>
        </w:behaviors>
        <w:guid w:val="{0E69F682-416D-4040-98E0-4FB4AA2416D9}"/>
      </w:docPartPr>
      <w:docPartBody>
        <w:p w:rsidR="00E920D8" w:rsidRDefault="00811F5B">
          <w:pPr>
            <w:pStyle w:val="219620ADD92642389C5D4B3C4F0DC506"/>
          </w:pPr>
          <w:r w:rsidRPr="007F2558">
            <w:rPr>
              <w:bCs/>
              <w:color w:val="5B9BD5" w:themeColor="accent1"/>
              <w:sz w:val="16"/>
              <w:szCs w:val="16"/>
            </w:rPr>
            <w:t>[Document Heading]</w:t>
          </w:r>
        </w:p>
      </w:docPartBody>
    </w:docPart>
    <w:docPart>
      <w:docPartPr>
        <w:name w:val="4A1B4207812C47D4A115D0D13B555E30"/>
        <w:category>
          <w:name w:val="General"/>
          <w:gallery w:val="placeholder"/>
        </w:category>
        <w:types>
          <w:type w:val="bbPlcHdr"/>
        </w:types>
        <w:behaviors>
          <w:behavior w:val="content"/>
        </w:behaviors>
        <w:guid w:val="{2488B15D-E625-4A74-9AB9-0E813D3AB356}"/>
      </w:docPartPr>
      <w:docPartBody>
        <w:p w:rsidR="00E920D8" w:rsidRDefault="00811F5B">
          <w:pPr>
            <w:pStyle w:val="4A1B4207812C47D4A115D0D13B555E30"/>
          </w:pPr>
          <w:r w:rsidRPr="005A0DE7">
            <w:rPr>
              <w:color w:val="5B9BD5" w:themeColor="accent1"/>
              <w:sz w:val="16"/>
              <w:szCs w:val="16"/>
            </w:rPr>
            <w:t>[Section Name]</w:t>
          </w:r>
        </w:p>
      </w:docPartBody>
    </w:docPart>
    <w:docPart>
      <w:docPartPr>
        <w:name w:val="262D7B84832141818F1AA765A4123DB4"/>
        <w:category>
          <w:name w:val="General"/>
          <w:gallery w:val="placeholder"/>
        </w:category>
        <w:types>
          <w:type w:val="bbPlcHdr"/>
        </w:types>
        <w:behaviors>
          <w:behavior w:val="content"/>
        </w:behaviors>
        <w:guid w:val="{1230E22C-E927-4DEC-A9E8-7BBA22D04161}"/>
      </w:docPartPr>
      <w:docPartBody>
        <w:p w:rsidR="002274FA" w:rsidRDefault="006F5002" w:rsidP="006F5002">
          <w:pPr>
            <w:pStyle w:val="262D7B84832141818F1AA765A4123DB4"/>
          </w:pPr>
          <w:r w:rsidRPr="005A0DE7">
            <w:rPr>
              <w:color w:val="5B9BD5" w:themeColor="accent1"/>
              <w:sz w:val="16"/>
              <w:szCs w:val="16"/>
            </w:rPr>
            <w:t>[Section Name]</w:t>
          </w:r>
        </w:p>
      </w:docPartBody>
    </w:docPart>
    <w:docPart>
      <w:docPartPr>
        <w:name w:val="4D8443FCC5CE414F85B21F86DB4EF1A2"/>
        <w:category>
          <w:name w:val="General"/>
          <w:gallery w:val="placeholder"/>
        </w:category>
        <w:types>
          <w:type w:val="bbPlcHdr"/>
        </w:types>
        <w:behaviors>
          <w:behavior w:val="content"/>
        </w:behaviors>
        <w:guid w:val="{E9124BE9-0BA8-4B09-B98E-C59C52581A87}"/>
      </w:docPartPr>
      <w:docPartBody>
        <w:p w:rsidR="002274FA" w:rsidRDefault="006F5002" w:rsidP="006F5002">
          <w:pPr>
            <w:pStyle w:val="4D8443FCC5CE414F85B21F86DB4EF1A2"/>
          </w:pPr>
          <w:r w:rsidRPr="005A0DE7">
            <w:rPr>
              <w:bCs/>
              <w:color w:val="5B9BD5" w:themeColor="accent1"/>
              <w:sz w:val="16"/>
              <w:szCs w:val="16"/>
            </w:rPr>
            <w:t>[Document Heading]</w:t>
          </w:r>
        </w:p>
      </w:docPartBody>
    </w:docPart>
    <w:docPart>
      <w:docPartPr>
        <w:name w:val="B99AB1A678684D5490740FC918A6587D"/>
        <w:category>
          <w:name w:val="General"/>
          <w:gallery w:val="placeholder"/>
        </w:category>
        <w:types>
          <w:type w:val="bbPlcHdr"/>
        </w:types>
        <w:behaviors>
          <w:behavior w:val="content"/>
        </w:behaviors>
        <w:guid w:val="{224624BA-2FCC-48D0-98BB-77A6FBAE84F5}"/>
      </w:docPartPr>
      <w:docPartBody>
        <w:p w:rsidR="002274FA" w:rsidRDefault="006F5002" w:rsidP="006F5002">
          <w:pPr>
            <w:pStyle w:val="B99AB1A678684D5490740FC918A6587D"/>
          </w:pPr>
          <w:r w:rsidRPr="005A0DE7">
            <w:rPr>
              <w:bCs/>
              <w:color w:val="5B9BD5"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EYInterstate Light">
    <w:altName w:val="Calibri"/>
    <w:charset w:val="00"/>
    <w:family w:val="auto"/>
    <w:pitch w:val="variable"/>
    <w:sig w:usb0="A00002AF" w:usb1="5000206A"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F5B"/>
    <w:rsid w:val="00021B4B"/>
    <w:rsid w:val="00030507"/>
    <w:rsid w:val="00041B13"/>
    <w:rsid w:val="00041F9B"/>
    <w:rsid w:val="00042FD6"/>
    <w:rsid w:val="000456A1"/>
    <w:rsid w:val="0005548A"/>
    <w:rsid w:val="00061B51"/>
    <w:rsid w:val="000676AD"/>
    <w:rsid w:val="00070349"/>
    <w:rsid w:val="000706F5"/>
    <w:rsid w:val="00072347"/>
    <w:rsid w:val="00086120"/>
    <w:rsid w:val="000A0A45"/>
    <w:rsid w:val="000A3586"/>
    <w:rsid w:val="000B7928"/>
    <w:rsid w:val="000C20F3"/>
    <w:rsid w:val="000D7920"/>
    <w:rsid w:val="000F0EE1"/>
    <w:rsid w:val="00103E13"/>
    <w:rsid w:val="00120BBF"/>
    <w:rsid w:val="0012550F"/>
    <w:rsid w:val="00127140"/>
    <w:rsid w:val="00133FCF"/>
    <w:rsid w:val="00141FB9"/>
    <w:rsid w:val="001444A7"/>
    <w:rsid w:val="00146189"/>
    <w:rsid w:val="00146874"/>
    <w:rsid w:val="001510C4"/>
    <w:rsid w:val="00162C77"/>
    <w:rsid w:val="00166EC0"/>
    <w:rsid w:val="001714A1"/>
    <w:rsid w:val="0018070A"/>
    <w:rsid w:val="001A37BC"/>
    <w:rsid w:val="001B71AF"/>
    <w:rsid w:val="00212A68"/>
    <w:rsid w:val="0022348C"/>
    <w:rsid w:val="002274FA"/>
    <w:rsid w:val="002278D9"/>
    <w:rsid w:val="00263FCA"/>
    <w:rsid w:val="0028120D"/>
    <w:rsid w:val="00285EA9"/>
    <w:rsid w:val="00286340"/>
    <w:rsid w:val="002A5FA2"/>
    <w:rsid w:val="002C28DE"/>
    <w:rsid w:val="002C67DE"/>
    <w:rsid w:val="002D4F3E"/>
    <w:rsid w:val="002E7EEA"/>
    <w:rsid w:val="00301356"/>
    <w:rsid w:val="00304D2C"/>
    <w:rsid w:val="00321BCA"/>
    <w:rsid w:val="00352923"/>
    <w:rsid w:val="00363D6A"/>
    <w:rsid w:val="0037303E"/>
    <w:rsid w:val="00387F92"/>
    <w:rsid w:val="00390020"/>
    <w:rsid w:val="003B073A"/>
    <w:rsid w:val="003B1031"/>
    <w:rsid w:val="003C06D3"/>
    <w:rsid w:val="003C0BC4"/>
    <w:rsid w:val="003C33A5"/>
    <w:rsid w:val="003E7C92"/>
    <w:rsid w:val="003F2DA3"/>
    <w:rsid w:val="003F790B"/>
    <w:rsid w:val="00414B7D"/>
    <w:rsid w:val="00432AA5"/>
    <w:rsid w:val="00443CBE"/>
    <w:rsid w:val="00450D88"/>
    <w:rsid w:val="00452ABD"/>
    <w:rsid w:val="0045336E"/>
    <w:rsid w:val="00465F9F"/>
    <w:rsid w:val="00466BE0"/>
    <w:rsid w:val="004C5D5E"/>
    <w:rsid w:val="004E44F2"/>
    <w:rsid w:val="004F7E32"/>
    <w:rsid w:val="00530823"/>
    <w:rsid w:val="00533DD9"/>
    <w:rsid w:val="00534BD1"/>
    <w:rsid w:val="00534E62"/>
    <w:rsid w:val="00550FAE"/>
    <w:rsid w:val="005547C1"/>
    <w:rsid w:val="00581631"/>
    <w:rsid w:val="005A0C2F"/>
    <w:rsid w:val="005C235E"/>
    <w:rsid w:val="005D6863"/>
    <w:rsid w:val="005E14D4"/>
    <w:rsid w:val="0060017F"/>
    <w:rsid w:val="00601AD3"/>
    <w:rsid w:val="00611000"/>
    <w:rsid w:val="00620759"/>
    <w:rsid w:val="00663E37"/>
    <w:rsid w:val="00665635"/>
    <w:rsid w:val="00675E29"/>
    <w:rsid w:val="006924D9"/>
    <w:rsid w:val="00693307"/>
    <w:rsid w:val="006A11D5"/>
    <w:rsid w:val="006A1BC7"/>
    <w:rsid w:val="006B5ADE"/>
    <w:rsid w:val="006C3BE2"/>
    <w:rsid w:val="006D3527"/>
    <w:rsid w:val="006E5627"/>
    <w:rsid w:val="006F5002"/>
    <w:rsid w:val="006F73EB"/>
    <w:rsid w:val="00714591"/>
    <w:rsid w:val="007259CD"/>
    <w:rsid w:val="00727A89"/>
    <w:rsid w:val="00751A86"/>
    <w:rsid w:val="007754C7"/>
    <w:rsid w:val="00775A20"/>
    <w:rsid w:val="00792B8A"/>
    <w:rsid w:val="00796D5E"/>
    <w:rsid w:val="00801D88"/>
    <w:rsid w:val="0080361E"/>
    <w:rsid w:val="00811F5B"/>
    <w:rsid w:val="0082661A"/>
    <w:rsid w:val="00832E6C"/>
    <w:rsid w:val="00843814"/>
    <w:rsid w:val="00843897"/>
    <w:rsid w:val="00861B17"/>
    <w:rsid w:val="00890F77"/>
    <w:rsid w:val="008B75AF"/>
    <w:rsid w:val="008C29BD"/>
    <w:rsid w:val="008C34CF"/>
    <w:rsid w:val="008E50B9"/>
    <w:rsid w:val="008E58E4"/>
    <w:rsid w:val="008F3FB9"/>
    <w:rsid w:val="00920B75"/>
    <w:rsid w:val="00927BC8"/>
    <w:rsid w:val="0093063B"/>
    <w:rsid w:val="009442DC"/>
    <w:rsid w:val="00945F5D"/>
    <w:rsid w:val="00946D09"/>
    <w:rsid w:val="00961449"/>
    <w:rsid w:val="009765C5"/>
    <w:rsid w:val="009A25F7"/>
    <w:rsid w:val="009A3B6C"/>
    <w:rsid w:val="009C1DD3"/>
    <w:rsid w:val="009E55C6"/>
    <w:rsid w:val="009E7555"/>
    <w:rsid w:val="009F3F9F"/>
    <w:rsid w:val="009F63B2"/>
    <w:rsid w:val="009F66C7"/>
    <w:rsid w:val="009F7CC4"/>
    <w:rsid w:val="00A11FAD"/>
    <w:rsid w:val="00A13030"/>
    <w:rsid w:val="00A27060"/>
    <w:rsid w:val="00A27C52"/>
    <w:rsid w:val="00A35375"/>
    <w:rsid w:val="00A37B5C"/>
    <w:rsid w:val="00A54BC3"/>
    <w:rsid w:val="00A72C0E"/>
    <w:rsid w:val="00AB44E4"/>
    <w:rsid w:val="00AB6316"/>
    <w:rsid w:val="00AE105A"/>
    <w:rsid w:val="00AF00EE"/>
    <w:rsid w:val="00AF041C"/>
    <w:rsid w:val="00B176BF"/>
    <w:rsid w:val="00B241E7"/>
    <w:rsid w:val="00B30513"/>
    <w:rsid w:val="00B31C2E"/>
    <w:rsid w:val="00B33E99"/>
    <w:rsid w:val="00B521C3"/>
    <w:rsid w:val="00B6255D"/>
    <w:rsid w:val="00B64B57"/>
    <w:rsid w:val="00B922C2"/>
    <w:rsid w:val="00BB424A"/>
    <w:rsid w:val="00BC7E61"/>
    <w:rsid w:val="00BD5E5E"/>
    <w:rsid w:val="00BD6E12"/>
    <w:rsid w:val="00BF1EE0"/>
    <w:rsid w:val="00BF5FBF"/>
    <w:rsid w:val="00C0460C"/>
    <w:rsid w:val="00C11741"/>
    <w:rsid w:val="00C277A3"/>
    <w:rsid w:val="00C45EB0"/>
    <w:rsid w:val="00C90344"/>
    <w:rsid w:val="00CB2A13"/>
    <w:rsid w:val="00CC3000"/>
    <w:rsid w:val="00CE6C15"/>
    <w:rsid w:val="00CF00EB"/>
    <w:rsid w:val="00CF35F9"/>
    <w:rsid w:val="00CF6699"/>
    <w:rsid w:val="00D0349F"/>
    <w:rsid w:val="00D26BD4"/>
    <w:rsid w:val="00D30632"/>
    <w:rsid w:val="00D31403"/>
    <w:rsid w:val="00D442ED"/>
    <w:rsid w:val="00D53D6C"/>
    <w:rsid w:val="00D5486C"/>
    <w:rsid w:val="00D54E9D"/>
    <w:rsid w:val="00D600DC"/>
    <w:rsid w:val="00D6212E"/>
    <w:rsid w:val="00D67275"/>
    <w:rsid w:val="00D77A54"/>
    <w:rsid w:val="00D9678C"/>
    <w:rsid w:val="00DA0EB2"/>
    <w:rsid w:val="00DB66F6"/>
    <w:rsid w:val="00DC0719"/>
    <w:rsid w:val="00DD0BCB"/>
    <w:rsid w:val="00DD2F5B"/>
    <w:rsid w:val="00DD417F"/>
    <w:rsid w:val="00DE12D9"/>
    <w:rsid w:val="00DE4221"/>
    <w:rsid w:val="00DF231D"/>
    <w:rsid w:val="00E1159B"/>
    <w:rsid w:val="00E158FE"/>
    <w:rsid w:val="00E21794"/>
    <w:rsid w:val="00E27772"/>
    <w:rsid w:val="00E514E8"/>
    <w:rsid w:val="00E66295"/>
    <w:rsid w:val="00E80971"/>
    <w:rsid w:val="00E9121E"/>
    <w:rsid w:val="00E920D8"/>
    <w:rsid w:val="00E943F8"/>
    <w:rsid w:val="00EA5B9C"/>
    <w:rsid w:val="00ED5D1E"/>
    <w:rsid w:val="00ED6A3F"/>
    <w:rsid w:val="00ED7CA4"/>
    <w:rsid w:val="00EF5857"/>
    <w:rsid w:val="00F072A9"/>
    <w:rsid w:val="00F44967"/>
    <w:rsid w:val="00F45C95"/>
    <w:rsid w:val="00F5140B"/>
    <w:rsid w:val="00F64137"/>
    <w:rsid w:val="00F7121B"/>
    <w:rsid w:val="00F7450F"/>
    <w:rsid w:val="00F822A8"/>
    <w:rsid w:val="00FA76E6"/>
    <w:rsid w:val="00FB4C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9620ADD92642389C5D4B3C4F0DC506">
    <w:name w:val="219620ADD92642389C5D4B3C4F0DC506"/>
  </w:style>
  <w:style w:type="paragraph" w:customStyle="1" w:styleId="4A1B4207812C47D4A115D0D13B555E30">
    <w:name w:val="4A1B4207812C47D4A115D0D13B555E30"/>
  </w:style>
  <w:style w:type="character" w:styleId="PlaceholderText">
    <w:name w:val="Placeholder Text"/>
    <w:basedOn w:val="DefaultParagraphFont"/>
    <w:uiPriority w:val="99"/>
    <w:semiHidden/>
    <w:rsid w:val="00030507"/>
    <w:rPr>
      <w:color w:val="808080"/>
    </w:rPr>
  </w:style>
  <w:style w:type="paragraph" w:customStyle="1" w:styleId="262D7B84832141818F1AA765A4123DB4">
    <w:name w:val="262D7B84832141818F1AA765A4123DB4"/>
    <w:rsid w:val="006F5002"/>
    <w:rPr>
      <w:kern w:val="2"/>
      <w14:ligatures w14:val="standardContextual"/>
    </w:rPr>
  </w:style>
  <w:style w:type="paragraph" w:customStyle="1" w:styleId="4D8443FCC5CE414F85B21F86DB4EF1A2">
    <w:name w:val="4D8443FCC5CE414F85B21F86DB4EF1A2"/>
    <w:rsid w:val="006F5002"/>
    <w:rPr>
      <w:kern w:val="2"/>
      <w14:ligatures w14:val="standardContextual"/>
    </w:rPr>
  </w:style>
  <w:style w:type="paragraph" w:customStyle="1" w:styleId="B99AB1A678684D5490740FC918A6587D">
    <w:name w:val="B99AB1A678684D5490740FC918A6587D"/>
    <w:rsid w:val="006F500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PMC Corp Word">
      <a:dk1>
        <a:srgbClr val="000000"/>
      </a:dk1>
      <a:lt1>
        <a:sysClr val="window" lastClr="FFFFFF"/>
      </a:lt1>
      <a:dk2>
        <a:srgbClr val="014463"/>
      </a:dk2>
      <a:lt2>
        <a:srgbClr val="D1D1D1"/>
      </a:lt2>
      <a:accent1>
        <a:srgbClr val="25303B"/>
      </a:accent1>
      <a:accent2>
        <a:srgbClr val="014463"/>
      </a:accent2>
      <a:accent3>
        <a:srgbClr val="0A6446"/>
      </a:accent3>
      <a:accent4>
        <a:srgbClr val="C85A17"/>
      </a:accent4>
      <a:accent5>
        <a:srgbClr val="F7A600"/>
      </a:accent5>
      <a:accent6>
        <a:srgbClr val="A91117"/>
      </a:accent6>
      <a:hlink>
        <a:srgbClr val="015F8B"/>
      </a:hlink>
      <a:folHlink>
        <a:srgbClr val="015F8B"/>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WA">
    <a:dk1>
      <a:sysClr val="windowText" lastClr="000000"/>
    </a:dk1>
    <a:lt1>
      <a:sysClr val="window" lastClr="FFFFFF"/>
    </a:lt1>
    <a:dk2>
      <a:srgbClr val="303138"/>
    </a:dk2>
    <a:lt2>
      <a:srgbClr val="E7E6E6"/>
    </a:lt2>
    <a:accent1>
      <a:srgbClr val="E71D31"/>
    </a:accent1>
    <a:accent2>
      <a:srgbClr val="DBDBDB"/>
    </a:accent2>
    <a:accent3>
      <a:srgbClr val="2E849E"/>
    </a:accent3>
    <a:accent4>
      <a:srgbClr val="BA4A56"/>
    </a:accent4>
    <a:accent5>
      <a:srgbClr val="73C194"/>
    </a:accent5>
    <a:accent6>
      <a:srgbClr val="A68FD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WA">
    <a:dk1>
      <a:sysClr val="windowText" lastClr="000000"/>
    </a:dk1>
    <a:lt1>
      <a:sysClr val="window" lastClr="FFFFFF"/>
    </a:lt1>
    <a:dk2>
      <a:srgbClr val="303138"/>
    </a:dk2>
    <a:lt2>
      <a:srgbClr val="E7E6E6"/>
    </a:lt2>
    <a:accent1>
      <a:srgbClr val="E71D31"/>
    </a:accent1>
    <a:accent2>
      <a:srgbClr val="DBDBDB"/>
    </a:accent2>
    <a:accent3>
      <a:srgbClr val="2E849E"/>
    </a:accent3>
    <a:accent4>
      <a:srgbClr val="BA4A56"/>
    </a:accent4>
    <a:accent5>
      <a:srgbClr val="73C194"/>
    </a:accent5>
    <a:accent6>
      <a:srgbClr val="A68FD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WA">
    <a:dk1>
      <a:sysClr val="windowText" lastClr="000000"/>
    </a:dk1>
    <a:lt1>
      <a:sysClr val="window" lastClr="FFFFFF"/>
    </a:lt1>
    <a:dk2>
      <a:srgbClr val="303138"/>
    </a:dk2>
    <a:lt2>
      <a:srgbClr val="E7E6E6"/>
    </a:lt2>
    <a:accent1>
      <a:srgbClr val="E71D31"/>
    </a:accent1>
    <a:accent2>
      <a:srgbClr val="DBDBDB"/>
    </a:accent2>
    <a:accent3>
      <a:srgbClr val="2E849E"/>
    </a:accent3>
    <a:accent4>
      <a:srgbClr val="BA4A56"/>
    </a:accent4>
    <a:accent5>
      <a:srgbClr val="73C194"/>
    </a:accent5>
    <a:accent6>
      <a:srgbClr val="A68FD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Name/>
  <Classification>Choose Classifiction</Classification>
  <DLM/>
  <SectionName/>
  <DH/>
  <Byline/>
</root>
</file>

<file path=customXml/item2.xml><?xml version="1.0" encoding="utf-8"?>
<b:Sources xmlns:b="http://schemas.openxmlformats.org/officeDocument/2006/bibliography" xmlns="http://schemas.openxmlformats.org/officeDocument/2006/bibliography" SelectedStyle="\CHICAGO.XSL" StyleName="Chicago" Version="16">
  <b:Source>
    <b:Tag>Oph19</b:Tag>
    <b:SourceType>JournalArticle</b:SourceType>
    <b:Guid>{33FA2E17-1ABD-4611-8CE9-616B29FA8618}</b:Guid>
    <b:Title>Functional, inflammatory and interstitial impairment due to artificial stone dust ultrafine particles exposure</b:Title>
    <b:JournalName>Occupational and Environmental Medicine</b:JournalName>
    <b:Year>2019</b:Year>
    <b:Pages>875-879</b:Pages>
    <b:Author>
      <b:Author>
        <b:NameList>
          <b:Person>
            <b:Last>Ophir</b:Last>
            <b:First>N</b:First>
          </b:Person>
          <b:Person>
            <b:Last>Bar Shai</b:Last>
            <b:First>A</b:First>
          </b:Person>
          <b:Person>
            <b:Last>Korenstein</b:Last>
            <b:First>R</b:First>
          </b:Person>
          <b:Person>
            <b:Last>Kramer</b:Last>
            <b:First>M</b:First>
          </b:Person>
          <b:Person>
            <b:Last>Fireman</b:Last>
            <b:First>E</b:First>
          </b:Person>
        </b:NameList>
      </b:Author>
    </b:Author>
    <b:RefOrder>10</b:RefOrder>
  </b:Source>
  <b:Source>
    <b:Tag>Dep23</b:Tag>
    <b:SourceType>Book</b:SourceType>
    <b:Guid>{0111AA9B-8E68-4538-A843-06FED0D2F2A1}</b:Guid>
    <b:Title>Regulatory impact analysis guide for minister's meetings and national standard setting bodies June 2023</b:Title>
    <b:Year>2023</b:Year>
    <b:Author>
      <b:Author>
        <b:Corporate>Department of Prime Minister and Cabinet</b:Corporate>
      </b:Author>
    </b:Author>
    <b:City>Canberra</b:City>
    <b:RefOrder>5</b:RefOrder>
  </b:Source>
  <b:Source>
    <b:Tag>Hea14</b:Tag>
    <b:SourceType>Misc</b:SourceType>
    <b:Guid>{53AB57C3-27AC-4BD9-B7FF-05A89946A795}</b:Guid>
    <b:Author>
      <b:Author>
        <b:NameList>
          <b:Person>
            <b:Last>Healy</b:Last>
            <b:First>C.</b:First>
          </b:Person>
        </b:NameList>
      </b:Author>
    </b:Author>
    <b:Title>Respirable Crystalline Silica Exposures among Stoneworkers involved in Stone Restoration Work. PhD thesis</b:Title>
    <b:Year>2014</b:Year>
    <b:Publisher>National University of Ireland</b:Publisher>
    <b:RefOrder>19</b:RefOrder>
  </b:Source>
  <b:Source>
    <b:Tag>Aus23</b:Tag>
    <b:SourceType>InternetSite</b:SourceType>
    <b:Guid>{9A86A98C-0646-4EB0-B689-2C7DF27AF93F}</b:Guid>
    <b:Year>2023</b:Year>
    <b:Author>
      <b:Author>
        <b:Corporate>Australian Institute of Occupational Hygienists</b:Corporate>
      </b:Author>
    </b:Author>
    <b:InternetSiteTitle>LinkedIn</b:InternetSiteTitle>
    <b:URL>https://www.linkedin.com/posts/aioh-inc_aioh-silicosis-engineeredstone-activity-7074912632348041216-WNq_?utm_source=share&amp;utm_medium=member_ios</b:URL>
    <b:YearAccessed>2023</b:YearAccessed>
    <b:MonthAccessed>July</b:MonthAccessed>
    <b:DayAccessed>25</b:DayAccessed>
    <b:RefOrder>25</b:RefOrder>
  </b:Source>
  <b:Source>
    <b:Tag>Off23</b:Tag>
    <b:SourceType>DocumentFromInternetSite</b:SourceType>
    <b:Guid>{EFD34E0B-7752-4E06-A542-D817BC75260E}</b:Guid>
    <b:Title>Value of a Statisical Life</b:Title>
    <b:Year>2023</b:Year>
    <b:Author>
      <b:Author>
        <b:Corporate>Office of Impact Analysis</b:Corporate>
      </b:Author>
    </b:Author>
    <b:Month>July</b:Month>
    <b:URL>https://oia.pmc.gov.au/resources/guidance-assessing-impacts/value-statistical-life</b:URL>
    <b:RefOrder>30</b:RefOrder>
  </b:Source>
  <b:Source>
    <b:Tag>ABC23</b:Tag>
    <b:SourceType>InternetSite</b:SourceType>
    <b:Guid>{378706EB-1458-43B0-98BA-7FD44B453284}</b:Guid>
    <b:Title>ABC News</b:Title>
    <b:Year>2023</b:Year>
    <b:Month>July</b:Month>
    <b:Day>31</b:Day>
    <b:URL>https://www.abc.net.au/news/2023-07-31/silicosis-tradies-ban-on-engineered-stone/102665316</b:URL>
    <b:RefOrder>31</b:RefOrder>
  </b:Source>
  <b:Source>
    <b:Tag>The23</b:Tag>
    <b:SourceType>InternetSite</b:SourceType>
    <b:Guid>{E440FC34-D377-4A16-BF4E-9948F2AA61EC}</b:Guid>
    <b:Year>2023</b:Year>
    <b:Month>July</b:Month>
    <b:Day>11</b:Day>
    <b:URL>https://www.dailytelegraph.com.au/news/coal-miners-urged-to-get-screened-as-black-lung-cases-rise/news-story/8c96e51276cfc2abe693aae0b17914a6?btr=2a35b0e945449a4408dc92344d35eac1</b:URL>
    <b:Title>The Daily Telegraph</b:Title>
    <b:RefOrder>29</b:RefOrder>
  </b:Source>
  <b:Source>
    <b:Tag>Aus22</b:Tag>
    <b:SourceType>DocumentFromInternetSite</b:SourceType>
    <b:Guid>{9DFC9A8B-DD9C-42BA-B53F-9579D729FE53}</b:Guid>
    <b:Title>All of governments’ response to the National Dust Disease Taskforce Final Report</b:Title>
    <b:InternetSiteTitle>Department of Health and Aged Care</b:InternetSiteTitle>
    <b:Year>2022</b:Year>
    <b:Month>April</b:Month>
    <b:URL>https://www.health.gov.au/resources/publications/all-of-governments-response-to-the-national-dust-disease-taskforce-final-report</b:URL>
    <b:Author>
      <b:Author>
        <b:Corporate>Australian Government</b:Corporate>
      </b:Author>
    </b:Author>
    <b:RefOrder>4</b:RefOrder>
  </b:Source>
  <b:Source>
    <b:Tag>NSW22</b:Tag>
    <b:SourceType>DocumentFromInternetSite</b:SourceType>
    <b:Guid>{B6CCC82E-A839-4A87-89E2-CFE90C6C3E07}</b:Guid>
    <b:Author>
      <b:Author>
        <b:Corporate>NSW Parliament</b:Corporate>
      </b:Author>
    </b:Author>
    <b:Title>2021 Review of the Dust Disease Scheme</b:Title>
    <b:InternetSiteTitle>Legislative council Standing Committee on Law and Justice</b:InternetSiteTitle>
    <b:Year>2022</b:Year>
    <b:Month>June</b:Month>
    <b:URL>https://www.parliament.nsw.gov.au/tp/files/82197/Report%20No.%2080%20-%202021%20Review%20of%20the%20Dust%20Diseases%20Scheme.pdf</b:URL>
    <b:RefOrder>21</b:RefOrder>
  </b:Source>
  <b:Source>
    <b:Tag>Wor23</b:Tag>
    <b:SourceType>DocumentFromInternetSite</b:SourceType>
    <b:Guid>{BD503973-5D14-44A8-A0D2-F795785085B1}</b:Guid>
    <b:Title>Work Health and Safety Ministers' Meeting – 28 February 2023 - Communique</b:Title>
    <b:InternetSiteTitle>Australian Government Department of Employment and Workplace Relations</b:InternetSiteTitle>
    <b:Year>2023</b:Year>
    <b:Month>February</b:Month>
    <b:Day>28</b:Day>
    <b:URL>https://www.dewr.gov.au/work-health-and-safety/resources/work-health-and-safety-ministers-meeting-28-february-2023</b:URL>
    <b:Author>
      <b:Author>
        <b:Corporate>DEWR</b:Corporate>
      </b:Author>
    </b:Author>
    <b:RefOrder>1</b:RefOrder>
  </b:Source>
  <b:Source>
    <b:Tag>Car22</b:Tag>
    <b:SourceType>Report</b:SourceType>
    <b:Guid>{1346C9AB-5B77-4EF9-8DD7-5FC7D9AC1951}</b:Guid>
    <b:Title>The future burden of lung cancer and silicosis from occupational silica exposure in Australia: A preliminary analysis</b:Title>
    <b:Year>2022</b:Year>
    <b:Author>
      <b:Author>
        <b:NameList>
          <b:Person>
            <b:Last>Carey</b:Last>
            <b:First>R</b:First>
          </b:Person>
          <b:Person>
            <b:Last>Fritschi</b:Last>
            <b:First>L</b:First>
          </b:Person>
        </b:NameList>
      </b:Author>
    </b:Author>
    <b:Publisher>Curtin University</b:Publisher>
    <b:City>Perth</b:City>
    <b:RefOrder>28</b:RefOrder>
  </b:Source>
  <b:Source>
    <b:Tag>Car20</b:Tag>
    <b:SourceType>JournalArticle</b:SourceType>
    <b:Guid>{04892D92-5BA4-4404-B247-C0BB42FBFE97}</b:Guid>
    <b:Title>Characterization of Silica Exposure during Manufacturing of Artificial Stone Countertops</b:Title>
    <b:JournalName>International Journal of Environmental Research and Public Health</b:JournalName>
    <b:Year>2020</b:Year>
    <b:Pages>4489</b:Pages>
    <b:Author>
      <b:Author>
        <b:NameList>
          <b:Person>
            <b:Last>Carrieri</b:Last>
            <b:First>M</b:First>
          </b:Person>
          <b:Person>
            <b:Last>Guzzardo</b:Last>
            <b:First>C</b:First>
          </b:Person>
          <b:Person>
            <b:Last>Farcas</b:Last>
            <b:First>D</b:First>
          </b:Person>
          <b:Person>
            <b:Last>Cena</b:Last>
            <b:First>L</b:First>
          </b:Person>
        </b:NameList>
      </b:Author>
    </b:Author>
    <b:RefOrder>7</b:RefOrder>
  </b:Source>
  <b:Source>
    <b:Tag>Cole23</b:Tag>
    <b:SourceType>JournalArticle</b:SourceType>
    <b:Guid>{46590765-C636-4456-A0CC-F081442DBF61}</b:Guid>
    <b:Author>
      <b:Author>
        <b:NameList>
          <b:Person>
            <b:Last>Cole</b:Last>
            <b:Middle>F</b:Middle>
            <b:First>K</b:First>
          </b:Person>
          <b:Person>
            <b:Last>Yates</b:Last>
            <b:Middle>J</b:Middle>
            <b:First>D</b:First>
          </b:Person>
          <b:Person>
            <b:Last>Davidson</b:Last>
            <b:First>M</b:First>
          </b:Person>
        </b:NameList>
      </b:Author>
    </b:Author>
    <b:Title>Are we underestimating the prevalence of silicosis in the stone benchtop industry in New South Wales, Australia?  Response to Hoy et al</b:Title>
    <b:JournalName>Occupational and Environmental Medicine</b:JournalName>
    <b:Year>2023</b:Year>
    <b:Pages>Rapid Response published 28 June 2023 doi: 10.1136/oemed-2023-108892</b:Pages>
    <b:RefOrder>27</b:RefOrder>
  </b:Source>
  <b:Source>
    <b:Tag>Fazio2023</b:Tag>
    <b:SourceType>JournalArticle</b:SourceType>
    <b:Guid>{4BDB360A-4AC5-4893-88F5-4FF5DBD991A8}</b:Guid>
    <b:Author>
      <b:Author>
        <b:NameList>
          <b:Person>
            <b:Last>Fazio</b:Last>
            <b:Middle>C</b:Middle>
            <b:First>J</b:First>
          </b:Person>
          <b:Person>
            <b:Last>Gandhi</b:Last>
            <b:Middle>A</b:Middle>
            <b:First>S</b:First>
          </b:Person>
          <b:Person>
            <b:Last>Flattery</b:Last>
            <b:First>J</b:First>
          </b:Person>
        </b:NameList>
      </b:Author>
    </b:Author>
    <b:Title>Silicosis Among Immigrant Engineered Stone (Quartz) Countertop Fabrication Workers in California</b:Title>
    <b:JournalName>JAMA Internal Medicine</b:JournalName>
    <b:Year>2023</b:Year>
    <b:Pages>Published online July 24, 2023. doi:10.1001/jamainternmed.2023.3295</b:Pages>
    <b:RefOrder>23</b:RefOrder>
  </b:Source>
  <b:Source>
    <b:Tag>Fra15</b:Tag>
    <b:SourceType>JournalArticle</b:SourceType>
    <b:Guid>{34887B66-B080-4B53-B457-23F4AD3F00B8}</b:Guid>
    <b:Author>
      <b:Author>
        <b:NameList>
          <b:Person>
            <b:Last>Frankel</b:Last>
            <b:First>A</b:First>
          </b:Person>
          <b:Person>
            <b:Last>Blake</b:Last>
            <b:First>L</b:First>
          </b:Person>
          <b:Person>
            <b:Last>Yates</b:Last>
            <b:First>D</b:First>
          </b:Person>
        </b:NameList>
      </b:Author>
    </b:Author>
    <b:Title>Complicated silicosis in an Australian worker from cutting engineered stone countertops: An embarrassing first for Australia</b:Title>
    <b:JournalName>European Respiratory Journal</b:JournalName>
    <b:Year>2015</b:Year>
    <b:Pages>46 (suppl 59) PA1144</b:Pages>
    <b:RefOrder>2</b:RefOrder>
  </b:Source>
  <b:Source>
    <b:Tag>Ghi10</b:Tag>
    <b:SourceType>JournalArticle</b:SourceType>
    <b:Guid>{E23763BD-062E-4974-A6B0-AC78FAC25345}</b:Guid>
    <b:Author>
      <b:Author>
        <b:NameList>
          <b:Person>
            <b:Last>Ghiazza</b:Last>
            <b:First>M</b:First>
          </b:Person>
          <b:Person>
            <b:Last>Polimeni</b:Last>
            <b:First>M</b:First>
          </b:Person>
          <b:Person>
            <b:Last>Fenoglio</b:Last>
            <b:First>I</b:First>
          </b:Person>
          <b:Person>
            <b:Last>Gazzano</b:Last>
            <b:First>E</b:First>
          </b:Person>
          <b:Person>
            <b:Last>Ghigo</b:Last>
            <b:First>D</b:First>
          </b:Person>
          <b:Person>
            <b:Last>Fubini</b:Last>
            <b:First>B</b:First>
          </b:Person>
        </b:NameList>
      </b:Author>
    </b:Author>
    <b:Title>Does vitreous silica contradict the toxicity of the crystalline silica paradigm?</b:Title>
    <b:JournalName>Chem. Res. Toxicol.</b:JournalName>
    <b:Year>2010</b:Year>
    <b:Pages>23, 620-629, doi:10.1021/tx900369x</b:Pages>
    <b:RefOrder>14</b:RefOrder>
  </b:Source>
  <b:Source>
    <b:Tag>Gry22</b:Tag>
    <b:SourceType>JournalArticle</b:SourceType>
    <b:Guid>{3625ABB8-895D-4987-BF52-AF38B43D98E1}</b:Guid>
    <b:Author>
      <b:Author>
        <b:NameList>
          <b:Person>
            <b:Last>Grytting</b:Last>
            <b:Middle>S</b:Middle>
            <b:First>V</b:First>
          </b:Person>
          <b:Person>
            <b:Last>Refsnes</b:Last>
            <b:First>M</b:First>
          </b:Person>
          <b:Person>
            <b:Last>Erichsen</b:Last>
            <b:First>E</b:First>
          </b:Person>
          <b:Person>
            <b:Last>Rohr</b:Last>
            <b:Middle>S</b:Middle>
            <b:First>T</b:First>
          </b:Person>
          <b:Person>
            <b:Last>Snilsberg</b:Last>
            <b:First>B</b:First>
          </b:Person>
          <b:Person>
            <b:Last>White</b:Last>
            <b:Middle>A</b:Middle>
            <b:First>R</b:First>
          </b:Person>
          <b:Person>
            <b:Last>Ovrevik</b:Last>
            <b:First>J</b:First>
          </b:Person>
        </b:NameList>
      </b:Author>
    </b:Author>
    <b:Title>The importance of mineralogical composition for the cytotoxic and pro-inflammatory effects of mineral dust</b:Title>
    <b:JournalName>Part. Fibre. Toxicol.</b:JournalName>
    <b:Year>2022</b:Year>
    <b:Pages>19(1), 46, doi: 10.1186/s12989-022-00486-7</b:Pages>
    <b:RefOrder>17</b:RefOrder>
  </b:Source>
  <b:Source>
    <b:Tag>Hal22</b:Tag>
    <b:SourceType>JournalArticle</b:SourceType>
    <b:Guid>{051263B6-4375-4385-BAF4-51B75C8FC613}</b:Guid>
    <b:Author>
      <b:Author>
        <b:NameList>
          <b:Person>
            <b:Last>Hall</b:Last>
            <b:First>S</b:First>
          </b:Person>
          <b:Person>
            <b:Last>Stacey</b:Last>
            <b:First>P</b:First>
          </b:Person>
          <b:Person>
            <b:Last>Pengelly</b:Last>
            <b:First>I</b:First>
          </b:Person>
          <b:Person>
            <b:Last>Stagg</b:Last>
            <b:First>S</b:First>
          </b:Person>
          <b:Person>
            <b:Last>Saunders</b:Last>
            <b:First>J</b:First>
          </b:Person>
          <b:Person>
            <b:Last>Hambling</b:Last>
            <b:First>S</b:First>
          </b:Person>
        </b:NameList>
      </b:Author>
    </b:Author>
    <b:Title>Characterizing and Comparing Emissions of Dust, Respirable Crystalline Silica, and Volatile Organic Compounds from Natural and Artificial Stones.</b:Title>
    <b:JournalName>Ann. Work Expo. Health</b:JournalName>
    <b:Year>2022</b:Year>
    <b:Pages>66, 139-149, doi:10.1093/annweh/wxab055</b:Pages>
    <b:RefOrder>8</b:RefOrder>
  </b:Source>
  <b:Source>
    <b:Tag>Hoy23</b:Tag>
    <b:SourceType>JournalArticle</b:SourceType>
    <b:Guid>{F90F2A01-DBAD-4F31-A04C-3EA329C4832A}</b:Guid>
    <b:Author>
      <b:Author>
        <b:NameList>
          <b:Person>
            <b:Last>Hoy</b:Last>
            <b:Middle>F</b:Middle>
            <b:First>R</b:First>
          </b:Person>
          <b:Person>
            <b:Last>Dimitriadis</b:Last>
            <b:First>C</b:First>
          </b:Person>
          <b:Person>
            <b:Last>Abramson</b:Last>
            <b:First>M</b:First>
          </b:Person>
          <b:Person>
            <b:Last>et al</b:Last>
          </b:Person>
        </b:NameList>
      </b:Author>
    </b:Author>
    <b:Title>Prevalence and risk factors for silicosis among a large cohort of stone benchtop industry workers</b:Title>
    <b:Year>2023</b:Year>
    <b:JournalName>Occupational and Environmental Medicine</b:JournalName>
    <b:Pages>Published Online First: 16 June 2023. doi: 10.1136/oemed-2023-108892</b:Pages>
    <b:RefOrder>3</b:RefOrder>
  </b:Source>
  <b:Source>
    <b:Tag>Har19</b:Tag>
    <b:SourceType>JournalArticle</b:SourceType>
    <b:Guid>{D031D6EE-2269-4474-A951-80AB7C8336F1}</b:Guid>
    <b:Author>
      <b:Author>
        <b:NameList>
          <b:Person>
            <b:Last>Hargreaves</b:Last>
            <b:First>S</b:First>
          </b:Person>
          <b:Person>
            <b:Last>Rustage</b:Last>
            <b:First>K</b:First>
          </b:Person>
          <b:Person>
            <b:Last>Nellums </b:Last>
            <b:Middle>B</b:Middle>
            <b:First>L</b:First>
          </b:Person>
          <b:Person>
            <b:Last>et al.</b:Last>
          </b:Person>
        </b:NameList>
      </b:Author>
    </b:Author>
    <b:Title>Occupational health outcomes among international migrant workers: a systematic review and meta-analysis.</b:Title>
    <b:JournalName>Lancet Glob Health</b:JournalName>
    <b:Year>2019</b:Year>
    <b:Pages>7:e872–82</b:Pages>
    <b:RefOrder>22</b:RefOrder>
  </b:Source>
  <b:Source>
    <b:Tag>Hua2023</b:Tag>
    <b:SourceType>JournalArticle</b:SourceType>
    <b:Guid>{F7E2B235-829D-4D57-AFED-BEC3DEA56921}</b:Guid>
    <b:Author>
      <b:Author>
        <b:NameList>
          <b:Person>
            <b:Last>Hua</b:Last>
            <b:Middle>T</b:Middle>
            <b:First>J</b:First>
          </b:Person>
          <b:Person>
            <b:Last>Rose</b:Last>
            <b:Middle>S</b:Middle>
            <b:First>C</b:First>
          </b:Person>
          <b:Person>
            <b:Last>Redlich</b:Last>
            <b:Middle>A</b:Middle>
            <b:First>C</b:First>
          </b:Person>
        </b:NameList>
      </b:Author>
    </b:Author>
    <b:Title>Engineered Stone–Associated Silicosis - A Lethal Variant of an Ancient Disease</b:Title>
    <b:JournalName>JAMA Internal Medicine</b:JournalName>
    <b:Year>2023</b:Year>
    <b:Pages>Published online July 24, 2023. doi:10.1001/jamainternmed.2023.3260</b:Pages>
    <b:RefOrder>24</b:RefOrder>
  </b:Source>
  <b:Source>
    <b:Tag>Leó21</b:Tag>
    <b:SourceType>JournalArticle</b:SourceType>
    <b:Guid>{85CF83AB-4323-455A-86BE-4F0518D5D528}</b:Guid>
    <b:Author>
      <b:Author>
        <b:NameList>
          <b:Person>
            <b:Last>León-Jiménez</b:Last>
            <b:First>A</b:First>
          </b:Person>
          <b:Person>
            <b:Last>Mánuel</b:Last>
            <b:Middle>M</b:Middle>
            <b:First>J</b:First>
          </b:Person>
          <b:Person>
            <b:Last>García-Rojo</b:Last>
            <b:First>M</b:First>
          </b:Person>
          <b:Person>
            <b:Last>et al</b:Last>
          </b:Person>
        </b:NameList>
      </b:Author>
    </b:Author>
    <b:Title>Compositional and structural analysis of engineered stones and inorganic particles in silicotic nodules of exposed workers.</b:Title>
    <b:JournalName>Part. Fibre Toxicol.</b:JournalName>
    <b:Year>2021</b:Year>
    <b:Pages>18, 41-41, doi:10.1186/s12989-021-00434-x</b:Pages>
    <b:RefOrder>12</b:RefOrder>
  </b:Source>
  <b:Source>
    <b:Tag>Mar22</b:Tag>
    <b:SourceType>JournalArticle</b:SourceType>
    <b:Guid>{9F700D8E-9738-4361-AE82-A4F81D5D3F22}</b:Guid>
    <b:Author>
      <b:Author>
        <b:NameList>
          <b:Person>
            <b:Last>Marques Da Silva</b:Last>
            <b:First>V</b:First>
          </b:Person>
          <b:Person>
            <b:Last>Benjdir</b:Last>
            <b:First>M</b:First>
          </b:Person>
          <b:Person>
            <b:Last>Montagne</b:Last>
            <b:First>P</b:First>
          </b:Person>
          <b:Person>
            <b:Last>et al</b:Last>
          </b:Person>
        </b:NameList>
      </b:Author>
    </b:Author>
    <b:Title>Pulmonary Toxicity of Silica Linked to Its Micro- or Nanometric Particle Size and Crystal Structure: A Review.</b:Title>
    <b:JournalName>Nanomaterials (Basel)</b:JournalName>
    <b:Year>2022</b:Year>
    <b:Pages>13;12(14):2392. doi: 10.3390/nano12142392</b:Pages>
    <b:RefOrder>16</b:RefOrder>
  </b:Source>
  <b:Source>
    <b:Tag>Pav16</b:Tag>
    <b:SourceType>JournalArticle</b:SourceType>
    <b:Guid>{8272029F-5B3A-491E-A0F6-D3DD7EEBA72D}</b:Guid>
    <b:Title>Editor's Highlight: Abrasion of Artificial Stones as a New Cause of an Ancient Disease. Physicochemical Features and Cellular Responses.</b:Title>
    <b:Year>2016</b:Year>
    <b:Author>
      <b:Author>
        <b:NameList>
          <b:Person>
            <b:Last>Pavan</b:Last>
            <b:First>C</b:First>
          </b:Person>
          <b:Person>
            <b:Last>Polimeni</b:Last>
            <b:First>M</b:First>
          </b:Person>
          <b:Person>
            <b:Last>Tomatis</b:Last>
            <b:First>M</b:First>
          </b:Person>
          <b:Person>
            <b:Last>et al</b:Last>
          </b:Person>
        </b:NameList>
      </b:Author>
    </b:Author>
    <b:JournalName>Toxicol. Sci.</b:JournalName>
    <b:Pages>53, 4-17, doi:10.1093/toxsci/kfw101</b:Pages>
    <b:RefOrder>11</b:RefOrder>
  </b:Source>
  <b:Source>
    <b:Tag>Pav20</b:Tag>
    <b:SourceType>JournalArticle</b:SourceType>
    <b:Guid>{6A1D3852-A139-4CEE-AD13-705455092311}</b:Guid>
    <b:Author>
      <b:Author>
        <b:NameList>
          <b:Person>
            <b:Last>Pavan</b:Last>
            <b:First>C</b:First>
          </b:Person>
          <b:Person>
            <b:Last>Santalucia</b:Last>
            <b:First>R</b:First>
          </b:Person>
          <b:Person>
            <b:Last>Leinardi</b:Last>
            <b:First>R</b:First>
          </b:Person>
          <b:Person>
            <b:Last>Fubini</b:Last>
            <b:First>B</b:First>
          </b:Person>
        </b:NameList>
      </b:Author>
    </b:Author>
    <b:Title>Nearly free surface silanols are the critical molecular moieties that initiate the toxicity of silica particles</b:Title>
    <b:JournalName>PNAS.</b:JournalName>
    <b:Year>2020</b:Year>
    <b:Pages>117, 27836, doi:10.1073/pnas.2008006117</b:Pages>
    <b:RefOrder>32</b:RefOrder>
  </b:Source>
  <b:Source>
    <b:Tag>Por02</b:Tag>
    <b:SourceType>JournalArticle</b:SourceType>
    <b:Guid>{7A138687-6D5A-459D-978F-12094103FC75}</b:Guid>
    <b:Author>
      <b:Author>
        <b:NameList>
          <b:Person>
            <b:Last>Porter</b:Last>
            <b:Middle>W</b:Middle>
            <b:First>D</b:First>
          </b:Person>
          <b:Person>
            <b:Last>Barger</b:Last>
            <b:First>M</b:First>
          </b:Person>
          <b:Person>
            <b:Last>Robinson</b:Last>
            <b:Middle>A</b:Middle>
            <b:First>V</b:First>
          </b:Person>
          <b:Person>
            <b:Last>et al</b:Last>
          </b:Person>
        </b:NameList>
      </b:Author>
    </b:Author>
    <b:Title>Comparison of low doses of aged and freshly fractured silica on pulmonary inflammation and damage in the rat.</b:Title>
    <b:JournalName>Toxicol.</b:JournalName>
    <b:Year>2002</b:Year>
    <b:Pages>175, 63-71, doi:10.1016/S0300-483X(02)00061-6</b:Pages>
    <b:RefOrder>15</b:RefOrder>
  </b:Source>
  <b:Source>
    <b:Tag>QiC</b:Tag>
    <b:SourceType>DocumentFromInternetSite</b:SourceType>
    <b:Guid>{B7EA78C8-809A-460C-B709-CEC291D1D8EA}</b:Guid>
    <b:Author>
      <b:Author>
        <b:NameList>
          <b:Person>
            <b:Last>Qi</b:Last>
            <b:First>C</b:First>
          </b:Person>
          <b:Person>
            <b:Last>Echt</b:Last>
            <b:First>A</b:First>
          </b:Person>
        </b:NameList>
      </b:Author>
    </b:Author>
    <b:Title>In-depth survey report: engineering control of silica dust from stone countertop fabrication and installation. n. Report No. EPHB 375-11a,</b:Title>
    <b:Publisher>National Institute for Occupational Safety and Health, Cincinnati, USA. </b:Publisher>
    <b:InternetSiteTitle>National Institute for Occupational Safety and Health, Cincinnati, USA.</b:InternetSiteTitle>
    <b:URL>https://www.cdc.gov/niosh/surveyreports/pdfs/375-11a.pdf</b:URL>
    <b:Year>2016</b:Year>
    <b:YearAccessed>2023</b:YearAccessed>
    <b:MonthAccessed>May</b:MonthAccessed>
    <b:DayAccessed>5</b:DayAccessed>
    <b:RefOrder>18</b:RefOrder>
  </b:Source>
  <b:Source>
    <b:Tag>Ram23</b:Tag>
    <b:SourceType>JournalArticle</b:SourceType>
    <b:Guid>{7DEF8924-6C16-490B-AA44-5CF98132DF95}</b:Guid>
    <b:Author>
      <b:Author>
        <b:NameList>
          <b:Person>
            <b:Last>Ramkissoon</b:Last>
            <b:First>C</b:First>
          </b:Person>
          <b:Person>
            <b:Last>Gaskin</b:Last>
            <b:First>S</b:First>
          </b:Person>
          <b:Person>
            <b:Last>Hall</b:Last>
            <b:First>T</b:First>
          </b:Person>
          <b:Person>
            <b:Last>et al</b:Last>
          </b:Person>
        </b:NameList>
      </b:Author>
    </b:Author>
    <b:Title>Engineered Stone Fabrication Work Releases Volatile Organic Compounds Classified as Lung Irritants</b:Title>
    <b:JournalName>Ann. Work Expo. Health.</b:JournalName>
    <b:Year>2023</b:Year>
    <b:Pages>67, 288-293, doi:10.1093/annweh/wxac068</b:Pages>
    <b:RefOrder>13</b:RefOrder>
  </b:Source>
  <b:Source>
    <b:Tag>Cha22</b:Tag>
    <b:SourceType>JournalArticle</b:SourceType>
    <b:Guid>{FD07F911-ADE7-4EDA-AE34-F5C492AC1461}</b:Guid>
    <b:Title>Characterisation of dust emissions from machined engineered stones to understand the hazard for accelerated silicosis</b:Title>
    <b:Year>2022</b:Year>
    <b:Author>
      <b:Author>
        <b:NameList>
          <b:Person>
            <b:Last>Ramkissoon, C</b:Last>
          </b:Person>
          <b:Person>
            <b:Last>Gaskin, S</b:Last>
          </b:Person>
          <b:Person>
            <b:Last>Thredgold, L</b:Last>
          </b:Person>
          <b:Person>
            <b:Last>Hall, T</b:Last>
          </b:Person>
          <b:Person>
            <b:Last>Rowett, S</b:Last>
          </b:Person>
          <b:Person>
            <b:Last>Gun, R</b:Last>
          </b:Person>
        </b:NameList>
      </b:Author>
    </b:Author>
    <b:JournalName>Scientific Reports</b:JournalName>
    <b:Pages>4351-1-4351-10</b:Pages>
    <b:RefOrder>6</b:RefOrder>
  </b:Source>
  <b:Source>
    <b:Tag>Tho23</b:Tag>
    <b:SourceType>JournalArticle</b:SourceType>
    <b:Guid>{83E47098-EC02-4507-A94F-9D7A1A1219B7}</b:Guid>
    <b:Author>
      <b:Author>
        <b:NameList>
          <b:Person>
            <b:Last>Thompson</b:Last>
            <b:First>D</b:First>
          </b:Person>
          <b:Person>
            <b:Last>Qi</b:Last>
            <b:First>C</b:First>
          </b:Person>
        </b:NameList>
      </b:Author>
    </b:Author>
    <b:Title>Characterization of the emissions and crystalline silica content of airborne dust generated from grinding natural and engineered stones.</b:Title>
    <b:JournalName>Ann. Work Expo. Health.</b:JournalName>
    <b:Year>2023</b:Year>
    <b:Pages>67, 266-280, doi:10.1093/annweh/wxac070</b:Pages>
    <b:RefOrder>9</b:RefOrder>
  </b:Source>
  <b:Source>
    <b:Tag>Van14</b:Tag>
    <b:SourceType>JournalArticle</b:SourceType>
    <b:Guid>{93E9ED4B-1227-4730-8EA9-35A5591C7134}</b:Guid>
    <b:Title>Quartz and respirable dust in the Dutch construction industry: A baseline exposure assessment as part of a multidimensional intervention approach</b:Title>
    <b:Year>2014</b:Year>
    <b:Author>
      <b:Author>
        <b:NameList>
          <b:Person>
            <b:Last>van Deurssen </b:Last>
            <b:First>E</b:First>
          </b:Person>
          <b:Person>
            <b:Last>Pronk</b:Last>
            <b:First>A</b:First>
          </b:Person>
          <b:Person>
            <b:Last>Spaan</b:Last>
            <b:First>S</b:First>
          </b:Person>
          <b:Person>
            <b:Last>et al</b:Last>
          </b:Person>
        </b:NameList>
      </b:Author>
    </b:Author>
    <b:JournalName>Ann. Occup. Hyg.</b:JournalName>
    <b:Pages>58, 724-738, doi:10.1093/annhyg/meu021</b:Pages>
    <b:RefOrder>20</b:RefOrder>
  </b:Source>
  <b:Source>
    <b:Tag>WuN20</b:Tag>
    <b:SourceType>JournalArticle</b:SourceType>
    <b:Guid>{4A8FDFBF-47B1-464F-BF43-0566D7EFFE23}</b:Guid>
    <b:Author>
      <b:Author>
        <b:NameList>
          <b:Person>
            <b:Last>Wu</b:Last>
            <b:First>N</b:First>
          </b:Person>
          <b:Person>
            <b:Last>Xue</b:Last>
            <b:First>C</b:First>
          </b:Person>
          <b:Person>
            <b:Last>Yu</b:Last>
            <b:First>S</b:First>
          </b:Person>
        </b:NameList>
      </b:Author>
    </b:Author>
    <b:Title>Artificial stone-associated silicosis in China: a prospective comparison with natural stone-associated silicosis.</b:Title>
    <b:JournalName>Respirology</b:JournalName>
    <b:Year>2020</b:Year>
    <b:Pages>25:518–24</b:Pages>
    <b:RefOrder>26</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DOCID-322795542-42549</_dlc_DocId>
    <_dlc_DocIdUrl xmlns="4195ad5f-cdf2-4c4a-8d9b-b7944a108e98">
      <Url>https://pmc01.sharepoint.com/sites/CRMOBPR/_layouts/15/DocIdRedir.aspx?ID=DOCID-322795542-42549</Url>
      <Description>DOCID-322795542-42549</Description>
    </_dlc_DocIdUrl>
  </documentManagement>
</p:properti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306E0384-8F63-465E-8820-3F544B05429E}">
  <ds:schemaRefs>
    <ds:schemaRef ds:uri="http://schemas.openxmlformats.org/officeDocument/2006/bibliography"/>
  </ds:schemaRefs>
</ds:datastoreItem>
</file>

<file path=customXml/itemProps3.xml><?xml version="1.0" encoding="utf-8"?>
<ds:datastoreItem xmlns:ds="http://schemas.openxmlformats.org/officeDocument/2006/customXml" ds:itemID="{2ED3A9A8-C5F3-4190-B8AB-182AFB2FAEE0}"/>
</file>

<file path=customXml/itemProps4.xml><?xml version="1.0" encoding="utf-8"?>
<ds:datastoreItem xmlns:ds="http://schemas.openxmlformats.org/officeDocument/2006/customXml" ds:itemID="{885663FB-C83C-49CA-8F14-461315B10BB7}"/>
</file>

<file path=customXml/itemProps5.xml><?xml version="1.0" encoding="utf-8"?>
<ds:datastoreItem xmlns:ds="http://schemas.openxmlformats.org/officeDocument/2006/customXml" ds:itemID="{19CFFA2E-FE99-48C5-BB72-0064CC307C79}"/>
</file>

<file path=customXml/itemProps6.xml><?xml version="1.0" encoding="utf-8"?>
<ds:datastoreItem xmlns:ds="http://schemas.openxmlformats.org/officeDocument/2006/customXml" ds:itemID="{0397CB50-89FC-4C15-BA4E-0F049AF46764}"/>
</file>

<file path=docProps/app.xml><?xml version="1.0" encoding="utf-8"?>
<Properties xmlns="http://schemas.openxmlformats.org/officeDocument/2006/extended-properties" xmlns:vt="http://schemas.openxmlformats.org/officeDocument/2006/docPropsVTypes">
  <Template>Normal</Template>
  <TotalTime>0</TotalTime>
  <Pages>107</Pages>
  <Words>37262</Words>
  <Characters>212398</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249162</CharactersWithSpaces>
  <SharedDoc>false</SharedDoc>
  <HLinks>
    <vt:vector size="378" baseType="variant">
      <vt:variant>
        <vt:i4>7995424</vt:i4>
      </vt:variant>
      <vt:variant>
        <vt:i4>369</vt:i4>
      </vt:variant>
      <vt:variant>
        <vt:i4>0</vt:i4>
      </vt:variant>
      <vt:variant>
        <vt:i4>5</vt:i4>
      </vt:variant>
      <vt:variant>
        <vt:lpwstr>https://www.safeworkaustralia.gov.au/doc/decision-regulation-impact-statement-managing-risks-respirable-crystalline-silica-work</vt:lpwstr>
      </vt:variant>
      <vt:variant>
        <vt:lpwstr/>
      </vt:variant>
      <vt:variant>
        <vt:i4>1900601</vt:i4>
      </vt:variant>
      <vt:variant>
        <vt:i4>362</vt:i4>
      </vt:variant>
      <vt:variant>
        <vt:i4>0</vt:i4>
      </vt:variant>
      <vt:variant>
        <vt:i4>5</vt:i4>
      </vt:variant>
      <vt:variant>
        <vt:lpwstr/>
      </vt:variant>
      <vt:variant>
        <vt:lpwstr>_Toc142991367</vt:lpwstr>
      </vt:variant>
      <vt:variant>
        <vt:i4>1900601</vt:i4>
      </vt:variant>
      <vt:variant>
        <vt:i4>356</vt:i4>
      </vt:variant>
      <vt:variant>
        <vt:i4>0</vt:i4>
      </vt:variant>
      <vt:variant>
        <vt:i4>5</vt:i4>
      </vt:variant>
      <vt:variant>
        <vt:lpwstr/>
      </vt:variant>
      <vt:variant>
        <vt:lpwstr>_Toc142991366</vt:lpwstr>
      </vt:variant>
      <vt:variant>
        <vt:i4>1900601</vt:i4>
      </vt:variant>
      <vt:variant>
        <vt:i4>350</vt:i4>
      </vt:variant>
      <vt:variant>
        <vt:i4>0</vt:i4>
      </vt:variant>
      <vt:variant>
        <vt:i4>5</vt:i4>
      </vt:variant>
      <vt:variant>
        <vt:lpwstr/>
      </vt:variant>
      <vt:variant>
        <vt:lpwstr>_Toc142991365</vt:lpwstr>
      </vt:variant>
      <vt:variant>
        <vt:i4>1900601</vt:i4>
      </vt:variant>
      <vt:variant>
        <vt:i4>344</vt:i4>
      </vt:variant>
      <vt:variant>
        <vt:i4>0</vt:i4>
      </vt:variant>
      <vt:variant>
        <vt:i4>5</vt:i4>
      </vt:variant>
      <vt:variant>
        <vt:lpwstr/>
      </vt:variant>
      <vt:variant>
        <vt:lpwstr>_Toc142991364</vt:lpwstr>
      </vt:variant>
      <vt:variant>
        <vt:i4>1900601</vt:i4>
      </vt:variant>
      <vt:variant>
        <vt:i4>338</vt:i4>
      </vt:variant>
      <vt:variant>
        <vt:i4>0</vt:i4>
      </vt:variant>
      <vt:variant>
        <vt:i4>5</vt:i4>
      </vt:variant>
      <vt:variant>
        <vt:lpwstr/>
      </vt:variant>
      <vt:variant>
        <vt:lpwstr>_Toc142991363</vt:lpwstr>
      </vt:variant>
      <vt:variant>
        <vt:i4>1900601</vt:i4>
      </vt:variant>
      <vt:variant>
        <vt:i4>332</vt:i4>
      </vt:variant>
      <vt:variant>
        <vt:i4>0</vt:i4>
      </vt:variant>
      <vt:variant>
        <vt:i4>5</vt:i4>
      </vt:variant>
      <vt:variant>
        <vt:lpwstr/>
      </vt:variant>
      <vt:variant>
        <vt:lpwstr>_Toc142991362</vt:lpwstr>
      </vt:variant>
      <vt:variant>
        <vt:i4>1900601</vt:i4>
      </vt:variant>
      <vt:variant>
        <vt:i4>326</vt:i4>
      </vt:variant>
      <vt:variant>
        <vt:i4>0</vt:i4>
      </vt:variant>
      <vt:variant>
        <vt:i4>5</vt:i4>
      </vt:variant>
      <vt:variant>
        <vt:lpwstr/>
      </vt:variant>
      <vt:variant>
        <vt:lpwstr>_Toc142991361</vt:lpwstr>
      </vt:variant>
      <vt:variant>
        <vt:i4>1900601</vt:i4>
      </vt:variant>
      <vt:variant>
        <vt:i4>320</vt:i4>
      </vt:variant>
      <vt:variant>
        <vt:i4>0</vt:i4>
      </vt:variant>
      <vt:variant>
        <vt:i4>5</vt:i4>
      </vt:variant>
      <vt:variant>
        <vt:lpwstr/>
      </vt:variant>
      <vt:variant>
        <vt:lpwstr>_Toc142991360</vt:lpwstr>
      </vt:variant>
      <vt:variant>
        <vt:i4>1966137</vt:i4>
      </vt:variant>
      <vt:variant>
        <vt:i4>314</vt:i4>
      </vt:variant>
      <vt:variant>
        <vt:i4>0</vt:i4>
      </vt:variant>
      <vt:variant>
        <vt:i4>5</vt:i4>
      </vt:variant>
      <vt:variant>
        <vt:lpwstr/>
      </vt:variant>
      <vt:variant>
        <vt:lpwstr>_Toc142991359</vt:lpwstr>
      </vt:variant>
      <vt:variant>
        <vt:i4>1966137</vt:i4>
      </vt:variant>
      <vt:variant>
        <vt:i4>308</vt:i4>
      </vt:variant>
      <vt:variant>
        <vt:i4>0</vt:i4>
      </vt:variant>
      <vt:variant>
        <vt:i4>5</vt:i4>
      </vt:variant>
      <vt:variant>
        <vt:lpwstr/>
      </vt:variant>
      <vt:variant>
        <vt:lpwstr>_Toc142991358</vt:lpwstr>
      </vt:variant>
      <vt:variant>
        <vt:i4>1966137</vt:i4>
      </vt:variant>
      <vt:variant>
        <vt:i4>302</vt:i4>
      </vt:variant>
      <vt:variant>
        <vt:i4>0</vt:i4>
      </vt:variant>
      <vt:variant>
        <vt:i4>5</vt:i4>
      </vt:variant>
      <vt:variant>
        <vt:lpwstr/>
      </vt:variant>
      <vt:variant>
        <vt:lpwstr>_Toc142991357</vt:lpwstr>
      </vt:variant>
      <vt:variant>
        <vt:i4>1966137</vt:i4>
      </vt:variant>
      <vt:variant>
        <vt:i4>296</vt:i4>
      </vt:variant>
      <vt:variant>
        <vt:i4>0</vt:i4>
      </vt:variant>
      <vt:variant>
        <vt:i4>5</vt:i4>
      </vt:variant>
      <vt:variant>
        <vt:lpwstr/>
      </vt:variant>
      <vt:variant>
        <vt:lpwstr>_Toc142991356</vt:lpwstr>
      </vt:variant>
      <vt:variant>
        <vt:i4>1966137</vt:i4>
      </vt:variant>
      <vt:variant>
        <vt:i4>290</vt:i4>
      </vt:variant>
      <vt:variant>
        <vt:i4>0</vt:i4>
      </vt:variant>
      <vt:variant>
        <vt:i4>5</vt:i4>
      </vt:variant>
      <vt:variant>
        <vt:lpwstr/>
      </vt:variant>
      <vt:variant>
        <vt:lpwstr>_Toc142991355</vt:lpwstr>
      </vt:variant>
      <vt:variant>
        <vt:i4>1966137</vt:i4>
      </vt:variant>
      <vt:variant>
        <vt:i4>284</vt:i4>
      </vt:variant>
      <vt:variant>
        <vt:i4>0</vt:i4>
      </vt:variant>
      <vt:variant>
        <vt:i4>5</vt:i4>
      </vt:variant>
      <vt:variant>
        <vt:lpwstr/>
      </vt:variant>
      <vt:variant>
        <vt:lpwstr>_Toc142991354</vt:lpwstr>
      </vt:variant>
      <vt:variant>
        <vt:i4>1966137</vt:i4>
      </vt:variant>
      <vt:variant>
        <vt:i4>278</vt:i4>
      </vt:variant>
      <vt:variant>
        <vt:i4>0</vt:i4>
      </vt:variant>
      <vt:variant>
        <vt:i4>5</vt:i4>
      </vt:variant>
      <vt:variant>
        <vt:lpwstr/>
      </vt:variant>
      <vt:variant>
        <vt:lpwstr>_Toc142991353</vt:lpwstr>
      </vt:variant>
      <vt:variant>
        <vt:i4>1966137</vt:i4>
      </vt:variant>
      <vt:variant>
        <vt:i4>272</vt:i4>
      </vt:variant>
      <vt:variant>
        <vt:i4>0</vt:i4>
      </vt:variant>
      <vt:variant>
        <vt:i4>5</vt:i4>
      </vt:variant>
      <vt:variant>
        <vt:lpwstr/>
      </vt:variant>
      <vt:variant>
        <vt:lpwstr>_Toc142991352</vt:lpwstr>
      </vt:variant>
      <vt:variant>
        <vt:i4>1966137</vt:i4>
      </vt:variant>
      <vt:variant>
        <vt:i4>266</vt:i4>
      </vt:variant>
      <vt:variant>
        <vt:i4>0</vt:i4>
      </vt:variant>
      <vt:variant>
        <vt:i4>5</vt:i4>
      </vt:variant>
      <vt:variant>
        <vt:lpwstr/>
      </vt:variant>
      <vt:variant>
        <vt:lpwstr>_Toc142991351</vt:lpwstr>
      </vt:variant>
      <vt:variant>
        <vt:i4>1966137</vt:i4>
      </vt:variant>
      <vt:variant>
        <vt:i4>260</vt:i4>
      </vt:variant>
      <vt:variant>
        <vt:i4>0</vt:i4>
      </vt:variant>
      <vt:variant>
        <vt:i4>5</vt:i4>
      </vt:variant>
      <vt:variant>
        <vt:lpwstr/>
      </vt:variant>
      <vt:variant>
        <vt:lpwstr>_Toc142991350</vt:lpwstr>
      </vt:variant>
      <vt:variant>
        <vt:i4>2031673</vt:i4>
      </vt:variant>
      <vt:variant>
        <vt:i4>254</vt:i4>
      </vt:variant>
      <vt:variant>
        <vt:i4>0</vt:i4>
      </vt:variant>
      <vt:variant>
        <vt:i4>5</vt:i4>
      </vt:variant>
      <vt:variant>
        <vt:lpwstr/>
      </vt:variant>
      <vt:variant>
        <vt:lpwstr>_Toc142991349</vt:lpwstr>
      </vt:variant>
      <vt:variant>
        <vt:i4>2031673</vt:i4>
      </vt:variant>
      <vt:variant>
        <vt:i4>248</vt:i4>
      </vt:variant>
      <vt:variant>
        <vt:i4>0</vt:i4>
      </vt:variant>
      <vt:variant>
        <vt:i4>5</vt:i4>
      </vt:variant>
      <vt:variant>
        <vt:lpwstr/>
      </vt:variant>
      <vt:variant>
        <vt:lpwstr>_Toc142991348</vt:lpwstr>
      </vt:variant>
      <vt:variant>
        <vt:i4>2031673</vt:i4>
      </vt:variant>
      <vt:variant>
        <vt:i4>242</vt:i4>
      </vt:variant>
      <vt:variant>
        <vt:i4>0</vt:i4>
      </vt:variant>
      <vt:variant>
        <vt:i4>5</vt:i4>
      </vt:variant>
      <vt:variant>
        <vt:lpwstr/>
      </vt:variant>
      <vt:variant>
        <vt:lpwstr>_Toc142991347</vt:lpwstr>
      </vt:variant>
      <vt:variant>
        <vt:i4>2031673</vt:i4>
      </vt:variant>
      <vt:variant>
        <vt:i4>236</vt:i4>
      </vt:variant>
      <vt:variant>
        <vt:i4>0</vt:i4>
      </vt:variant>
      <vt:variant>
        <vt:i4>5</vt:i4>
      </vt:variant>
      <vt:variant>
        <vt:lpwstr/>
      </vt:variant>
      <vt:variant>
        <vt:lpwstr>_Toc142991346</vt:lpwstr>
      </vt:variant>
      <vt:variant>
        <vt:i4>2031673</vt:i4>
      </vt:variant>
      <vt:variant>
        <vt:i4>230</vt:i4>
      </vt:variant>
      <vt:variant>
        <vt:i4>0</vt:i4>
      </vt:variant>
      <vt:variant>
        <vt:i4>5</vt:i4>
      </vt:variant>
      <vt:variant>
        <vt:lpwstr/>
      </vt:variant>
      <vt:variant>
        <vt:lpwstr>_Toc142991345</vt:lpwstr>
      </vt:variant>
      <vt:variant>
        <vt:i4>2031673</vt:i4>
      </vt:variant>
      <vt:variant>
        <vt:i4>224</vt:i4>
      </vt:variant>
      <vt:variant>
        <vt:i4>0</vt:i4>
      </vt:variant>
      <vt:variant>
        <vt:i4>5</vt:i4>
      </vt:variant>
      <vt:variant>
        <vt:lpwstr/>
      </vt:variant>
      <vt:variant>
        <vt:lpwstr>_Toc142991344</vt:lpwstr>
      </vt:variant>
      <vt:variant>
        <vt:i4>2031673</vt:i4>
      </vt:variant>
      <vt:variant>
        <vt:i4>218</vt:i4>
      </vt:variant>
      <vt:variant>
        <vt:i4>0</vt:i4>
      </vt:variant>
      <vt:variant>
        <vt:i4>5</vt:i4>
      </vt:variant>
      <vt:variant>
        <vt:lpwstr/>
      </vt:variant>
      <vt:variant>
        <vt:lpwstr>_Toc142991343</vt:lpwstr>
      </vt:variant>
      <vt:variant>
        <vt:i4>2031673</vt:i4>
      </vt:variant>
      <vt:variant>
        <vt:i4>212</vt:i4>
      </vt:variant>
      <vt:variant>
        <vt:i4>0</vt:i4>
      </vt:variant>
      <vt:variant>
        <vt:i4>5</vt:i4>
      </vt:variant>
      <vt:variant>
        <vt:lpwstr/>
      </vt:variant>
      <vt:variant>
        <vt:lpwstr>_Toc142991342</vt:lpwstr>
      </vt:variant>
      <vt:variant>
        <vt:i4>2031673</vt:i4>
      </vt:variant>
      <vt:variant>
        <vt:i4>206</vt:i4>
      </vt:variant>
      <vt:variant>
        <vt:i4>0</vt:i4>
      </vt:variant>
      <vt:variant>
        <vt:i4>5</vt:i4>
      </vt:variant>
      <vt:variant>
        <vt:lpwstr/>
      </vt:variant>
      <vt:variant>
        <vt:lpwstr>_Toc142991341</vt:lpwstr>
      </vt:variant>
      <vt:variant>
        <vt:i4>2031673</vt:i4>
      </vt:variant>
      <vt:variant>
        <vt:i4>200</vt:i4>
      </vt:variant>
      <vt:variant>
        <vt:i4>0</vt:i4>
      </vt:variant>
      <vt:variant>
        <vt:i4>5</vt:i4>
      </vt:variant>
      <vt:variant>
        <vt:lpwstr/>
      </vt:variant>
      <vt:variant>
        <vt:lpwstr>_Toc142991340</vt:lpwstr>
      </vt:variant>
      <vt:variant>
        <vt:i4>1572921</vt:i4>
      </vt:variant>
      <vt:variant>
        <vt:i4>194</vt:i4>
      </vt:variant>
      <vt:variant>
        <vt:i4>0</vt:i4>
      </vt:variant>
      <vt:variant>
        <vt:i4>5</vt:i4>
      </vt:variant>
      <vt:variant>
        <vt:lpwstr/>
      </vt:variant>
      <vt:variant>
        <vt:lpwstr>_Toc142991339</vt:lpwstr>
      </vt:variant>
      <vt:variant>
        <vt:i4>1572921</vt:i4>
      </vt:variant>
      <vt:variant>
        <vt:i4>188</vt:i4>
      </vt:variant>
      <vt:variant>
        <vt:i4>0</vt:i4>
      </vt:variant>
      <vt:variant>
        <vt:i4>5</vt:i4>
      </vt:variant>
      <vt:variant>
        <vt:lpwstr/>
      </vt:variant>
      <vt:variant>
        <vt:lpwstr>_Toc142991338</vt:lpwstr>
      </vt:variant>
      <vt:variant>
        <vt:i4>1572921</vt:i4>
      </vt:variant>
      <vt:variant>
        <vt:i4>182</vt:i4>
      </vt:variant>
      <vt:variant>
        <vt:i4>0</vt:i4>
      </vt:variant>
      <vt:variant>
        <vt:i4>5</vt:i4>
      </vt:variant>
      <vt:variant>
        <vt:lpwstr/>
      </vt:variant>
      <vt:variant>
        <vt:lpwstr>_Toc142991337</vt:lpwstr>
      </vt:variant>
      <vt:variant>
        <vt:i4>1572921</vt:i4>
      </vt:variant>
      <vt:variant>
        <vt:i4>176</vt:i4>
      </vt:variant>
      <vt:variant>
        <vt:i4>0</vt:i4>
      </vt:variant>
      <vt:variant>
        <vt:i4>5</vt:i4>
      </vt:variant>
      <vt:variant>
        <vt:lpwstr/>
      </vt:variant>
      <vt:variant>
        <vt:lpwstr>_Toc142991336</vt:lpwstr>
      </vt:variant>
      <vt:variant>
        <vt:i4>1572921</vt:i4>
      </vt:variant>
      <vt:variant>
        <vt:i4>170</vt:i4>
      </vt:variant>
      <vt:variant>
        <vt:i4>0</vt:i4>
      </vt:variant>
      <vt:variant>
        <vt:i4>5</vt:i4>
      </vt:variant>
      <vt:variant>
        <vt:lpwstr/>
      </vt:variant>
      <vt:variant>
        <vt:lpwstr>_Toc142991335</vt:lpwstr>
      </vt:variant>
      <vt:variant>
        <vt:i4>1572921</vt:i4>
      </vt:variant>
      <vt:variant>
        <vt:i4>164</vt:i4>
      </vt:variant>
      <vt:variant>
        <vt:i4>0</vt:i4>
      </vt:variant>
      <vt:variant>
        <vt:i4>5</vt:i4>
      </vt:variant>
      <vt:variant>
        <vt:lpwstr/>
      </vt:variant>
      <vt:variant>
        <vt:lpwstr>_Toc142991334</vt:lpwstr>
      </vt:variant>
      <vt:variant>
        <vt:i4>1572921</vt:i4>
      </vt:variant>
      <vt:variant>
        <vt:i4>158</vt:i4>
      </vt:variant>
      <vt:variant>
        <vt:i4>0</vt:i4>
      </vt:variant>
      <vt:variant>
        <vt:i4>5</vt:i4>
      </vt:variant>
      <vt:variant>
        <vt:lpwstr/>
      </vt:variant>
      <vt:variant>
        <vt:lpwstr>_Toc142991333</vt:lpwstr>
      </vt:variant>
      <vt:variant>
        <vt:i4>1572921</vt:i4>
      </vt:variant>
      <vt:variant>
        <vt:i4>152</vt:i4>
      </vt:variant>
      <vt:variant>
        <vt:i4>0</vt:i4>
      </vt:variant>
      <vt:variant>
        <vt:i4>5</vt:i4>
      </vt:variant>
      <vt:variant>
        <vt:lpwstr/>
      </vt:variant>
      <vt:variant>
        <vt:lpwstr>_Toc142991332</vt:lpwstr>
      </vt:variant>
      <vt:variant>
        <vt:i4>1572921</vt:i4>
      </vt:variant>
      <vt:variant>
        <vt:i4>146</vt:i4>
      </vt:variant>
      <vt:variant>
        <vt:i4>0</vt:i4>
      </vt:variant>
      <vt:variant>
        <vt:i4>5</vt:i4>
      </vt:variant>
      <vt:variant>
        <vt:lpwstr/>
      </vt:variant>
      <vt:variant>
        <vt:lpwstr>_Toc142991331</vt:lpwstr>
      </vt:variant>
      <vt:variant>
        <vt:i4>1572921</vt:i4>
      </vt:variant>
      <vt:variant>
        <vt:i4>140</vt:i4>
      </vt:variant>
      <vt:variant>
        <vt:i4>0</vt:i4>
      </vt:variant>
      <vt:variant>
        <vt:i4>5</vt:i4>
      </vt:variant>
      <vt:variant>
        <vt:lpwstr/>
      </vt:variant>
      <vt:variant>
        <vt:lpwstr>_Toc142991330</vt:lpwstr>
      </vt:variant>
      <vt:variant>
        <vt:i4>1638457</vt:i4>
      </vt:variant>
      <vt:variant>
        <vt:i4>134</vt:i4>
      </vt:variant>
      <vt:variant>
        <vt:i4>0</vt:i4>
      </vt:variant>
      <vt:variant>
        <vt:i4>5</vt:i4>
      </vt:variant>
      <vt:variant>
        <vt:lpwstr/>
      </vt:variant>
      <vt:variant>
        <vt:lpwstr>_Toc142991329</vt:lpwstr>
      </vt:variant>
      <vt:variant>
        <vt:i4>1638457</vt:i4>
      </vt:variant>
      <vt:variant>
        <vt:i4>128</vt:i4>
      </vt:variant>
      <vt:variant>
        <vt:i4>0</vt:i4>
      </vt:variant>
      <vt:variant>
        <vt:i4>5</vt:i4>
      </vt:variant>
      <vt:variant>
        <vt:lpwstr/>
      </vt:variant>
      <vt:variant>
        <vt:lpwstr>_Toc142991328</vt:lpwstr>
      </vt:variant>
      <vt:variant>
        <vt:i4>1638457</vt:i4>
      </vt:variant>
      <vt:variant>
        <vt:i4>122</vt:i4>
      </vt:variant>
      <vt:variant>
        <vt:i4>0</vt:i4>
      </vt:variant>
      <vt:variant>
        <vt:i4>5</vt:i4>
      </vt:variant>
      <vt:variant>
        <vt:lpwstr/>
      </vt:variant>
      <vt:variant>
        <vt:lpwstr>_Toc142991327</vt:lpwstr>
      </vt:variant>
      <vt:variant>
        <vt:i4>1638457</vt:i4>
      </vt:variant>
      <vt:variant>
        <vt:i4>116</vt:i4>
      </vt:variant>
      <vt:variant>
        <vt:i4>0</vt:i4>
      </vt:variant>
      <vt:variant>
        <vt:i4>5</vt:i4>
      </vt:variant>
      <vt:variant>
        <vt:lpwstr/>
      </vt:variant>
      <vt:variant>
        <vt:lpwstr>_Toc142991326</vt:lpwstr>
      </vt:variant>
      <vt:variant>
        <vt:i4>1638457</vt:i4>
      </vt:variant>
      <vt:variant>
        <vt:i4>110</vt:i4>
      </vt:variant>
      <vt:variant>
        <vt:i4>0</vt:i4>
      </vt:variant>
      <vt:variant>
        <vt:i4>5</vt:i4>
      </vt:variant>
      <vt:variant>
        <vt:lpwstr/>
      </vt:variant>
      <vt:variant>
        <vt:lpwstr>_Toc142991325</vt:lpwstr>
      </vt:variant>
      <vt:variant>
        <vt:i4>1638457</vt:i4>
      </vt:variant>
      <vt:variant>
        <vt:i4>104</vt:i4>
      </vt:variant>
      <vt:variant>
        <vt:i4>0</vt:i4>
      </vt:variant>
      <vt:variant>
        <vt:i4>5</vt:i4>
      </vt:variant>
      <vt:variant>
        <vt:lpwstr/>
      </vt:variant>
      <vt:variant>
        <vt:lpwstr>_Toc142991324</vt:lpwstr>
      </vt:variant>
      <vt:variant>
        <vt:i4>1638457</vt:i4>
      </vt:variant>
      <vt:variant>
        <vt:i4>98</vt:i4>
      </vt:variant>
      <vt:variant>
        <vt:i4>0</vt:i4>
      </vt:variant>
      <vt:variant>
        <vt:i4>5</vt:i4>
      </vt:variant>
      <vt:variant>
        <vt:lpwstr/>
      </vt:variant>
      <vt:variant>
        <vt:lpwstr>_Toc142991323</vt:lpwstr>
      </vt:variant>
      <vt:variant>
        <vt:i4>1638457</vt:i4>
      </vt:variant>
      <vt:variant>
        <vt:i4>92</vt:i4>
      </vt:variant>
      <vt:variant>
        <vt:i4>0</vt:i4>
      </vt:variant>
      <vt:variant>
        <vt:i4>5</vt:i4>
      </vt:variant>
      <vt:variant>
        <vt:lpwstr/>
      </vt:variant>
      <vt:variant>
        <vt:lpwstr>_Toc142991322</vt:lpwstr>
      </vt:variant>
      <vt:variant>
        <vt:i4>1638457</vt:i4>
      </vt:variant>
      <vt:variant>
        <vt:i4>86</vt:i4>
      </vt:variant>
      <vt:variant>
        <vt:i4>0</vt:i4>
      </vt:variant>
      <vt:variant>
        <vt:i4>5</vt:i4>
      </vt:variant>
      <vt:variant>
        <vt:lpwstr/>
      </vt:variant>
      <vt:variant>
        <vt:lpwstr>_Toc142991321</vt:lpwstr>
      </vt:variant>
      <vt:variant>
        <vt:i4>1638457</vt:i4>
      </vt:variant>
      <vt:variant>
        <vt:i4>80</vt:i4>
      </vt:variant>
      <vt:variant>
        <vt:i4>0</vt:i4>
      </vt:variant>
      <vt:variant>
        <vt:i4>5</vt:i4>
      </vt:variant>
      <vt:variant>
        <vt:lpwstr/>
      </vt:variant>
      <vt:variant>
        <vt:lpwstr>_Toc142991320</vt:lpwstr>
      </vt:variant>
      <vt:variant>
        <vt:i4>1703993</vt:i4>
      </vt:variant>
      <vt:variant>
        <vt:i4>74</vt:i4>
      </vt:variant>
      <vt:variant>
        <vt:i4>0</vt:i4>
      </vt:variant>
      <vt:variant>
        <vt:i4>5</vt:i4>
      </vt:variant>
      <vt:variant>
        <vt:lpwstr/>
      </vt:variant>
      <vt:variant>
        <vt:lpwstr>_Toc142991319</vt:lpwstr>
      </vt:variant>
      <vt:variant>
        <vt:i4>1703993</vt:i4>
      </vt:variant>
      <vt:variant>
        <vt:i4>68</vt:i4>
      </vt:variant>
      <vt:variant>
        <vt:i4>0</vt:i4>
      </vt:variant>
      <vt:variant>
        <vt:i4>5</vt:i4>
      </vt:variant>
      <vt:variant>
        <vt:lpwstr/>
      </vt:variant>
      <vt:variant>
        <vt:lpwstr>_Toc142991318</vt:lpwstr>
      </vt:variant>
      <vt:variant>
        <vt:i4>1703993</vt:i4>
      </vt:variant>
      <vt:variant>
        <vt:i4>62</vt:i4>
      </vt:variant>
      <vt:variant>
        <vt:i4>0</vt:i4>
      </vt:variant>
      <vt:variant>
        <vt:i4>5</vt:i4>
      </vt:variant>
      <vt:variant>
        <vt:lpwstr/>
      </vt:variant>
      <vt:variant>
        <vt:lpwstr>_Toc142991317</vt:lpwstr>
      </vt:variant>
      <vt:variant>
        <vt:i4>1703993</vt:i4>
      </vt:variant>
      <vt:variant>
        <vt:i4>56</vt:i4>
      </vt:variant>
      <vt:variant>
        <vt:i4>0</vt:i4>
      </vt:variant>
      <vt:variant>
        <vt:i4>5</vt:i4>
      </vt:variant>
      <vt:variant>
        <vt:lpwstr/>
      </vt:variant>
      <vt:variant>
        <vt:lpwstr>_Toc142991316</vt:lpwstr>
      </vt:variant>
      <vt:variant>
        <vt:i4>1703993</vt:i4>
      </vt:variant>
      <vt:variant>
        <vt:i4>50</vt:i4>
      </vt:variant>
      <vt:variant>
        <vt:i4>0</vt:i4>
      </vt:variant>
      <vt:variant>
        <vt:i4>5</vt:i4>
      </vt:variant>
      <vt:variant>
        <vt:lpwstr/>
      </vt:variant>
      <vt:variant>
        <vt:lpwstr>_Toc142991315</vt:lpwstr>
      </vt:variant>
      <vt:variant>
        <vt:i4>1703993</vt:i4>
      </vt:variant>
      <vt:variant>
        <vt:i4>44</vt:i4>
      </vt:variant>
      <vt:variant>
        <vt:i4>0</vt:i4>
      </vt:variant>
      <vt:variant>
        <vt:i4>5</vt:i4>
      </vt:variant>
      <vt:variant>
        <vt:lpwstr/>
      </vt:variant>
      <vt:variant>
        <vt:lpwstr>_Toc142991314</vt:lpwstr>
      </vt:variant>
      <vt:variant>
        <vt:i4>1703993</vt:i4>
      </vt:variant>
      <vt:variant>
        <vt:i4>38</vt:i4>
      </vt:variant>
      <vt:variant>
        <vt:i4>0</vt:i4>
      </vt:variant>
      <vt:variant>
        <vt:i4>5</vt:i4>
      </vt:variant>
      <vt:variant>
        <vt:lpwstr/>
      </vt:variant>
      <vt:variant>
        <vt:lpwstr>_Toc142991313</vt:lpwstr>
      </vt:variant>
      <vt:variant>
        <vt:i4>1703993</vt:i4>
      </vt:variant>
      <vt:variant>
        <vt:i4>32</vt:i4>
      </vt:variant>
      <vt:variant>
        <vt:i4>0</vt:i4>
      </vt:variant>
      <vt:variant>
        <vt:i4>5</vt:i4>
      </vt:variant>
      <vt:variant>
        <vt:lpwstr/>
      </vt:variant>
      <vt:variant>
        <vt:lpwstr>_Toc142991312</vt:lpwstr>
      </vt:variant>
      <vt:variant>
        <vt:i4>1703993</vt:i4>
      </vt:variant>
      <vt:variant>
        <vt:i4>26</vt:i4>
      </vt:variant>
      <vt:variant>
        <vt:i4>0</vt:i4>
      </vt:variant>
      <vt:variant>
        <vt:i4>5</vt:i4>
      </vt:variant>
      <vt:variant>
        <vt:lpwstr/>
      </vt:variant>
      <vt:variant>
        <vt:lpwstr>_Toc142991311</vt:lpwstr>
      </vt:variant>
      <vt:variant>
        <vt:i4>1703993</vt:i4>
      </vt:variant>
      <vt:variant>
        <vt:i4>20</vt:i4>
      </vt:variant>
      <vt:variant>
        <vt:i4>0</vt:i4>
      </vt:variant>
      <vt:variant>
        <vt:i4>5</vt:i4>
      </vt:variant>
      <vt:variant>
        <vt:lpwstr/>
      </vt:variant>
      <vt:variant>
        <vt:lpwstr>_Toc142991310</vt:lpwstr>
      </vt:variant>
      <vt:variant>
        <vt:i4>1769529</vt:i4>
      </vt:variant>
      <vt:variant>
        <vt:i4>14</vt:i4>
      </vt:variant>
      <vt:variant>
        <vt:i4>0</vt:i4>
      </vt:variant>
      <vt:variant>
        <vt:i4>5</vt:i4>
      </vt:variant>
      <vt:variant>
        <vt:lpwstr/>
      </vt:variant>
      <vt:variant>
        <vt:lpwstr>_Toc142991309</vt:lpwstr>
      </vt:variant>
      <vt:variant>
        <vt:i4>1769529</vt:i4>
      </vt:variant>
      <vt:variant>
        <vt:i4>8</vt:i4>
      </vt:variant>
      <vt:variant>
        <vt:i4>0</vt:i4>
      </vt:variant>
      <vt:variant>
        <vt:i4>5</vt:i4>
      </vt:variant>
      <vt:variant>
        <vt:lpwstr/>
      </vt:variant>
      <vt:variant>
        <vt:lpwstr>_Toc142991308</vt:lpwstr>
      </vt:variant>
      <vt:variant>
        <vt:i4>1245202</vt:i4>
      </vt:variant>
      <vt:variant>
        <vt:i4>3</vt:i4>
      </vt:variant>
      <vt:variant>
        <vt:i4>0</vt:i4>
      </vt:variant>
      <vt:variant>
        <vt:i4>5</vt:i4>
      </vt:variant>
      <vt:variant>
        <vt:lpwstr>http://swa.hosts.application.enet/business-support/Communication/Documents/www.swa.gov.au</vt:lpwstr>
      </vt:variant>
      <vt:variant>
        <vt:lpwstr/>
      </vt:variant>
      <vt:variant>
        <vt:i4>4194345</vt:i4>
      </vt:variant>
      <vt:variant>
        <vt:i4>0</vt:i4>
      </vt:variant>
      <vt:variant>
        <vt:i4>0</vt:i4>
      </vt:variant>
      <vt:variant>
        <vt:i4>5</vt:i4>
      </vt:variant>
      <vt:variant>
        <vt:lpwstr>mailto:info@swa.gov.au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2023-12-12T22:07:00Z</dcterms:created>
  <dcterms:modified xsi:type="dcterms:W3CDTF">2023-12-12T22:07:00Z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7397fed5-850b-404a-ac2a-df4c98411582</vt:lpwstr>
  </property>
</Properties>
</file>